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953199.xml.htm"/>
      <w:bookmarkStart w:id="1" w:name="kswkform4_17879531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Curran Terrie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ARCUTIS BIOTHERAPEUTICS,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3027 TOWNSGATE ROAD,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 VILLAGE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Arcutis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ARQT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11,148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7.51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34,674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11,148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25.0294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23,526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27,052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8.63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50,578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27,052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25.0294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23,526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7.51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11,148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05/31/2033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27,052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06/14/2034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underlying shares subject to the option vest and become exercisable as to 100% on the first anniversary of May 31, 2023, subject to the non-employee director's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sale price. The shares were sold in multiple transactions at prices ranging from $25.00 to $25.1001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underlying shares subject to the option vest and become exercisable as to 100% on the first anniversary of June 14, 2024, subject to the non-employee director's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Latha Vairavan, as Attorney-in-Fact for Terrie Curran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0298" TargetMode="External"/><Relationship Id="rId5" Type="http://schemas.openxmlformats.org/officeDocument/2006/relationships/hyperlink" Target="http://www.sec.gov/cgi-bin/browse-edgar?action=getcompany&amp;CIK=0001787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770</Words>
  <Characters>4156</Characters>
  <CharactersWithSpaces>4807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