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5" w:lineRule="exact"/>
        <w:rPr>
          <w:sz w:val="24"/>
          <w:szCs w:val="24"/>
          <w:color w:val="auto"/>
        </w:rPr>
      </w:pPr>
    </w:p>
    <w:p>
      <w:pPr>
        <w:ind w:left="4900"/>
        <w:spacing w:after="0"/>
        <w:rPr>
          <w:sz w:val="20"/>
          <w:szCs w:val="20"/>
          <w:color w:val="auto"/>
        </w:rPr>
      </w:pPr>
      <w:r>
        <w:rPr>
          <w:rFonts w:ascii="Arial" w:cs="Arial" w:eastAsia="Arial" w:hAnsi="Arial"/>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22860</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-199390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(Mark One)</w:t>
      </w:r>
    </w:p>
    <w:p>
      <w:pPr>
        <w:ind w:left="1000" w:hanging="212"/>
        <w:spacing w:after="0"/>
        <w:tabs>
          <w:tab w:leader="none" w:pos="10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6" w:lineRule="exact"/>
        <w:rPr>
          <w:sz w:val="24"/>
          <w:szCs w:val="24"/>
          <w:color w:val="auto"/>
        </w:rPr>
      </w:pPr>
    </w:p>
    <w:p>
      <w:pPr>
        <w:ind w:left="1000" w:hanging="225"/>
        <w:spacing w:after="0"/>
        <w:tabs>
          <w:tab w:leader="none" w:pos="10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-104140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For transition period from to</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001-39186</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ARCUTIS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-207645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11"/>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2040" w:type="dxa"/>
            <w:vAlign w:val="bottom"/>
            <w:gridSpan w:val="2"/>
          </w:tcPr>
          <w:p>
            <w:pPr>
              <w:jc w:val="center"/>
              <w:ind w:left="101"/>
              <w:spacing w:after="0"/>
              <w:rPr>
                <w:sz w:val="20"/>
                <w:szCs w:val="20"/>
                <w:color w:val="auto"/>
              </w:rPr>
            </w:pPr>
            <w:r>
              <w:rPr>
                <w:rFonts w:ascii="Arial" w:cs="Arial" w:eastAsia="Arial" w:hAnsi="Arial"/>
                <w:sz w:val="16"/>
                <w:szCs w:val="16"/>
                <w:b w:val="1"/>
                <w:bCs w:val="1"/>
                <w:color w:val="auto"/>
                <w:w w:val="93"/>
              </w:rPr>
              <w:t>Delaware</w:t>
            </w:r>
          </w:p>
        </w:tc>
        <w:tc>
          <w:tcPr>
            <w:tcW w:w="1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2"/>
          </w:tcPr>
          <w:p>
            <w:pPr>
              <w:jc w:val="right"/>
              <w:ind w:right="1419"/>
              <w:spacing w:after="0"/>
              <w:rPr>
                <w:sz w:val="20"/>
                <w:szCs w:val="20"/>
                <w:color w:val="auto"/>
              </w:rPr>
            </w:pPr>
            <w:r>
              <w:rPr>
                <w:rFonts w:ascii="Arial" w:cs="Arial" w:eastAsia="Arial" w:hAnsi="Arial"/>
                <w:sz w:val="16"/>
                <w:szCs w:val="16"/>
                <w:b w:val="1"/>
                <w:bCs w:val="1"/>
                <w:color w:val="auto"/>
              </w:rPr>
              <w:t>81-2974255</w:t>
            </w:r>
          </w:p>
        </w:tc>
        <w:tc>
          <w:tcPr>
            <w:tcW w:w="0" w:type="dxa"/>
            <w:vAlign w:val="bottom"/>
          </w:tcPr>
          <w:p>
            <w:pPr>
              <w:spacing w:after="0"/>
              <w:rPr>
                <w:sz w:val="1"/>
                <w:szCs w:val="1"/>
                <w:color w:val="auto"/>
              </w:rPr>
            </w:pPr>
          </w:p>
        </w:tc>
      </w:tr>
      <w:tr>
        <w:trPr>
          <w:trHeight w:val="210"/>
        </w:trPr>
        <w:tc>
          <w:tcPr>
            <w:tcW w:w="4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(State or Other Jurisdiction of Incorporation or Organization)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20" w:type="dxa"/>
            <w:vAlign w:val="bottom"/>
            <w:gridSpan w:val="4"/>
          </w:tcPr>
          <w:p>
            <w:pPr>
              <w:ind w:left="1000"/>
              <w:spacing w:after="0"/>
              <w:rPr>
                <w:sz w:val="20"/>
                <w:szCs w:val="20"/>
                <w:color w:val="auto"/>
              </w:rPr>
            </w:pPr>
            <w:r>
              <w:rPr>
                <w:rFonts w:ascii="Arial" w:cs="Arial" w:eastAsia="Arial" w:hAnsi="Arial"/>
                <w:sz w:val="16"/>
                <w:szCs w:val="16"/>
                <w:b w:val="1"/>
                <w:bCs w:val="1"/>
                <w:color w:val="auto"/>
              </w:rPr>
              <w:t>(I.R.S. Employer Identification Number)</w:t>
            </w:r>
          </w:p>
        </w:tc>
        <w:tc>
          <w:tcPr>
            <w:tcW w:w="0" w:type="dxa"/>
            <w:vAlign w:val="bottom"/>
          </w:tcPr>
          <w:p>
            <w:pPr>
              <w:spacing w:after="0"/>
              <w:rPr>
                <w:sz w:val="1"/>
                <w:szCs w:val="1"/>
                <w:color w:val="auto"/>
              </w:rPr>
            </w:pPr>
          </w:p>
        </w:tc>
      </w:tr>
      <w:tr>
        <w:trPr>
          <w:trHeight w:val="181"/>
        </w:trPr>
        <w:tc>
          <w:tcPr>
            <w:tcW w:w="1040" w:type="dxa"/>
            <w:vAlign w:val="bottom"/>
          </w:tcPr>
          <w:p>
            <w:pPr>
              <w:spacing w:after="0"/>
              <w:rPr>
                <w:sz w:val="15"/>
                <w:szCs w:val="15"/>
                <w:color w:val="auto"/>
              </w:rPr>
            </w:pPr>
          </w:p>
        </w:tc>
        <w:tc>
          <w:tcPr>
            <w:tcW w:w="3280" w:type="dxa"/>
            <w:vAlign w:val="bottom"/>
            <w:gridSpan w:val="3"/>
          </w:tcPr>
          <w:p>
            <w:pPr>
              <w:jc w:val="center"/>
              <w:ind w:right="959"/>
              <w:spacing w:after="0" w:line="181" w:lineRule="exact"/>
              <w:rPr>
                <w:sz w:val="20"/>
                <w:szCs w:val="20"/>
                <w:color w:val="auto"/>
              </w:rPr>
            </w:pPr>
            <w:r>
              <w:rPr>
                <w:rFonts w:ascii="Arial" w:cs="Arial" w:eastAsia="Arial" w:hAnsi="Arial"/>
                <w:sz w:val="16"/>
                <w:szCs w:val="16"/>
                <w:b w:val="1"/>
                <w:bCs w:val="1"/>
                <w:color w:val="auto"/>
                <w:w w:val="88"/>
              </w:rPr>
              <w:t>2945 Townsgate Road Suite 110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2"/>
          </w:tcPr>
          <w:p>
            <w:pPr>
              <w:jc w:val="right"/>
              <w:ind w:right="1599"/>
              <w:spacing w:after="0" w:line="181" w:lineRule="exact"/>
              <w:rPr>
                <w:sz w:val="20"/>
                <w:szCs w:val="20"/>
                <w:color w:val="auto"/>
              </w:rPr>
            </w:pPr>
            <w:r>
              <w:rPr>
                <w:rFonts w:ascii="Arial" w:cs="Arial" w:eastAsia="Arial" w:hAnsi="Arial"/>
                <w:sz w:val="16"/>
                <w:szCs w:val="16"/>
                <w:b w:val="1"/>
                <w:bCs w:val="1"/>
                <w:color w:val="auto"/>
              </w:rPr>
              <w:t>91361</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3280" w:type="dxa"/>
            <w:vAlign w:val="bottom"/>
            <w:gridSpan w:val="3"/>
          </w:tcPr>
          <w:p>
            <w:pPr>
              <w:jc w:val="center"/>
              <w:ind w:right="979"/>
              <w:spacing w:after="0"/>
              <w:rPr>
                <w:sz w:val="20"/>
                <w:szCs w:val="20"/>
                <w:color w:val="auto"/>
              </w:rPr>
            </w:pPr>
            <w:r>
              <w:rPr>
                <w:rFonts w:ascii="Arial" w:cs="Arial" w:eastAsia="Arial" w:hAnsi="Arial"/>
                <w:sz w:val="16"/>
                <w:szCs w:val="16"/>
                <w:b w:val="1"/>
                <w:bCs w:val="1"/>
                <w:color w:val="auto"/>
                <w:w w:val="93"/>
              </w:rPr>
              <w:t>Westlake Village, California</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ind w:left="420"/>
              <w:spacing w:after="0"/>
              <w:rPr>
                <w:sz w:val="20"/>
                <w:szCs w:val="20"/>
                <w:color w:val="auto"/>
              </w:rPr>
            </w:pPr>
            <w:r>
              <w:rPr>
                <w:rFonts w:ascii="Arial" w:cs="Arial" w:eastAsia="Arial" w:hAnsi="Arial"/>
                <w:sz w:val="16"/>
                <w:szCs w:val="16"/>
                <w:b w:val="1"/>
                <w:bCs w:val="1"/>
                <w:color w:val="auto"/>
              </w:rPr>
              <w:t>(Zip Code)</w:t>
            </w:r>
          </w:p>
        </w:tc>
        <w:tc>
          <w:tcPr>
            <w:tcW w:w="0" w:type="dxa"/>
            <w:vAlign w:val="bottom"/>
          </w:tcPr>
          <w:p>
            <w:pPr>
              <w:spacing w:after="0"/>
              <w:rPr>
                <w:sz w:val="1"/>
                <w:szCs w:val="1"/>
                <w:color w:val="auto"/>
              </w:rPr>
            </w:pPr>
          </w:p>
        </w:tc>
      </w:tr>
      <w:tr>
        <w:trPr>
          <w:trHeight w:val="210"/>
        </w:trPr>
        <w:tc>
          <w:tcPr>
            <w:tcW w:w="4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2500" w:type="dxa"/>
            <w:vAlign w:val="bottom"/>
            <w:gridSpan w:val="3"/>
            <w:vMerge w:val="restart"/>
          </w:tcPr>
          <w:p>
            <w:pPr>
              <w:jc w:val="center"/>
              <w:ind w:right="1119"/>
              <w:spacing w:after="0"/>
              <w:rPr>
                <w:sz w:val="20"/>
                <w:szCs w:val="20"/>
                <w:color w:val="auto"/>
              </w:rPr>
            </w:pPr>
            <w:r>
              <w:rPr>
                <w:rFonts w:ascii="Arial" w:cs="Arial" w:eastAsia="Arial" w:hAnsi="Arial"/>
                <w:sz w:val="16"/>
                <w:szCs w:val="16"/>
                <w:b w:val="1"/>
                <w:bCs w:val="1"/>
                <w:color w:val="auto"/>
                <w:w w:val="93"/>
              </w:rPr>
              <w:t>(805) 418-5006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40" w:type="dxa"/>
            <w:vAlign w:val="bottom"/>
            <w:gridSpan w:val="4"/>
          </w:tcPr>
          <w:p>
            <w:pPr>
              <w:jc w:val="center"/>
              <w:ind w:right="1360"/>
              <w:spacing w:after="0"/>
              <w:rPr>
                <w:sz w:val="20"/>
                <w:szCs w:val="20"/>
                <w:color w:val="auto"/>
              </w:rPr>
            </w:pPr>
            <w:r>
              <w:rPr>
                <w:rFonts w:ascii="Arial" w:cs="Arial" w:eastAsia="Arial" w:hAnsi="Arial"/>
                <w:sz w:val="16"/>
                <w:szCs w:val="16"/>
                <w:b w:val="1"/>
                <w:bCs w:val="1"/>
                <w:color w:val="auto"/>
                <w:w w:val="92"/>
              </w:rPr>
              <w:t>Not Applicable</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8620" w:type="dxa"/>
            <w:vAlign w:val="bottom"/>
            <w:gridSpan w:val="9"/>
          </w:tcPr>
          <w:p>
            <w:pPr>
              <w:jc w:val="center"/>
              <w:ind w:right="679"/>
              <w:spacing w:after="0"/>
              <w:rPr>
                <w:sz w:val="20"/>
                <w:szCs w:val="20"/>
                <w:color w:val="auto"/>
              </w:rPr>
            </w:pPr>
            <w:r>
              <w:rPr>
                <w:rFonts w:ascii="Arial" w:cs="Arial" w:eastAsia="Arial" w:hAnsi="Arial"/>
                <w:sz w:val="16"/>
                <w:szCs w:val="16"/>
                <w:b w:val="1"/>
                <w:bCs w:val="1"/>
                <w:color w:val="auto"/>
                <w:w w:val="91"/>
              </w:rPr>
              <w:t>(Former name, former address and former fiscal year, if changed since last report)</w:t>
            </w:r>
          </w:p>
        </w:tc>
        <w:tc>
          <w:tcPr>
            <w:tcW w:w="0" w:type="dxa"/>
            <w:vAlign w:val="bottom"/>
          </w:tcPr>
          <w:p>
            <w:pPr>
              <w:spacing w:after="0"/>
              <w:rPr>
                <w:sz w:val="1"/>
                <w:szCs w:val="1"/>
                <w:color w:val="auto"/>
              </w:rPr>
            </w:pPr>
          </w:p>
        </w:tc>
      </w:tr>
      <w:tr>
        <w:trPr>
          <w:trHeight w:val="419"/>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6"/>
          </w:tcPr>
          <w:p>
            <w:pPr>
              <w:jc w:val="center"/>
              <w:ind w:left="75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3280" w:type="dxa"/>
            <w:vAlign w:val="bottom"/>
            <w:gridSpan w:val="3"/>
          </w:tcPr>
          <w:p>
            <w:pPr>
              <w:jc w:val="center"/>
              <w:ind w:right="2119"/>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250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2"/>
              </w:rPr>
              <w:t>Trading Symbol</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gridSpan w:val="4"/>
          </w:tcPr>
          <w:p>
            <w:pPr>
              <w:jc w:val="center"/>
              <w:ind w:right="1059"/>
              <w:spacing w:after="0"/>
              <w:rPr>
                <w:sz w:val="20"/>
                <w:szCs w:val="20"/>
                <w:color w:val="auto"/>
              </w:rPr>
            </w:pPr>
            <w:r>
              <w:rPr>
                <w:rFonts w:ascii="Arial" w:cs="Arial" w:eastAsia="Arial" w:hAnsi="Arial"/>
                <w:sz w:val="16"/>
                <w:szCs w:val="16"/>
                <w:b w:val="1"/>
                <w:bCs w:val="1"/>
                <w:color w:val="auto"/>
                <w:w w:val="91"/>
              </w:rPr>
              <w:t>Common Stock, par value $0.0001</w:t>
            </w:r>
          </w:p>
        </w:tc>
        <w:tc>
          <w:tcPr>
            <w:tcW w:w="140" w:type="dxa"/>
            <w:vAlign w:val="bottom"/>
          </w:tcPr>
          <w:p>
            <w:pPr>
              <w:spacing w:after="0"/>
              <w:rPr>
                <w:sz w:val="21"/>
                <w:szCs w:val="21"/>
                <w:color w:val="auto"/>
              </w:rPr>
            </w:pPr>
          </w:p>
        </w:tc>
        <w:tc>
          <w:tcPr>
            <w:tcW w:w="250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rPr>
              <w:t>ARQT</w:t>
            </w:r>
          </w:p>
        </w:tc>
        <w:tc>
          <w:tcPr>
            <w:tcW w:w="2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Global Select Market</w:t>
            </w:r>
          </w:p>
        </w:tc>
        <w:tc>
          <w:tcPr>
            <w:tcW w:w="0" w:type="dxa"/>
            <w:vAlign w:val="bottom"/>
          </w:tcPr>
          <w:p>
            <w:pPr>
              <w:spacing w:after="0"/>
              <w:rPr>
                <w:sz w:val="1"/>
                <w:szCs w:val="1"/>
                <w:color w:val="auto"/>
              </w:rPr>
            </w:pPr>
          </w:p>
        </w:tc>
      </w:tr>
    </w:tbl>
    <w:p>
      <w:pPr>
        <w:spacing w:after="0" w:line="328" w:lineRule="exact"/>
        <w:rPr>
          <w:sz w:val="24"/>
          <w:szCs w:val="24"/>
          <w:color w:val="auto"/>
        </w:rPr>
      </w:pPr>
    </w:p>
    <w:p>
      <w:pPr>
        <w:ind w:right="320"/>
        <w:spacing w:after="0" w:line="19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53" w:lineRule="exact"/>
        <w:rPr>
          <w:sz w:val="24"/>
          <w:szCs w:val="24"/>
          <w:color w:val="auto"/>
        </w:rPr>
      </w:pPr>
    </w:p>
    <w:p>
      <w:pPr>
        <w:ind w:right="360"/>
        <w:spacing w:after="0" w:line="20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6"/>
        </w:trPr>
        <w:tc>
          <w:tcPr>
            <w:tcW w:w="26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44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Non-accelerated filer</w:t>
            </w:r>
          </w:p>
        </w:tc>
        <w:tc>
          <w:tcPr>
            <w:tcW w:w="27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44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760" w:type="dxa"/>
            <w:vAlign w:val="bottom"/>
          </w:tcPr>
          <w:p>
            <w:pPr>
              <w:ind w:left="144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right="2940"/>
        <w:spacing w:after="0" w:line="27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The number of shares of the registrant’s Common Stock outstanding as of October 31, 2020 was 43,634,480.</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w:t>
        </w:r>
      </w:hyperlink>
    </w:p>
    <w:p>
      <w:pPr>
        <w:spacing w:after="0" w:line="333" w:lineRule="exact"/>
        <w:rPr>
          <w:sz w:val="20"/>
          <w:szCs w:val="20"/>
          <w:color w:val="auto"/>
        </w:rPr>
      </w:pPr>
    </w:p>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3.</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4.</w:t>
        </w:r>
      </w:hyperlink>
    </w:p>
    <w:p>
      <w:pPr>
        <w:spacing w:after="0" w:line="293" w:lineRule="exact"/>
        <w:rPr>
          <w:sz w:val="20"/>
          <w:szCs w:val="20"/>
          <w:color w:val="auto"/>
        </w:rPr>
      </w:pPr>
    </w:p>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PART II</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1.</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1A.</w:t>
        </w:r>
      </w:hyperlink>
    </w:p>
    <w:p>
      <w:pPr>
        <w:spacing w:after="0" w:line="387" w:lineRule="exact"/>
        <w:rPr>
          <w:sz w:val="20"/>
          <w:szCs w:val="20"/>
          <w:color w:val="auto"/>
        </w:rPr>
      </w:pPr>
    </w:p>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2.</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3.</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4.</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5.</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6.</w:t>
        </w:r>
      </w:hyperlink>
    </w:p>
    <w:p>
      <w:pPr>
        <w:spacing w:after="0" w:line="293" w:lineRule="exact"/>
        <w:rPr>
          <w:sz w:val="20"/>
          <w:szCs w:val="20"/>
          <w:color w:val="auto"/>
        </w:rPr>
      </w:pPr>
    </w:p>
    <w:p>
      <w:pPr>
        <w:ind w:left="20"/>
        <w:spacing w:after="0"/>
        <w:rPr>
          <w:rFonts w:ascii="Arial" w:cs="Arial" w:eastAsia="Arial" w:hAnsi="Arial"/>
          <w:sz w:val="17"/>
          <w:szCs w:val="17"/>
          <w:u w:val="single" w:color="auto"/>
          <w:color w:val="0000FF"/>
        </w:rPr>
      </w:pPr>
      <w:hyperlink w:anchor="page82">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82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INFORMATION</w:t>
              </w:r>
            </w:hyperlink>
          </w:p>
        </w:tc>
        <w:tc>
          <w:tcPr>
            <w:tcW w:w="1580" w:type="dxa"/>
            <w:vAlign w:val="bottom"/>
          </w:tcPr>
          <w:p>
            <w:pPr>
              <w:spacing w:after="0"/>
              <w:rPr>
                <w:sz w:val="19"/>
                <w:szCs w:val="19"/>
                <w:color w:val="auto"/>
              </w:rPr>
            </w:pPr>
          </w:p>
        </w:tc>
      </w:tr>
      <w:tr>
        <w:trPr>
          <w:trHeight w:val="513"/>
        </w:trPr>
        <w:tc>
          <w:tcPr>
            <w:tcW w:w="824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15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57"/>
        </w:trPr>
        <w:tc>
          <w:tcPr>
            <w:tcW w:w="824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Balance Sheets</w:t>
              </w:r>
            </w:hyperlink>
          </w:p>
        </w:tc>
        <w:tc>
          <w:tcPr>
            <w:tcW w:w="15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29"/>
        </w:trPr>
        <w:tc>
          <w:tcPr>
            <w:tcW w:w="824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Statements of Condensed Operations and Comprehensive Loss</w:t>
              </w:r>
            </w:hyperlink>
          </w:p>
        </w:tc>
        <w:tc>
          <w:tcPr>
            <w:tcW w:w="15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29"/>
        </w:trPr>
        <w:tc>
          <w:tcPr>
            <w:tcW w:w="8240" w:type="dxa"/>
            <w:vAlign w:val="bottom"/>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Statements of Condensed Convertible Preferred Stock and Stockholders’ Equity (Deficit</w:t>
              </w:r>
            </w:hyperlink>
            <w:r>
              <w:rPr>
                <w:rFonts w:ascii="Arial" w:cs="Arial" w:eastAsia="Arial" w:hAnsi="Arial"/>
                <w:sz w:val="18"/>
                <w:szCs w:val="18"/>
                <w:color w:val="000000"/>
              </w:rPr>
              <w:t>)</w:t>
            </w:r>
          </w:p>
        </w:tc>
        <w:tc>
          <w:tcPr>
            <w:tcW w:w="158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30"/>
        </w:trPr>
        <w:tc>
          <w:tcPr>
            <w:tcW w:w="824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Statements of Condensed Cash Flows</w:t>
              </w:r>
            </w:hyperlink>
          </w:p>
        </w:tc>
        <w:tc>
          <w:tcPr>
            <w:tcW w:w="158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338"/>
        </w:trPr>
        <w:tc>
          <w:tcPr>
            <w:tcW w:w="8240" w:type="dxa"/>
            <w:vAlign w:val="bottom"/>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Unaudited Condensed Financial Statements</w:t>
              </w:r>
            </w:hyperlink>
          </w:p>
        </w:tc>
        <w:tc>
          <w:tcPr>
            <w:tcW w:w="158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70"/>
        </w:trPr>
        <w:tc>
          <w:tcPr>
            <w:tcW w:w="8240" w:type="dxa"/>
            <w:vAlign w:val="bottom"/>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Management’s Discussion and Analysis of Financial Condition and Results of Operations</w:t>
              </w:r>
            </w:hyperlink>
          </w:p>
        </w:tc>
        <w:tc>
          <w:tcPr>
            <w:tcW w:w="158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29"/>
        </w:trPr>
        <w:tc>
          <w:tcPr>
            <w:tcW w:w="8240" w:type="dxa"/>
            <w:vAlign w:val="bottom"/>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Quantitative and Qualitative Disclosures about Market Risk</w:t>
              </w:r>
            </w:hyperlink>
          </w:p>
        </w:tc>
        <w:tc>
          <w:tcPr>
            <w:tcW w:w="158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29"/>
        </w:trPr>
        <w:tc>
          <w:tcPr>
            <w:tcW w:w="82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Controls and Procedures</w:t>
              </w:r>
            </w:hyperlink>
          </w:p>
        </w:tc>
        <w:tc>
          <w:tcPr>
            <w:tcW w:w="158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500"/>
        </w:trPr>
        <w:tc>
          <w:tcPr>
            <w:tcW w:w="82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OTHER INFORMATION</w:t>
              </w:r>
            </w:hyperlink>
          </w:p>
        </w:tc>
        <w:tc>
          <w:tcPr>
            <w:tcW w:w="1580" w:type="dxa"/>
            <w:vAlign w:val="bottom"/>
          </w:tcPr>
          <w:p>
            <w:pPr>
              <w:spacing w:after="0"/>
              <w:rPr>
                <w:sz w:val="24"/>
                <w:szCs w:val="24"/>
                <w:color w:val="auto"/>
              </w:rPr>
            </w:pPr>
          </w:p>
        </w:tc>
      </w:tr>
      <w:tr>
        <w:trPr>
          <w:trHeight w:val="229"/>
        </w:trPr>
        <w:tc>
          <w:tcPr>
            <w:tcW w:w="82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Legal Proceedings</w:t>
              </w:r>
            </w:hyperlink>
          </w:p>
        </w:tc>
        <w:tc>
          <w:tcPr>
            <w:tcW w:w="158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30"/>
        </w:trPr>
        <w:tc>
          <w:tcPr>
            <w:tcW w:w="82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Risk Factors</w:t>
              </w:r>
            </w:hyperlink>
          </w:p>
        </w:tc>
        <w:tc>
          <w:tcPr>
            <w:tcW w:w="158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594"/>
        </w:trPr>
        <w:tc>
          <w:tcPr>
            <w:tcW w:w="8240" w:type="dxa"/>
            <w:vAlign w:val="bottom"/>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Unregistered Sales of Equity Securities and Use of Proceeds</w:t>
              </w:r>
            </w:hyperlink>
          </w:p>
        </w:tc>
        <w:tc>
          <w:tcPr>
            <w:tcW w:w="1580" w:type="dxa"/>
            <w:vAlign w:val="bottom"/>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79</w:t>
              </w:r>
            </w:hyperlink>
          </w:p>
        </w:tc>
      </w:tr>
      <w:tr>
        <w:trPr>
          <w:trHeight w:val="243"/>
        </w:trPr>
        <w:tc>
          <w:tcPr>
            <w:tcW w:w="8240" w:type="dxa"/>
            <w:vAlign w:val="bottom"/>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Defaults Upon Senior Securities</w:t>
              </w:r>
            </w:hyperlink>
          </w:p>
        </w:tc>
        <w:tc>
          <w:tcPr>
            <w:tcW w:w="1580" w:type="dxa"/>
            <w:vAlign w:val="bottom"/>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79</w:t>
              </w:r>
            </w:hyperlink>
          </w:p>
        </w:tc>
      </w:tr>
      <w:tr>
        <w:trPr>
          <w:trHeight w:val="270"/>
        </w:trPr>
        <w:tc>
          <w:tcPr>
            <w:tcW w:w="8240" w:type="dxa"/>
            <w:vAlign w:val="bottom"/>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Mine Safety Disclosures</w:t>
              </w:r>
            </w:hyperlink>
          </w:p>
        </w:tc>
        <w:tc>
          <w:tcPr>
            <w:tcW w:w="1580" w:type="dxa"/>
            <w:vAlign w:val="bottom"/>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79</w:t>
              </w:r>
            </w:hyperlink>
          </w:p>
        </w:tc>
      </w:tr>
      <w:tr>
        <w:trPr>
          <w:trHeight w:val="257"/>
        </w:trPr>
        <w:tc>
          <w:tcPr>
            <w:tcW w:w="8240" w:type="dxa"/>
            <w:vAlign w:val="bottom"/>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Other Information</w:t>
              </w:r>
            </w:hyperlink>
          </w:p>
        </w:tc>
        <w:tc>
          <w:tcPr>
            <w:tcW w:w="1580" w:type="dxa"/>
            <w:vAlign w:val="bottom"/>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79</w:t>
              </w:r>
            </w:hyperlink>
          </w:p>
        </w:tc>
      </w:tr>
      <w:tr>
        <w:trPr>
          <w:trHeight w:val="243"/>
        </w:trPr>
        <w:tc>
          <w:tcPr>
            <w:tcW w:w="8240" w:type="dxa"/>
            <w:vAlign w:val="bottom"/>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Exhibits</w:t>
              </w:r>
            </w:hyperlink>
          </w:p>
        </w:tc>
        <w:tc>
          <w:tcPr>
            <w:tcW w:w="1580" w:type="dxa"/>
            <w:vAlign w:val="bottom"/>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79</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1114425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80" w:space="460"/>
            <w:col w:w="9820"/>
          </w:cols>
          <w:pgMar w:left="320" w:top="125" w:right="41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w:t>
      </w:r>
      <w:r>
        <w:rPr>
          <w:rFonts w:ascii="Arial" w:cs="Arial" w:eastAsia="Arial" w:hAnsi="Arial"/>
          <w:sz w:val="18"/>
          <w:szCs w:val="18"/>
          <w:b w:val="1"/>
          <w:bCs w:val="1"/>
          <w:i w:val="1"/>
          <w:iCs w:val="1"/>
          <w:color w:val="auto"/>
        </w:rPr>
        <w: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84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0"/>
        </w:trPr>
        <w:tc>
          <w:tcPr>
            <w:tcW w:w="8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52"/>
              <w:spacing w:after="0"/>
              <w:rPr>
                <w:sz w:val="20"/>
                <w:szCs w:val="20"/>
                <w:color w:val="auto"/>
              </w:rPr>
            </w:pPr>
            <w:r>
              <w:rPr>
                <w:rFonts w:ascii="Arial" w:cs="Arial" w:eastAsia="Arial" w:hAnsi="Arial"/>
                <w:sz w:val="13"/>
                <w:szCs w:val="13"/>
                <w:b w:val="1"/>
                <w:bCs w:val="1"/>
                <w:color w:val="auto"/>
                <w:w w:val="98"/>
              </w:rPr>
              <w:t>(unaudited)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45,707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63,336</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37,929</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106,474</w:t>
            </w: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107,012</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Operating lease liability</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Operating lease liability, noncurrent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460" w:type="dxa"/>
            <w:vAlign w:val="bottom"/>
          </w:tcPr>
          <w:p>
            <w:pPr>
              <w:ind w:left="520"/>
              <w:spacing w:after="0" w:line="189" w:lineRule="exact"/>
              <w:rPr>
                <w:sz w:val="20"/>
                <w:szCs w:val="20"/>
                <w:color w:val="auto"/>
              </w:rPr>
            </w:pPr>
            <w:r>
              <w:rPr>
                <w:rFonts w:ascii="Arial" w:cs="Arial" w:eastAsia="Arial" w:hAnsi="Arial"/>
                <w:sz w:val="18"/>
                <w:szCs w:val="18"/>
                <w:color w:val="auto"/>
              </w:rPr>
              <w:t>Convertible preferred stock, $0.0001 par value; no shares and 48,787,898 shares authorized at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520"/>
              <w:spacing w:after="0" w:line="176" w:lineRule="exact"/>
              <w:rPr>
                <w:sz w:val="20"/>
                <w:szCs w:val="20"/>
                <w:color w:val="auto"/>
              </w:rPr>
            </w:pPr>
            <w:r>
              <w:rPr>
                <w:rFonts w:ascii="Arial" w:cs="Arial" w:eastAsia="Arial" w:hAnsi="Arial"/>
                <w:sz w:val="18"/>
                <w:szCs w:val="18"/>
                <w:color w:val="auto"/>
              </w:rPr>
              <w:t>September 30, 2020 and December 31, 2019, respectively; no shares and 24,385,388 shares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60" w:type="dxa"/>
            <w:vAlign w:val="bottom"/>
          </w:tcPr>
          <w:p>
            <w:pPr>
              <w:ind w:left="520"/>
              <w:spacing w:after="0"/>
              <w:rPr>
                <w:sz w:val="20"/>
                <w:szCs w:val="20"/>
                <w:color w:val="auto"/>
              </w:rPr>
            </w:pPr>
            <w:r>
              <w:rPr>
                <w:rFonts w:ascii="Arial" w:cs="Arial" w:eastAsia="Arial" w:hAnsi="Arial"/>
                <w:sz w:val="18"/>
                <w:szCs w:val="18"/>
                <w:color w:val="auto"/>
              </w:rPr>
              <w:t>issued and outstanding at September 30, 2020 and December 31, 2019, respectively</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166,491</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460" w:type="dxa"/>
            <w:vAlign w:val="bottom"/>
          </w:tcPr>
          <w:p>
            <w:pPr>
              <w:ind w:left="520"/>
              <w:spacing w:after="0" w:line="189" w:lineRule="exact"/>
              <w:rPr>
                <w:sz w:val="20"/>
                <w:szCs w:val="20"/>
                <w:color w:val="auto"/>
              </w:rPr>
            </w:pPr>
            <w:r>
              <w:rPr>
                <w:rFonts w:ascii="Arial" w:cs="Arial" w:eastAsia="Arial" w:hAnsi="Arial"/>
                <w:sz w:val="18"/>
                <w:szCs w:val="18"/>
                <w:color w:val="auto"/>
              </w:rPr>
              <w:t>Preferred stock, $0.0001 par value; 10,000,000 and no shares authorized at September 30, 2020</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520"/>
              <w:spacing w:after="0" w:line="176" w:lineRule="exact"/>
              <w:rPr>
                <w:sz w:val="20"/>
                <w:szCs w:val="20"/>
                <w:color w:val="auto"/>
              </w:rPr>
            </w:pPr>
            <w:r>
              <w:rPr>
                <w:rFonts w:ascii="Arial" w:cs="Arial" w:eastAsia="Arial" w:hAnsi="Arial"/>
                <w:sz w:val="18"/>
                <w:szCs w:val="18"/>
                <w:color w:val="auto"/>
              </w:rPr>
              <w:t>and December 31, 2019, respectively; no shares issued and outstanding at September 30, 2020</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60" w:type="dxa"/>
            <w:vAlign w:val="bottom"/>
          </w:tcPr>
          <w:p>
            <w:pPr>
              <w:ind w:left="520"/>
              <w:spacing w:after="0"/>
              <w:rPr>
                <w:sz w:val="20"/>
                <w:szCs w:val="20"/>
                <w:color w:val="auto"/>
              </w:rPr>
            </w:pPr>
            <w:r>
              <w:rPr>
                <w:rFonts w:ascii="Arial" w:cs="Arial" w:eastAsia="Arial" w:hAnsi="Arial"/>
                <w:sz w:val="18"/>
                <w:szCs w:val="18"/>
                <w:color w:val="auto"/>
              </w:rPr>
              <w:t>and December 31, 2019;</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8460" w:type="dxa"/>
            <w:vAlign w:val="bottom"/>
            <w:shd w:val="clear" w:color="auto" w:fill="CCEEFF"/>
          </w:tcPr>
          <w:p>
            <w:pPr>
              <w:ind w:left="520"/>
              <w:spacing w:after="0" w:line="189" w:lineRule="exact"/>
              <w:rPr>
                <w:sz w:val="20"/>
                <w:szCs w:val="20"/>
                <w:color w:val="auto"/>
              </w:rPr>
            </w:pPr>
            <w:r>
              <w:rPr>
                <w:rFonts w:ascii="Arial" w:cs="Arial" w:eastAsia="Arial" w:hAnsi="Arial"/>
                <w:sz w:val="18"/>
                <w:szCs w:val="18"/>
                <w:color w:val="auto"/>
              </w:rPr>
              <w:t>Common stock, $0.0001 par value; 300,000,000 and 65,820,000 shares authorized at September</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30, 2020 and December 31, 2019, respectively; 38,218,195 and 2,879,763 shares issued at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September 30, 2020 and December 31, 2019, respectively; 37,798,889 and 2,120,853 shares</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at September 30, 2020 and December 31, 2019, respectively</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(66,272)</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107,012</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r>
        <w:rPr>
          <w:rFonts w:ascii="Arial" w:cs="Arial" w:eastAsia="Arial" w:hAnsi="Arial"/>
          <w:sz w:val="18"/>
          <w:szCs w:val="18"/>
          <w:b w:val="1"/>
          <w:bCs w:val="1"/>
          <w:i w:val="1"/>
          <w:iCs w:val="1"/>
          <w:color w:val="auto"/>
        </w:rPr>
        <w: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9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5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12,348</w:t>
            </w:r>
          </w:p>
        </w:tc>
        <w:tc>
          <w:tcPr>
            <w:tcW w:w="1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87,934</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25,765</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14,648</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30,138</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(30,138)</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(14,483)</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(101,624)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(29,428)</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2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used in computing net loss</w:t>
            </w:r>
          </w:p>
        </w:tc>
        <w:tc>
          <w:tcPr>
            <w:tcW w:w="2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37,748,454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1,915,601</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33,214,005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1,773,025</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per share, basic and diluted</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ARCUTIS BIOTHERAPEUTICS, INC.</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jc w:val="center"/>
        <w:ind w:right="2439"/>
        <w:spacing w:after="0" w:line="203" w:lineRule="auto"/>
        <w:rPr>
          <w:sz w:val="20"/>
          <w:szCs w:val="20"/>
          <w:color w:val="auto"/>
        </w:rPr>
      </w:pPr>
      <w:r>
        <w:rPr>
          <w:rFonts w:ascii="Arial" w:cs="Arial" w:eastAsia="Arial" w:hAnsi="Arial"/>
          <w:sz w:val="18"/>
          <w:szCs w:val="18"/>
          <w:b w:val="1"/>
          <w:bCs w:val="1"/>
          <w:color w:val="auto"/>
        </w:rPr>
        <w:t>(In thousands, except share data)</w:t>
      </w:r>
    </w:p>
    <w:p>
      <w:pPr>
        <w:jc w:val="center"/>
        <w:ind w:right="243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420" w:type="dxa"/>
            <w:vAlign w:val="bottom"/>
          </w:tcPr>
          <w:p>
            <w:pPr>
              <w:spacing w:after="0"/>
              <w:rPr>
                <w:sz w:val="23"/>
                <w:szCs w:val="23"/>
                <w:color w:val="auto"/>
              </w:rPr>
            </w:pPr>
          </w:p>
        </w:tc>
        <w:tc>
          <w:tcPr>
            <w:tcW w:w="160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1"/>
                <w:szCs w:val="11"/>
                <w:b w:val="1"/>
                <w:bCs w:val="1"/>
                <w:color w:val="auto"/>
                <w:w w:val="99"/>
              </w:rPr>
              <w:t>Convertible</w:t>
            </w:r>
          </w:p>
        </w:tc>
        <w:tc>
          <w:tcPr>
            <w:tcW w:w="60" w:type="dxa"/>
            <w:vAlign w:val="bottom"/>
          </w:tcPr>
          <w:p>
            <w:pPr>
              <w:spacing w:after="0"/>
              <w:rPr>
                <w:sz w:val="23"/>
                <w:szCs w:val="23"/>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60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1"/>
                <w:szCs w:val="11"/>
                <w:b w:val="1"/>
                <w:bCs w:val="1"/>
                <w:color w:val="auto"/>
                <w:w w:val="97"/>
              </w:rPr>
              <w:t>Preferred Stock</w:t>
            </w:r>
          </w:p>
        </w:tc>
        <w:tc>
          <w:tcPr>
            <w:tcW w:w="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8"/>
              </w:rPr>
              <w:t>Accumulated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7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6"/>
              </w:rPr>
              <w:t>Additional</w:t>
            </w:r>
          </w:p>
        </w:tc>
        <w:tc>
          <w:tcPr>
            <w:tcW w:w="920" w:type="dxa"/>
            <w:vAlign w:val="bottom"/>
            <w:gridSpan w:val="3"/>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5"/>
              </w:rPr>
              <w:t>Other</w:t>
            </w: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w:t>
            </w:r>
          </w:p>
        </w:tc>
        <w:tc>
          <w:tcPr>
            <w:tcW w:w="74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74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9"/>
                <w:szCs w:val="9"/>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Shares</w:t>
            </w:r>
          </w:p>
        </w:tc>
        <w:tc>
          <w:tcPr>
            <w:tcW w:w="68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Paid-In</w:t>
            </w:r>
          </w:p>
        </w:tc>
        <w:tc>
          <w:tcPr>
            <w:tcW w:w="92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Comprehensive</w:t>
            </w: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center"/>
              <w:ind w:right="70"/>
              <w:spacing w:after="0" w:line="108"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9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6"/>
              </w:rPr>
              <w:t>Income (Loss)</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600" w:type="dxa"/>
            <w:vAlign w:val="bottom"/>
          </w:tcPr>
          <w:p>
            <w:pPr>
              <w:jc w:val="center"/>
              <w:ind w:right="50"/>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20"/>
        </w:trPr>
        <w:tc>
          <w:tcPr>
            <w:tcW w:w="1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4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Balance—December</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16,262,425</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$72,252</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1,557,900</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(24,276)</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(23,987)</w:t>
            </w: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31, 2018</w:t>
            </w: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line="153" w:lineRule="exact"/>
              <w:rPr>
                <w:sz w:val="20"/>
                <w:szCs w:val="20"/>
                <w:color w:val="auto"/>
              </w:rPr>
            </w:pPr>
            <w:r>
              <w:rPr>
                <w:rFonts w:ascii="Arial" w:cs="Arial" w:eastAsia="Arial" w:hAnsi="Arial"/>
                <w:sz w:val="14"/>
                <w:szCs w:val="14"/>
                <w:color w:val="auto"/>
              </w:rPr>
              <w:t>Vesting of founder</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shares subject to</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68,931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420" w:type="dxa"/>
            <w:vAlign w:val="bottom"/>
          </w:tcPr>
          <w:p>
            <w:pPr>
              <w:ind w:left="20"/>
              <w:spacing w:after="0"/>
              <w:rPr>
                <w:sz w:val="20"/>
                <w:szCs w:val="20"/>
                <w:color w:val="auto"/>
              </w:rPr>
            </w:pPr>
            <w:r>
              <w:rPr>
                <w:rFonts w:ascii="Arial" w:cs="Arial" w:eastAsia="Arial" w:hAnsi="Arial"/>
                <w:sz w:val="14"/>
                <w:szCs w:val="14"/>
                <w:color w:val="auto"/>
              </w:rPr>
              <w:t>repurchase</w:t>
            </w:r>
          </w:p>
        </w:tc>
        <w:tc>
          <w:tcPr>
            <w:tcW w:w="860" w:type="dxa"/>
            <w:vAlign w:val="bottom"/>
            <w:gridSpan w:val="2"/>
            <w:vMerge w:val="continue"/>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Lapse of repurchase</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rights related to</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issued pursuant to</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65,868</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early exercises</w:t>
            </w:r>
          </w:p>
        </w:tc>
        <w:tc>
          <w:tcPr>
            <w:tcW w:w="860" w:type="dxa"/>
            <w:vAlign w:val="bottom"/>
            <w:gridSpan w:val="2"/>
            <w:vMerge w:val="continue"/>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line="153" w:lineRule="exact"/>
              <w:rPr>
                <w:sz w:val="20"/>
                <w:szCs w:val="20"/>
                <w:color w:val="auto"/>
              </w:rPr>
            </w:pPr>
            <w:r>
              <w:rPr>
                <w:rFonts w:ascii="Arial" w:cs="Arial" w:eastAsia="Arial" w:hAnsi="Arial"/>
                <w:sz w:val="14"/>
                <w:szCs w:val="14"/>
                <w:color w:val="auto"/>
              </w:rPr>
              <w:t>Stock-based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compensation</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1"/>
        </w:trPr>
        <w:tc>
          <w:tcPr>
            <w:tcW w:w="1420" w:type="dxa"/>
            <w:vAlign w:val="bottom"/>
          </w:tcPr>
          <w:p>
            <w:pPr>
              <w:ind w:left="20"/>
              <w:spacing w:after="0"/>
              <w:rPr>
                <w:sz w:val="20"/>
                <w:szCs w:val="20"/>
                <w:color w:val="auto"/>
              </w:rPr>
            </w:pPr>
            <w:r>
              <w:rPr>
                <w:rFonts w:ascii="Arial" w:cs="Arial" w:eastAsia="Arial" w:hAnsi="Arial"/>
                <w:sz w:val="14"/>
                <w:szCs w:val="14"/>
                <w:color w:val="auto"/>
              </w:rPr>
              <w:t>expense</w:t>
            </w:r>
          </w:p>
        </w:tc>
        <w:tc>
          <w:tcPr>
            <w:tcW w:w="860" w:type="dxa"/>
            <w:vAlign w:val="bottom"/>
            <w:gridSpan w:val="2"/>
            <w:vMerge w:val="continue"/>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Unrealized gain on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short term</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860" w:type="dxa"/>
            <w:vAlign w:val="bottom"/>
            <w:gridSpan w:val="2"/>
            <w:vMerge w:val="continue"/>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(6,658)</w:t>
            </w:r>
          </w:p>
        </w:tc>
        <w:tc>
          <w:tcPr>
            <w:tcW w:w="0" w:type="dxa"/>
            <w:vAlign w:val="bottom"/>
          </w:tcPr>
          <w:p>
            <w:pPr>
              <w:spacing w:after="0"/>
              <w:rPr>
                <w:sz w:val="1"/>
                <w:szCs w:val="1"/>
                <w:color w:val="auto"/>
              </w:rPr>
            </w:pPr>
          </w:p>
        </w:tc>
      </w:tr>
      <w:tr>
        <w:trPr>
          <w:trHeight w:val="133"/>
        </w:trPr>
        <w:tc>
          <w:tcPr>
            <w:tcW w:w="14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Balance—March 31,</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16,262,425</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$72,252</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1,692,699</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(30,934)</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(30,539)</w:t>
            </w: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line="153" w:lineRule="exact"/>
              <w:rPr>
                <w:sz w:val="20"/>
                <w:szCs w:val="20"/>
                <w:color w:val="auto"/>
              </w:rPr>
            </w:pPr>
            <w:r>
              <w:rPr>
                <w:rFonts w:ascii="Arial" w:cs="Arial" w:eastAsia="Arial" w:hAnsi="Arial"/>
                <w:sz w:val="14"/>
                <w:szCs w:val="14"/>
                <w:color w:val="auto"/>
              </w:rPr>
              <w:t>Vesting of founder</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shares subject to</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68,931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420" w:type="dxa"/>
            <w:vAlign w:val="bottom"/>
          </w:tcPr>
          <w:p>
            <w:pPr>
              <w:ind w:left="20"/>
              <w:spacing w:after="0"/>
              <w:rPr>
                <w:sz w:val="20"/>
                <w:szCs w:val="20"/>
                <w:color w:val="auto"/>
              </w:rPr>
            </w:pPr>
            <w:r>
              <w:rPr>
                <w:rFonts w:ascii="Arial" w:cs="Arial" w:eastAsia="Arial" w:hAnsi="Arial"/>
                <w:sz w:val="14"/>
                <w:szCs w:val="14"/>
                <w:color w:val="auto"/>
              </w:rPr>
              <w:t>repurchase</w:t>
            </w:r>
          </w:p>
        </w:tc>
        <w:tc>
          <w:tcPr>
            <w:tcW w:w="860" w:type="dxa"/>
            <w:vAlign w:val="bottom"/>
            <w:gridSpan w:val="2"/>
            <w:vMerge w:val="continue"/>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Lapse of repurchase</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rights related to</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issued pursuant to</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65,868</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early exercises</w:t>
            </w:r>
          </w:p>
        </w:tc>
        <w:tc>
          <w:tcPr>
            <w:tcW w:w="860" w:type="dxa"/>
            <w:vAlign w:val="bottom"/>
            <w:gridSpan w:val="2"/>
            <w:vMerge w:val="continue"/>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line="153" w:lineRule="exact"/>
              <w:rPr>
                <w:sz w:val="20"/>
                <w:szCs w:val="20"/>
                <w:color w:val="auto"/>
              </w:rPr>
            </w:pPr>
            <w:r>
              <w:rPr>
                <w:rFonts w:ascii="Arial" w:cs="Arial" w:eastAsia="Arial" w:hAnsi="Arial"/>
                <w:sz w:val="14"/>
                <w:szCs w:val="14"/>
                <w:color w:val="auto"/>
              </w:rPr>
              <w:t>Stock-based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compensation</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1"/>
        </w:trPr>
        <w:tc>
          <w:tcPr>
            <w:tcW w:w="1420" w:type="dxa"/>
            <w:vAlign w:val="bottom"/>
          </w:tcPr>
          <w:p>
            <w:pPr>
              <w:ind w:left="20"/>
              <w:spacing w:after="0"/>
              <w:rPr>
                <w:sz w:val="20"/>
                <w:szCs w:val="20"/>
                <w:color w:val="auto"/>
              </w:rPr>
            </w:pPr>
            <w:r>
              <w:rPr>
                <w:rFonts w:ascii="Arial" w:cs="Arial" w:eastAsia="Arial" w:hAnsi="Arial"/>
                <w:sz w:val="14"/>
                <w:szCs w:val="14"/>
                <w:color w:val="auto"/>
              </w:rPr>
              <w:t>expense</w:t>
            </w:r>
          </w:p>
        </w:tc>
        <w:tc>
          <w:tcPr>
            <w:tcW w:w="860" w:type="dxa"/>
            <w:vAlign w:val="bottom"/>
            <w:gridSpan w:val="2"/>
            <w:vMerge w:val="continue"/>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Unrealized gain on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short term</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860" w:type="dxa"/>
            <w:vAlign w:val="bottom"/>
            <w:gridSpan w:val="2"/>
            <w:vMerge w:val="continue"/>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(8,290)</w:t>
            </w:r>
          </w:p>
        </w:tc>
        <w:tc>
          <w:tcPr>
            <w:tcW w:w="0" w:type="dxa"/>
            <w:vAlign w:val="bottom"/>
          </w:tcPr>
          <w:p>
            <w:pPr>
              <w:spacing w:after="0"/>
              <w:rPr>
                <w:sz w:val="1"/>
                <w:szCs w:val="1"/>
                <w:color w:val="auto"/>
              </w:rPr>
            </w:pPr>
          </w:p>
        </w:tc>
      </w:tr>
      <w:tr>
        <w:trPr>
          <w:trHeight w:val="133"/>
        </w:trPr>
        <w:tc>
          <w:tcPr>
            <w:tcW w:w="14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Balance—June 30,</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16,262,425</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$72,252</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1,827,498</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(39,224)</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(38,659)</w:t>
            </w: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stock upon the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exercise of stock</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15,885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1"/>
        </w:trPr>
        <w:tc>
          <w:tcPr>
            <w:tcW w:w="1420" w:type="dxa"/>
            <w:vAlign w:val="bottom"/>
          </w:tcPr>
          <w:p>
            <w:pPr>
              <w:ind w:left="20"/>
              <w:spacing w:after="0"/>
              <w:rPr>
                <w:sz w:val="20"/>
                <w:szCs w:val="20"/>
                <w:color w:val="auto"/>
              </w:rPr>
            </w:pPr>
            <w:r>
              <w:rPr>
                <w:rFonts w:ascii="Arial" w:cs="Arial" w:eastAsia="Arial" w:hAnsi="Arial"/>
                <w:sz w:val="14"/>
                <w:szCs w:val="14"/>
                <w:color w:val="auto"/>
              </w:rPr>
              <w:t>options</w:t>
            </w:r>
          </w:p>
        </w:tc>
        <w:tc>
          <w:tcPr>
            <w:tcW w:w="860" w:type="dxa"/>
            <w:vAlign w:val="bottom"/>
            <w:gridSpan w:val="2"/>
            <w:vMerge w:val="continue"/>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Vesting of founder</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shares subject to</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68,932</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w:t>
            </w:r>
          </w:p>
        </w:tc>
        <w:tc>
          <w:tcPr>
            <w:tcW w:w="860" w:type="dxa"/>
            <w:vAlign w:val="bottom"/>
            <w:gridSpan w:val="2"/>
            <w:vMerge w:val="continue"/>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line="153" w:lineRule="exact"/>
              <w:rPr>
                <w:sz w:val="20"/>
                <w:szCs w:val="20"/>
                <w:color w:val="auto"/>
              </w:rPr>
            </w:pPr>
            <w:r>
              <w:rPr>
                <w:rFonts w:ascii="Arial" w:cs="Arial" w:eastAsia="Arial" w:hAnsi="Arial"/>
                <w:sz w:val="14"/>
                <w:szCs w:val="14"/>
                <w:color w:val="auto"/>
              </w:rPr>
              <w:t>Lapse of repurchase</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rights related to</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common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issued pursuant to</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65,869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1"/>
        </w:trPr>
        <w:tc>
          <w:tcPr>
            <w:tcW w:w="1420" w:type="dxa"/>
            <w:vAlign w:val="bottom"/>
          </w:tcPr>
          <w:p>
            <w:pPr>
              <w:ind w:left="20"/>
              <w:spacing w:after="0"/>
              <w:rPr>
                <w:sz w:val="20"/>
                <w:szCs w:val="20"/>
                <w:color w:val="auto"/>
              </w:rPr>
            </w:pPr>
            <w:r>
              <w:rPr>
                <w:rFonts w:ascii="Arial" w:cs="Arial" w:eastAsia="Arial" w:hAnsi="Arial"/>
                <w:sz w:val="14"/>
                <w:szCs w:val="14"/>
                <w:color w:val="auto"/>
              </w:rPr>
              <w:t>early exercises</w:t>
            </w:r>
          </w:p>
        </w:tc>
        <w:tc>
          <w:tcPr>
            <w:tcW w:w="860" w:type="dxa"/>
            <w:vAlign w:val="bottom"/>
            <w:gridSpan w:val="2"/>
            <w:vMerge w:val="continue"/>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Stock-based</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compensation</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860" w:type="dxa"/>
            <w:vAlign w:val="bottom"/>
            <w:gridSpan w:val="2"/>
            <w:vMerge w:val="continue"/>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line="153" w:lineRule="exact"/>
              <w:rPr>
                <w:sz w:val="20"/>
                <w:szCs w:val="20"/>
                <w:color w:val="auto"/>
              </w:rPr>
            </w:pPr>
            <w:r>
              <w:rPr>
                <w:rFonts w:ascii="Arial" w:cs="Arial" w:eastAsia="Arial" w:hAnsi="Arial"/>
                <w:sz w:val="14"/>
                <w:szCs w:val="14"/>
                <w:color w:val="auto"/>
              </w:rPr>
              <w:t>Unrealized gain 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short term</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142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860" w:type="dxa"/>
            <w:vAlign w:val="bottom"/>
            <w:gridSpan w:val="2"/>
            <w:vMerge w:val="continue"/>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(14,480)</w:t>
            </w:r>
          </w:p>
        </w:tc>
        <w:tc>
          <w:tcPr>
            <w:tcW w:w="0" w:type="dxa"/>
            <w:vAlign w:val="bottom"/>
          </w:tcPr>
          <w:p>
            <w:pPr>
              <w:spacing w:after="0"/>
              <w:rPr>
                <w:sz w:val="1"/>
                <w:szCs w:val="1"/>
                <w:color w:val="auto"/>
              </w:rPr>
            </w:pPr>
          </w:p>
        </w:tc>
      </w:tr>
      <w:tr>
        <w:trPr>
          <w:trHeight w:val="133"/>
        </w:trPr>
        <w:tc>
          <w:tcPr>
            <w:tcW w:w="1420" w:type="dxa"/>
            <w:vAlign w:val="bottom"/>
          </w:tcPr>
          <w:p>
            <w:pPr>
              <w:ind w:left="20"/>
              <w:spacing w:after="0" w:line="133" w:lineRule="exact"/>
              <w:rPr>
                <w:sz w:val="20"/>
                <w:szCs w:val="20"/>
                <w:color w:val="auto"/>
              </w:rPr>
            </w:pPr>
            <w:r>
              <w:rPr>
                <w:rFonts w:ascii="Arial" w:cs="Arial" w:eastAsia="Arial" w:hAnsi="Arial"/>
                <w:sz w:val="14"/>
                <w:szCs w:val="14"/>
                <w:color w:val="auto"/>
              </w:rPr>
              <w:t>Balance—September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16,262,425</w:t>
            </w:r>
          </w:p>
        </w:tc>
        <w:tc>
          <w:tcPr>
            <w:tcW w:w="8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72,252</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1,978,184</w:t>
            </w:r>
          </w:p>
        </w:tc>
        <w:tc>
          <w:tcPr>
            <w:tcW w:w="80" w:type="dxa"/>
            <w:vAlign w:val="bottom"/>
          </w:tcPr>
          <w:p>
            <w:pPr>
              <w:spacing w:after="0"/>
              <w:rPr>
                <w:sz w:val="11"/>
                <w:szCs w:val="11"/>
                <w:color w:val="auto"/>
              </w:rPr>
            </w:pPr>
          </w:p>
        </w:tc>
        <w:tc>
          <w:tcPr>
            <w:tcW w:w="34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(53,704)</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(52,950)</w:t>
            </w:r>
          </w:p>
        </w:tc>
        <w:tc>
          <w:tcPr>
            <w:tcW w:w="0" w:type="dxa"/>
            <w:vAlign w:val="bottom"/>
          </w:tcPr>
          <w:p>
            <w:pPr>
              <w:spacing w:after="0"/>
              <w:rPr>
                <w:sz w:val="1"/>
                <w:szCs w:val="1"/>
                <w:color w:val="auto"/>
              </w:rPr>
            </w:pPr>
          </w:p>
        </w:tc>
      </w:tr>
      <w:tr>
        <w:trPr>
          <w:trHeight w:val="189"/>
        </w:trPr>
        <w:tc>
          <w:tcPr>
            <w:tcW w:w="1420" w:type="dxa"/>
            <w:vAlign w:val="bottom"/>
          </w:tcPr>
          <w:p>
            <w:pPr>
              <w:ind w:left="20"/>
              <w:spacing w:after="0" w:line="144" w:lineRule="exact"/>
              <w:rPr>
                <w:sz w:val="20"/>
                <w:szCs w:val="20"/>
                <w:color w:val="auto"/>
              </w:rPr>
            </w:pPr>
            <w:r>
              <w:rPr>
                <w:rFonts w:ascii="Arial" w:cs="Arial" w:eastAsia="Arial" w:hAnsi="Arial"/>
                <w:sz w:val="14"/>
                <w:szCs w:val="14"/>
                <w:color w:val="auto"/>
              </w:rPr>
              <w:t>30, 2019</w:t>
            </w: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ind w:right="243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w:t>
      </w:r>
    </w:p>
    <w:p>
      <w:pPr>
        <w:jc w:val="center"/>
        <w:ind w:right="2439"/>
        <w:spacing w:after="0"/>
        <w:rPr>
          <w:sz w:val="20"/>
          <w:szCs w:val="20"/>
          <w:color w:val="auto"/>
        </w:rPr>
      </w:pPr>
      <w:r>
        <w:rPr>
          <w:rFonts w:ascii="Arial" w:cs="Arial" w:eastAsia="Arial" w:hAnsi="Arial"/>
          <w:sz w:val="18"/>
          <w:szCs w:val="18"/>
          <w:i w:val="1"/>
          <w:iCs w:val="1"/>
          <w:color w:val="auto"/>
        </w:rPr>
        <w:t>statements</w:t>
      </w:r>
    </w:p>
    <w:p>
      <w:pPr>
        <w:sectPr>
          <w:pgSz w:w="11900" w:h="16838" w:orient="portrait"/>
          <w:cols w:equalWidth="0" w:num="1">
            <w:col w:w="10139"/>
          </w:cols>
          <w:pgMar w:left="3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9" w:right="1440"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ARCUTIS BIOTHERAPEUTICS, INC.</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jc w:val="center"/>
        <w:ind w:right="2139"/>
        <w:spacing w:after="0" w:line="203" w:lineRule="auto"/>
        <w:rPr>
          <w:sz w:val="20"/>
          <w:szCs w:val="20"/>
          <w:color w:val="auto"/>
        </w:rPr>
      </w:pPr>
      <w:r>
        <w:rPr>
          <w:rFonts w:ascii="Arial" w:cs="Arial" w:eastAsia="Arial" w:hAnsi="Arial"/>
          <w:sz w:val="18"/>
          <w:szCs w:val="18"/>
          <w:b w:val="1"/>
          <w:bCs w:val="1"/>
          <w:color w:val="auto"/>
        </w:rPr>
        <w:t>(In thousands, except share data)</w:t>
      </w:r>
    </w:p>
    <w:p>
      <w:pPr>
        <w:jc w:val="center"/>
        <w:ind w:right="2139"/>
        <w:spacing w:after="0"/>
        <w:rPr>
          <w:sz w:val="20"/>
          <w:szCs w:val="20"/>
          <w:color w:val="auto"/>
        </w:rPr>
      </w:pPr>
      <w:r>
        <w:rPr>
          <w:rFonts w:ascii="Arial" w:cs="Arial" w:eastAsia="Arial" w:hAnsi="Arial"/>
          <w:sz w:val="18"/>
          <w:szCs w:val="18"/>
          <w:b w:val="1"/>
          <w:bCs w:val="1"/>
          <w:color w:val="auto"/>
        </w:rPr>
        <w:t>(unaudited)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80" w:type="dxa"/>
            <w:vAlign w:val="bottom"/>
          </w:tcPr>
          <w:p>
            <w:pPr>
              <w:spacing w:after="0"/>
              <w:rPr>
                <w:sz w:val="12"/>
                <w:szCs w:val="12"/>
                <w:color w:val="auto"/>
              </w:rPr>
            </w:pPr>
          </w:p>
        </w:tc>
        <w:tc>
          <w:tcPr>
            <w:tcW w:w="1320" w:type="dxa"/>
            <w:vAlign w:val="bottom"/>
            <w:gridSpan w:val="3"/>
          </w:tcPr>
          <w:p>
            <w:pPr>
              <w:jc w:val="right"/>
              <w:ind w:right="131"/>
              <w:spacing w:after="0"/>
              <w:rPr>
                <w:sz w:val="20"/>
                <w:szCs w:val="20"/>
                <w:color w:val="auto"/>
              </w:rPr>
            </w:pPr>
            <w:r>
              <w:rPr>
                <w:rFonts w:ascii="Arial" w:cs="Arial" w:eastAsia="Arial" w:hAnsi="Arial"/>
                <w:sz w:val="11"/>
                <w:szCs w:val="11"/>
                <w:b w:val="1"/>
                <w:bCs w:val="1"/>
                <w:color w:val="auto"/>
              </w:rPr>
              <w:t>Convertible</w:t>
            </w:r>
          </w:p>
        </w:tc>
        <w:tc>
          <w:tcPr>
            <w:tcW w:w="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1"/>
                <w:szCs w:val="11"/>
                <w:b w:val="1"/>
                <w:bCs w:val="1"/>
                <w:color w:val="auto"/>
                <w:w w:val="96"/>
              </w:rPr>
              <w:t>Additional</w:t>
            </w:r>
          </w:p>
        </w:tc>
        <w:tc>
          <w:tcPr>
            <w:tcW w:w="9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7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320" w:type="dxa"/>
            <w:vAlign w:val="bottom"/>
            <w:gridSpan w:val="3"/>
          </w:tcPr>
          <w:p>
            <w:pPr>
              <w:jc w:val="right"/>
              <w:ind w:right="31"/>
              <w:spacing w:after="0" w:line="108" w:lineRule="exact"/>
              <w:rPr>
                <w:sz w:val="20"/>
                <w:szCs w:val="20"/>
                <w:color w:val="auto"/>
              </w:rPr>
            </w:pPr>
            <w:r>
              <w:rPr>
                <w:rFonts w:ascii="Arial" w:cs="Arial" w:eastAsia="Arial" w:hAnsi="Arial"/>
                <w:sz w:val="11"/>
                <w:szCs w:val="11"/>
                <w:b w:val="1"/>
                <w:bCs w:val="1"/>
                <w:color w:val="auto"/>
              </w:rPr>
              <w:t>Preferred Stock</w:t>
            </w: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Paid-In</w:t>
            </w:r>
          </w:p>
        </w:tc>
        <w:tc>
          <w:tcPr>
            <w:tcW w:w="920" w:type="dxa"/>
            <w:vAlign w:val="bottom"/>
            <w:gridSpan w:val="3"/>
            <w:vMerge w:val="restart"/>
          </w:tcPr>
          <w:p>
            <w:pPr>
              <w:ind w:left="20"/>
              <w:spacing w:after="0" w:line="108" w:lineRule="exact"/>
              <w:rPr>
                <w:sz w:val="20"/>
                <w:szCs w:val="20"/>
                <w:color w:val="auto"/>
              </w:rPr>
            </w:pPr>
            <w:r>
              <w:rPr>
                <w:rFonts w:ascii="Arial" w:cs="Arial" w:eastAsia="Arial" w:hAnsi="Arial"/>
                <w:sz w:val="11"/>
                <w:szCs w:val="11"/>
                <w:b w:val="1"/>
                <w:bCs w:val="1"/>
                <w:color w:val="auto"/>
              </w:rPr>
              <w:t>Comprehensive</w:t>
            </w:r>
          </w:p>
        </w:tc>
        <w:tc>
          <w:tcPr>
            <w:tcW w:w="840" w:type="dxa"/>
            <w:vAlign w:val="bottom"/>
            <w:gridSpan w:val="3"/>
            <w:vMerge w:val="restart"/>
          </w:tcPr>
          <w:p>
            <w:pPr>
              <w:ind w:left="40"/>
              <w:spacing w:after="0" w:line="108"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4"/>
                <w:szCs w:val="4"/>
                <w:color w:val="auto"/>
              </w:rPr>
            </w:pPr>
          </w:p>
        </w:tc>
        <w:tc>
          <w:tcPr>
            <w:tcW w:w="620" w:type="dxa"/>
            <w:vAlign w:val="bottom"/>
            <w:vMerge w:val="restart"/>
          </w:tcPr>
          <w:p>
            <w:pPr>
              <w:jc w:val="center"/>
              <w:ind w:right="70"/>
              <w:spacing w:after="0" w:line="108"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94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800" w:type="dxa"/>
            <w:vAlign w:val="bottom"/>
            <w:tcBorders>
              <w:right w:val="single" w:sz="8" w:color="auto"/>
            </w:tcBorders>
            <w:gridSpan w:val="3"/>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6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3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0" w:type="dxa"/>
            <w:vAlign w:val="bottom"/>
            <w:tcBorders>
              <w:right w:val="single" w:sz="8" w:color="auto"/>
            </w:tcBorders>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92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9"/>
              </w:rPr>
              <w:t>Income (Loss)</w:t>
            </w:r>
          </w:p>
        </w:tc>
        <w:tc>
          <w:tcPr>
            <w:tcW w:w="120" w:type="dxa"/>
            <w:vAlign w:val="bottom"/>
          </w:tcPr>
          <w:p>
            <w:pPr>
              <w:spacing w:after="0"/>
              <w:rPr>
                <w:sz w:val="12"/>
                <w:szCs w:val="12"/>
                <w:color w:val="auto"/>
              </w:rPr>
            </w:pP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620" w:type="dxa"/>
            <w:vAlign w:val="bottom"/>
          </w:tcPr>
          <w:p>
            <w:pPr>
              <w:jc w:val="center"/>
              <w:ind w:right="70"/>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20"/>
        </w:trPr>
        <w:tc>
          <w:tcPr>
            <w:tcW w:w="1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3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Balance—December</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24,385,388</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$166,491</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2,120,853</w:t>
            </w:r>
          </w:p>
        </w:tc>
        <w:tc>
          <w:tcPr>
            <w:tcW w:w="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(66,272)</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(65,029)</w:t>
            </w:r>
          </w:p>
        </w:tc>
        <w:tc>
          <w:tcPr>
            <w:tcW w:w="0" w:type="dxa"/>
            <w:vAlign w:val="bottom"/>
          </w:tcPr>
          <w:p>
            <w:pPr>
              <w:spacing w:after="0"/>
              <w:rPr>
                <w:sz w:val="1"/>
                <w:szCs w:val="1"/>
                <w:color w:val="auto"/>
              </w:rPr>
            </w:pPr>
          </w:p>
        </w:tc>
      </w:tr>
      <w:tr>
        <w:trPr>
          <w:trHeight w:val="171"/>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31, 2019</w:t>
            </w: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3" w:lineRule="exact"/>
              <w:rPr>
                <w:sz w:val="20"/>
                <w:szCs w:val="20"/>
                <w:color w:val="auto"/>
              </w:rPr>
            </w:pPr>
            <w:r>
              <w:rPr>
                <w:rFonts w:ascii="Arial" w:cs="Arial" w:eastAsia="Arial" w:hAnsi="Arial"/>
                <w:sz w:val="14"/>
                <w:szCs w:val="14"/>
                <w:color w:val="auto"/>
              </w:rPr>
              <w:t>Conversion of</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preferred stock into</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common stock upon</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(24,385,388)</w:t>
            </w:r>
          </w:p>
        </w:tc>
        <w:tc>
          <w:tcPr>
            <w:tcW w:w="8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(166,491)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24,385,388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166,489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166,491</w:t>
            </w: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color w:val="auto"/>
              </w:rPr>
              <w:t>initial public offering</w:t>
            </w: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shares</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of 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net of issuance</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costs of $16.0</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10,781,250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167,240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167,241</w:t>
            </w:r>
          </w:p>
        </w:tc>
        <w:tc>
          <w:tcPr>
            <w:tcW w:w="0" w:type="dxa"/>
            <w:vAlign w:val="bottom"/>
          </w:tcPr>
          <w:p>
            <w:pPr>
              <w:spacing w:after="0"/>
              <w:rPr>
                <w:sz w:val="1"/>
                <w:szCs w:val="1"/>
                <w:color w:val="auto"/>
              </w:rPr>
            </w:pPr>
          </w:p>
        </w:tc>
      </w:tr>
      <w:tr>
        <w:trPr>
          <w:trHeight w:val="171"/>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million</w:t>
            </w: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stock upon the</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exercise of stock</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51,147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color w:val="auto"/>
              </w:rPr>
              <w:t>options</w:t>
            </w: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Vesting of founder</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shares subject to</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68,931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w:t>
            </w: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3" w:lineRule="exact"/>
              <w:rPr>
                <w:sz w:val="20"/>
                <w:szCs w:val="20"/>
                <w:color w:val="auto"/>
              </w:rPr>
            </w:pPr>
            <w:r>
              <w:rPr>
                <w:rFonts w:ascii="Arial" w:cs="Arial" w:eastAsia="Arial" w:hAnsi="Arial"/>
                <w:sz w:val="14"/>
                <w:szCs w:val="14"/>
                <w:color w:val="auto"/>
              </w:rPr>
              <w:t>Lapse of repurchase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rights related to</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common stock</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issued pursuant to</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64,428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color w:val="auto"/>
              </w:rPr>
              <w:t>early exercises</w:t>
            </w: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Stock-based</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compensation</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71"/>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3" w:lineRule="exact"/>
              <w:rPr>
                <w:sz w:val="20"/>
                <w:szCs w:val="20"/>
                <w:color w:val="auto"/>
              </w:rPr>
            </w:pPr>
            <w:r>
              <w:rPr>
                <w:rFonts w:ascii="Arial" w:cs="Arial" w:eastAsia="Arial" w:hAnsi="Arial"/>
                <w:sz w:val="14"/>
                <w:szCs w:val="14"/>
                <w:color w:val="auto"/>
              </w:rPr>
              <w:t>Unrealized gain on</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short term</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(28,013)</w:t>
            </w:r>
          </w:p>
        </w:tc>
        <w:tc>
          <w:tcPr>
            <w:tcW w:w="0" w:type="dxa"/>
            <w:vAlign w:val="bottom"/>
          </w:tcPr>
          <w:p>
            <w:pPr>
              <w:spacing w:after="0"/>
              <w:rPr>
                <w:sz w:val="1"/>
                <w:szCs w:val="1"/>
                <w:color w:val="auto"/>
              </w:rPr>
            </w:pPr>
          </w:p>
        </w:tc>
      </w:tr>
      <w:tr>
        <w:trPr>
          <w:trHeight w:val="133"/>
        </w:trPr>
        <w:tc>
          <w:tcPr>
            <w:tcW w:w="1380" w:type="dxa"/>
            <w:vAlign w:val="bottom"/>
          </w:tcPr>
          <w:p>
            <w:pPr>
              <w:ind w:left="20"/>
              <w:spacing w:after="0" w:line="133" w:lineRule="exact"/>
              <w:rPr>
                <w:sz w:val="20"/>
                <w:szCs w:val="20"/>
                <w:color w:val="auto"/>
              </w:rPr>
            </w:pPr>
            <w:r>
              <w:rPr>
                <w:rFonts w:ascii="Arial" w:cs="Arial" w:eastAsia="Arial" w:hAnsi="Arial"/>
                <w:sz w:val="14"/>
                <w:szCs w:val="14"/>
                <w:color w:val="auto"/>
              </w:rPr>
              <w:t>Balance—March 31,</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211"/>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37,471,997</w:t>
            </w:r>
          </w:p>
        </w:tc>
        <w:tc>
          <w:tcPr>
            <w:tcW w:w="80" w:type="dxa"/>
            <w:vAlign w:val="bottom"/>
          </w:tcPr>
          <w:p>
            <w:pPr>
              <w:spacing w:after="0"/>
              <w:rPr>
                <w:sz w:val="11"/>
                <w:szCs w:val="11"/>
                <w:color w:val="auto"/>
              </w:rPr>
            </w:pPr>
          </w:p>
        </w:tc>
        <w:tc>
          <w:tcPr>
            <w:tcW w:w="3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336,145</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(94,285)</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241,882</w:t>
            </w: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color w:val="auto"/>
              </w:rPr>
              <w:t>2020</w:t>
            </w:r>
          </w:p>
        </w:tc>
        <w:tc>
          <w:tcPr>
            <w:tcW w:w="94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 upon the</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exercise of stock</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14,875</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1"/>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3" w:lineRule="exact"/>
              <w:rPr>
                <w:sz w:val="20"/>
                <w:szCs w:val="20"/>
                <w:color w:val="auto"/>
              </w:rPr>
            </w:pPr>
            <w:r>
              <w:rPr>
                <w:rFonts w:ascii="Arial" w:cs="Arial" w:eastAsia="Arial" w:hAnsi="Arial"/>
                <w:sz w:val="14"/>
                <w:szCs w:val="14"/>
                <w:color w:val="auto"/>
              </w:rPr>
              <w:t>Vesting of founder</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shares subject to</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68,932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color w:val="auto"/>
              </w:rPr>
              <w:t>repurchase</w:t>
            </w: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Lapse of repurchase</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rights related to</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issued pursuant to</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114,392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1"/>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early exercises</w:t>
            </w: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3" w:lineRule="exact"/>
              <w:rPr>
                <w:sz w:val="20"/>
                <w:szCs w:val="20"/>
                <w:color w:val="auto"/>
              </w:rPr>
            </w:pPr>
            <w:r>
              <w:rPr>
                <w:rFonts w:ascii="Arial" w:cs="Arial" w:eastAsia="Arial" w:hAnsi="Arial"/>
                <w:sz w:val="14"/>
                <w:szCs w:val="14"/>
                <w:color w:val="auto"/>
              </w:rPr>
              <w:t>Shares issued</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pursuant to the</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employee stock</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19,862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Stock-based</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compensation</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171"/>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3" w:lineRule="exact"/>
              <w:rPr>
                <w:sz w:val="20"/>
                <w:szCs w:val="20"/>
                <w:color w:val="auto"/>
              </w:rPr>
            </w:pPr>
            <w:r>
              <w:rPr>
                <w:rFonts w:ascii="Arial" w:cs="Arial" w:eastAsia="Arial" w:hAnsi="Arial"/>
                <w:sz w:val="14"/>
                <w:szCs w:val="14"/>
                <w:color w:val="auto"/>
              </w:rPr>
              <w:t>Unrealized gain on</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short term</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(35,412)</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(35,412)</w:t>
            </w:r>
          </w:p>
        </w:tc>
        <w:tc>
          <w:tcPr>
            <w:tcW w:w="0" w:type="dxa"/>
            <w:vAlign w:val="bottom"/>
          </w:tcPr>
          <w:p>
            <w:pPr>
              <w:spacing w:after="0"/>
              <w:rPr>
                <w:sz w:val="1"/>
                <w:szCs w:val="1"/>
                <w:color w:val="auto"/>
              </w:rPr>
            </w:pPr>
          </w:p>
        </w:tc>
      </w:tr>
      <w:tr>
        <w:trPr>
          <w:trHeight w:val="133"/>
        </w:trPr>
        <w:tc>
          <w:tcPr>
            <w:tcW w:w="1380" w:type="dxa"/>
            <w:vAlign w:val="bottom"/>
          </w:tcPr>
          <w:p>
            <w:pPr>
              <w:ind w:left="20"/>
              <w:spacing w:after="0" w:line="133" w:lineRule="exact"/>
              <w:rPr>
                <w:sz w:val="20"/>
                <w:szCs w:val="20"/>
                <w:color w:val="auto"/>
              </w:rPr>
            </w:pPr>
            <w:r>
              <w:rPr>
                <w:rFonts w:ascii="Arial" w:cs="Arial" w:eastAsia="Arial" w:hAnsi="Arial"/>
                <w:sz w:val="14"/>
                <w:szCs w:val="14"/>
                <w:color w:val="auto"/>
              </w:rPr>
              <w:t>Balance—June 30,</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211"/>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37,690,058</w:t>
            </w:r>
          </w:p>
        </w:tc>
        <w:tc>
          <w:tcPr>
            <w:tcW w:w="80" w:type="dxa"/>
            <w:vAlign w:val="bottom"/>
          </w:tcPr>
          <w:p>
            <w:pPr>
              <w:spacing w:after="0"/>
              <w:rPr>
                <w:sz w:val="11"/>
                <w:szCs w:val="11"/>
                <w:color w:val="auto"/>
              </w:rPr>
            </w:pPr>
          </w:p>
        </w:tc>
        <w:tc>
          <w:tcPr>
            <w:tcW w:w="3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338,617</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(129,697)</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208,923</w:t>
            </w: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color w:val="auto"/>
              </w:rPr>
              <w:t>2020</w:t>
            </w:r>
          </w:p>
        </w:tc>
        <w:tc>
          <w:tcPr>
            <w:tcW w:w="94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 upon the</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exercise of stock</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28,908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1"/>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3" w:lineRule="exact"/>
              <w:rPr>
                <w:sz w:val="20"/>
                <w:szCs w:val="20"/>
                <w:color w:val="auto"/>
              </w:rPr>
            </w:pPr>
            <w:r>
              <w:rPr>
                <w:rFonts w:ascii="Arial" w:cs="Arial" w:eastAsia="Arial" w:hAnsi="Arial"/>
                <w:sz w:val="14"/>
                <w:szCs w:val="14"/>
                <w:color w:val="auto"/>
              </w:rPr>
              <w:t>Lapse of repurchase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rights related to</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common stock</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issued pursuant to</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79,923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color w:val="auto"/>
              </w:rPr>
              <w:t>early exercises</w:t>
            </w: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Stock-based</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compensation</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0" w:type="dxa"/>
            <w:vAlign w:val="bottom"/>
          </w:tcPr>
          <w:p>
            <w:pPr>
              <w:spacing w:after="0"/>
              <w:rPr>
                <w:sz w:val="1"/>
                <w:szCs w:val="1"/>
                <w:color w:val="auto"/>
              </w:rPr>
            </w:pPr>
          </w:p>
        </w:tc>
      </w:tr>
      <w:tr>
        <w:trPr>
          <w:trHeight w:val="171"/>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3" w:lineRule="exact"/>
              <w:rPr>
                <w:sz w:val="20"/>
                <w:szCs w:val="20"/>
                <w:color w:val="auto"/>
              </w:rPr>
            </w:pPr>
            <w:r>
              <w:rPr>
                <w:rFonts w:ascii="Arial" w:cs="Arial" w:eastAsia="Arial" w:hAnsi="Arial"/>
                <w:sz w:val="14"/>
                <w:szCs w:val="14"/>
                <w:color w:val="auto"/>
              </w:rPr>
              <w:t>Unrealized gain on</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4"/>
                <w:szCs w:val="14"/>
                <w:color w:val="auto"/>
              </w:rPr>
              <w:t>short term</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(38,204)</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(38,204)</w:t>
            </w:r>
          </w:p>
        </w:tc>
        <w:tc>
          <w:tcPr>
            <w:tcW w:w="0" w:type="dxa"/>
            <w:vAlign w:val="bottom"/>
          </w:tcPr>
          <w:p>
            <w:pPr>
              <w:spacing w:after="0"/>
              <w:rPr>
                <w:sz w:val="1"/>
                <w:szCs w:val="1"/>
                <w:color w:val="auto"/>
              </w:rPr>
            </w:pPr>
          </w:p>
        </w:tc>
      </w:tr>
      <w:tr>
        <w:trPr>
          <w:trHeight w:val="133"/>
        </w:trPr>
        <w:tc>
          <w:tcPr>
            <w:tcW w:w="1380" w:type="dxa"/>
            <w:vAlign w:val="bottom"/>
          </w:tcPr>
          <w:p>
            <w:pPr>
              <w:ind w:left="20"/>
              <w:spacing w:after="0" w:line="133" w:lineRule="exact"/>
              <w:rPr>
                <w:sz w:val="20"/>
                <w:szCs w:val="20"/>
                <w:color w:val="auto"/>
              </w:rPr>
            </w:pPr>
            <w:r>
              <w:rPr>
                <w:rFonts w:ascii="Arial" w:cs="Arial" w:eastAsia="Arial" w:hAnsi="Arial"/>
                <w:sz w:val="14"/>
                <w:szCs w:val="14"/>
                <w:color w:val="auto"/>
              </w:rPr>
              <w:t>Balance—</w:t>
            </w:r>
          </w:p>
        </w:tc>
        <w:tc>
          <w:tcPr>
            <w:tcW w:w="8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380" w:type="dxa"/>
            <w:vAlign w:val="bottom"/>
            <w:vMerge w:val="restart"/>
          </w:tcPr>
          <w:p>
            <w:pPr>
              <w:jc w:val="right"/>
              <w:ind w:right="211"/>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37,798,889</w:t>
            </w:r>
          </w:p>
        </w:tc>
        <w:tc>
          <w:tcPr>
            <w:tcW w:w="80" w:type="dxa"/>
            <w:vAlign w:val="bottom"/>
          </w:tcPr>
          <w:p>
            <w:pPr>
              <w:spacing w:after="0"/>
              <w:rPr>
                <w:sz w:val="11"/>
                <w:szCs w:val="11"/>
                <w:color w:val="auto"/>
              </w:rPr>
            </w:pPr>
          </w:p>
        </w:tc>
        <w:tc>
          <w:tcPr>
            <w:tcW w:w="3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340,964</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(167,901)</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173,071</w:t>
            </w: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44" w:lineRule="exact"/>
              <w:rPr>
                <w:sz w:val="20"/>
                <w:szCs w:val="20"/>
                <w:color w:val="auto"/>
              </w:rPr>
            </w:pPr>
            <w:r>
              <w:rPr>
                <w:rFonts w:ascii="Arial" w:cs="Arial" w:eastAsia="Arial" w:hAnsi="Arial"/>
                <w:sz w:val="14"/>
                <w:szCs w:val="14"/>
                <w:color w:val="auto"/>
              </w:rPr>
              <w:t>September 30, 2020</w:t>
            </w:r>
          </w:p>
        </w:tc>
        <w:tc>
          <w:tcPr>
            <w:tcW w:w="8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right"/>
        <w:ind w:right="65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ectPr>
          <w:pgSz w:w="11900" w:h="16838" w:orient="portrait"/>
          <w:cols w:equalWidth="0" w:num="1">
            <w:col w:w="10139"/>
          </w:cols>
          <w:pgMar w:left="320" w:top="449" w:right="1440" w:bottom="1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9" w:right="1440" w:bottom="117"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In thousands</w:t>
      </w:r>
      <w:r>
        <w:rPr>
          <w:rFonts w:ascii="Arial" w:cs="Arial" w:eastAsia="Arial" w:hAnsi="Arial"/>
          <w:sz w:val="18"/>
          <w:szCs w:val="18"/>
          <w:b w:val="1"/>
          <w:bCs w:val="1"/>
          <w:i w:val="1"/>
          <w:i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8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(101,629)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(29,428)</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66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Non-cash lease expense</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9"/>
        </w:trPr>
        <w:tc>
          <w:tcPr>
            <w:tcW w:w="8100" w:type="dxa"/>
            <w:vAlign w:val="bottom"/>
          </w:tcPr>
          <w:p>
            <w:pPr>
              <w:ind w:left="660"/>
              <w:spacing w:after="0"/>
              <w:rPr>
                <w:sz w:val="20"/>
                <w:szCs w:val="20"/>
                <w:color w:val="auto"/>
              </w:rPr>
            </w:pPr>
            <w:r>
              <w:rPr>
                <w:rFonts w:ascii="Arial" w:cs="Arial" w:eastAsia="Arial" w:hAnsi="Arial"/>
                <w:sz w:val="14"/>
                <w:szCs w:val="14"/>
                <w:color w:val="auto"/>
              </w:rPr>
              <w:t>Net amortization/accretion on marketable securities</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9"/>
        </w:trPr>
        <w:tc>
          <w:tcPr>
            <w:tcW w:w="8100" w:type="dxa"/>
            <w:vAlign w:val="bottom"/>
          </w:tcPr>
          <w:p>
            <w:pPr>
              <w:ind w:left="66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189"/>
        </w:trPr>
        <w:tc>
          <w:tcPr>
            <w:tcW w:w="8100" w:type="dxa"/>
            <w:vAlign w:val="bottom"/>
          </w:tcPr>
          <w:p>
            <w:pPr>
              <w:ind w:left="98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3,682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89"/>
        </w:trPr>
        <w:tc>
          <w:tcPr>
            <w:tcW w:w="8100" w:type="dxa"/>
            <w:vAlign w:val="bottom"/>
          </w:tcPr>
          <w:p>
            <w:pPr>
              <w:ind w:left="98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12,602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3,851</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Operating lease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3"/>
        </w:trPr>
        <w:tc>
          <w:tcPr>
            <w:tcW w:w="8100" w:type="dxa"/>
            <w:vAlign w:val="bottom"/>
          </w:tcPr>
          <w:p>
            <w:pPr>
              <w:ind w:left="142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(80,462)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(26,039)</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Purchases of marketable securities</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(179,364)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(22,897)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maturities of marketable securities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73,600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32,800</w:t>
            </w:r>
          </w:p>
        </w:tc>
        <w:tc>
          <w:tcPr>
            <w:tcW w:w="0" w:type="dxa"/>
            <w:vAlign w:val="bottom"/>
          </w:tcPr>
          <w:p>
            <w:pPr>
              <w:spacing w:after="0"/>
              <w:rPr>
                <w:sz w:val="1"/>
                <w:szCs w:val="1"/>
                <w:color w:val="auto"/>
              </w:rPr>
            </w:pPr>
          </w:p>
        </w:tc>
      </w:tr>
      <w:tr>
        <w:trPr>
          <w:trHeight w:val="18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Net cash (used in) provided by investing activities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9,674</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Proceeds from initial public offering, net of issuance costs</w:t>
            </w:r>
          </w:p>
        </w:tc>
        <w:tc>
          <w:tcPr>
            <w:tcW w:w="2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168,642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for ESPP purchase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 of financing costs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168,765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(17,629)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(16,217)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63,336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39,394</w:t>
            </w:r>
          </w:p>
        </w:tc>
        <w:tc>
          <w:tcPr>
            <w:tcW w:w="0" w:type="dxa"/>
            <w:vAlign w:val="bottom"/>
          </w:tcPr>
          <w:p>
            <w:pPr>
              <w:spacing w:after="0"/>
              <w:rPr>
                <w:sz w:val="1"/>
                <w:szCs w:val="1"/>
                <w:color w:val="auto"/>
              </w:rPr>
            </w:pPr>
          </w:p>
        </w:tc>
      </w:tr>
      <w:tr>
        <w:trPr>
          <w:trHeight w:val="183"/>
        </w:trPr>
        <w:tc>
          <w:tcPr>
            <w:tcW w:w="81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45,707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23,177</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340"/>
              <w:spacing w:after="0"/>
              <w:rPr>
                <w:sz w:val="20"/>
                <w:szCs w:val="20"/>
                <w:color w:val="auto"/>
              </w:rPr>
            </w:pPr>
            <w:r>
              <w:rPr>
                <w:rFonts w:ascii="Arial" w:cs="Arial" w:eastAsia="Arial" w:hAnsi="Arial"/>
                <w:sz w:val="14"/>
                <w:szCs w:val="14"/>
                <w:color w:val="auto"/>
              </w:rPr>
              <w:t>Right-of-use asset obtained in exchange for lease liability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00" w:type="dxa"/>
            <w:vAlign w:val="bottom"/>
            <w:tcBorders>
              <w:bottom w:val="single" w:sz="8" w:color="CCEEFF"/>
            </w:tcBorders>
            <w:shd w:val="clear" w:color="auto" w:fill="CCEEFF"/>
          </w:tcPr>
          <w:p>
            <w:pPr>
              <w:ind w:left="340"/>
              <w:spacing w:after="0" w:line="157" w:lineRule="exact"/>
              <w:rPr>
                <w:sz w:val="20"/>
                <w:szCs w:val="20"/>
                <w:color w:val="auto"/>
              </w:rPr>
            </w:pPr>
            <w:r>
              <w:rPr>
                <w:rFonts w:ascii="Arial" w:cs="Arial" w:eastAsia="Arial" w:hAnsi="Arial"/>
                <w:sz w:val="14"/>
                <w:szCs w:val="14"/>
                <w:color w:val="auto"/>
              </w:rPr>
              <w:t>Reduction in right-of-use asset upon reassessment of lease term</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color w:val="auto"/>
              </w:rPr>
              <w:t>Deferred financing costs included in accounts payable and accrued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0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Organization and Description of Business</w:t>
      </w:r>
    </w:p>
    <w:p>
      <w:pPr>
        <w:spacing w:after="0" w:line="13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Arcutis Biotherapeutics, Inc., or the Company, is a late-stage biopharmaceutical company focused on developing and commercializing treatments for dermatological diseases with high unmet medical needs. The Company’s current portfolio is comprised of topical treatments with significant promise in addressing immune-mediated dermatological diseases and conditions, or immuno-dermatology. The Company’s strategy is to advance treatments that leverage validated biological targets in dermatology in order to deliver clinical profiles that address major shortcomings of existing therapies in its targeted indications. The Company believes this strategy uniquely positions it to rapidly advance its goal of bridging the treatment innovation gap in dermatology while maximizing its probability of technical success.</w:t>
      </w:r>
    </w:p>
    <w:p>
      <w:pPr>
        <w:spacing w:after="0" w:line="8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On January 17, 2020, the Company's board of directors approved a 1-for-2.0007 reverse stock split of the Company’s capital stock and the Company filed a certificate of amendment to its restated certificate of incorporation to effect the split. The par value and authorized shares of common stock and convertible preferred stock were not adjusted as a result of the reverse split. All share and per share information included in the accompanying financial statements has been adjusted to reflect this reverse stock split.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Follow-On Financing</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February 4, 2020, the Company closed an initial public offering (IPO) issuing and selling 10,781,250 shares of common stock at a public offering price of $17.00 per share, including 1,406,250 shares sold pursuant to the underwriters’ full exercise of their option to purchase additional shares. The aggregate net proceeds received by the Company from the offering were approximately $167.2 million, after deducting underwriting discounts, commissions and offering related transaction costs. Upon the closing of the IPO, all of the outstanding shares of convertible preferred stock automatically converted into shares of common stock. Subsequent to the closing of the IPO, there were no shares of convertible preferred stock outstanding.</w:t>
      </w:r>
    </w:p>
    <w:p>
      <w:pPr>
        <w:spacing w:after="0" w:line="10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October 6, 2020, the Company sold 4,000,000 shares of common stock in a follow-on public offering along with 1,400,000 shares of common stock in a private placement, or the follow-on financing, both at a price of $25 per share, receiving $ 128.4 million in net proceeds after deducting the underwriting discounts, commissions and offering related transaction costs. See Note 10 for additional information. The financial statements as of September 30, 2020, including share and per share amounts, do not incorporate the effects of this follow-on financing.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39"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The Company has incurred significant losses and negative cash flows from operations since its inception and had an accumulated deficit of $167.9 million and $66.3 million as of September 30, 2020 and December 31, 2019, respectively. The Company had cash, cash equivalents and marketable securities of $189.7 million and $101.3 million as of September 30, 2020 and December 31, 2019, respectively. In addition, on October 6, 2020, the Company received $128.4 million in net proceeds from our follow-on financing. Prior to selling common stock in its IPO and follow-on financing, the Company had historically financed its operations primarily through the sale of its convertible preferred stock. Management expects operating losses to continue for the foreseeable future.</w:t>
      </w:r>
    </w:p>
    <w:p>
      <w:pPr>
        <w:spacing w:after="0" w:line="10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believes that its existing capital resources will be sufficient to meet the projected operating requirements for at least 12 months from the date of issuance of its financial statements. The Company will be required to raise additional capital to fund future operations. However, no assurance can be given as to whether additional needed financing will be available on terms acceptable to the Company, if at all. If sufficient funds on acceptable terms are not available when needed, the Company may be required to curtail planned activities to significantly reduce its operating expenses. Failure to manage discretionary spending or raise additional financing, as needed, may adversely impact the Company’s ability to achieve its intended business objectives and have an adverse effect on its results of operations and future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Outbreak</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2020, the World Health Organization declared a pandemic related to the global novel coronavirus disease 2019 (COVID-</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outbreak. As of November 5, 2020, the Company’s operations have not been significantly</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impacted by the COVID-19 pandemic. The Company is monitoring the impact COVID-19 may have on the clinical development of its product candidates, including potential delays or modifications to its ongoing and planned trials. However, the Company cannot at this time predict the specific extent, duration, or full impact that the COVID-19 outbreak will have on its financial condition and operations, including ongoing and planned clinical trials.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ind w:right="840" w:firstLine="648"/>
        <w:spacing w:after="0" w:line="261" w:lineRule="auto"/>
        <w:rPr>
          <w:sz w:val="20"/>
          <w:szCs w:val="20"/>
          <w:color w:val="auto"/>
        </w:rPr>
      </w:pPr>
      <w:r>
        <w:rPr>
          <w:rFonts w:ascii="Arial" w:cs="Arial" w:eastAsia="Arial" w:hAnsi="Arial"/>
          <w:sz w:val="18"/>
          <w:szCs w:val="18"/>
          <w:color w:val="auto"/>
        </w:rPr>
        <w:t>The Company’s condensed financial statements have been prepared in accordance with United States generally accepted accounting principles (U.S. GAAP).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condensed financial statements and accompanying notes. On an ongoing basis, management evaluates such estimates and assumptions for continued reasonableness. In particular, management makes estimates with respect to accruals for research and development activities, fair value of common stock and convertible preferred stock (prior to the IPO completed in January</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2020), stock-based compensation expense and income taxes. Appropriate adjustments, if any, to the estimates used are made prospectively based upon such periodic evaluation. Actual results could differ from those estimates.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39" w:lineRule="exact"/>
        <w:rPr>
          <w:sz w:val="20"/>
          <w:szCs w:val="20"/>
          <w:color w:val="auto"/>
        </w:rPr>
      </w:pPr>
    </w:p>
    <w:p>
      <w:pPr>
        <w:ind w:right="900" w:firstLine="648"/>
        <w:spacing w:after="0" w:line="291" w:lineRule="auto"/>
        <w:rPr>
          <w:sz w:val="20"/>
          <w:szCs w:val="20"/>
          <w:color w:val="auto"/>
        </w:rPr>
      </w:pPr>
      <w:r>
        <w:rPr>
          <w:rFonts w:ascii="Arial" w:cs="Arial" w:eastAsia="Arial" w:hAnsi="Arial"/>
          <w:sz w:val="17"/>
          <w:szCs w:val="17"/>
          <w:color w:val="auto"/>
        </w:rPr>
        <w:t>To date, the Company has viewed its financial information on an aggregate basis for the purposes of evaluating financial performance and allocating the Company’s resources. Accordingly, the Company has determined that it operates in one segment.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39"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interim condensed balance sheet as of September 30, 2020, the interim condensed statements of operations and comprehensive loss and the condensed changes in convertible preferred stock and stockholders’ equity (deficit) for the three and nine months ended September 30, 2020 and 2019, and cash flows for the nine months ended September 30, 2020 and 2019 are unaudited. These unaudited interim condensed financial statements have been prepared on the same basis as the Company’s audited annual financial statements and, in the opinion of management, reflect all adjustments (consisting only of normal recurring adjustments) that are necessary for a fair statement of the Company’s financial information. The financial data and the other financial information disclosed in these notes to the condensed financial statements related to the three- and nine-month periods are also unaudited. The condensed results of operations for the three and nine months ended September 30, 2020 are not necessarily indicative of the results to be expected for the year ending December 31, 2020 or for any other future annual or interim period. The condensed balance sheet as of December 31, 2019 included herein was derived from the audited financial statements as of that date. Certain information and footnote disclosures normally included in annual financial statements prepared in accordance with U.S. GAAP have been condensed or omitted. Therefore, these unaudited interim condensed financial statements should be read in conjunction with the Company’s audited financial statements included in its Annual Report on Form 10-K for the year ended December 31,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Cash equivalents consist primarily of money market funds, commercial paper, and U.S. Treasury securities.</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Marketable securities consist of investment grade short to intermediate-term fixed income investments that have been classified as available-for-sale and are carried at estimated fair value as determined based upon quoted market prices or pricing models for similar securities. Management determines the appropriate classification of its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investments in fixed income securities at the time of purchase. Available-for-sale securities with original maturities beyond three months at the date of purchase are classified as current based on their availability for use in current operations.</w:t>
      </w:r>
    </w:p>
    <w:p>
      <w:pPr>
        <w:spacing w:after="0" w:line="90"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Unrealized gains and losses are excluded from earnings and are reported as a component of other comprehensive loss. Realized gains and losses as well as credit losses, if any, on marketable securities are included in other income, net. The Company evaluated the underlying credit quality and credit ratings of the issuers during the period. To date, no such credit losses have occurred or have been recorded. The cost of investments sold is based on the specific-identification method. As of September 30, 2020, there were net unrealized gains on marketable securities of $4,000, and as of December 31, 2019, there were net unrealized losses on marketable securities of $1,000. Unrealized gains and losses on marketable securities are reported as a component of accumulated other comprehensive income (loss) on the balance sheets. There were no realized gains or losses on investments for the three and nine months ended September 30, 2020 and 2019. Interest on marketable securities is included in other income, net.</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3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The Company is exposed to credit risk in the event of a default by the financial institutions holding its cash to the extent recorded on the balance sheets.</w:t>
      </w:r>
    </w:p>
    <w:p>
      <w:pPr>
        <w:spacing w:after="0" w:line="204"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Management believes the Company is not exposed to significant credit risk due to the financial position of the depository institutions in which those deposits are held.</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39"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The Company’s financial instruments, in addition to those presented in Note 3, include cash equivalents, accounts payable and accrued liabilities. The carrying amount of cash equivalents, accounts payable and accrued liabilities approximate their fair values due to their short maturities.</w:t>
      </w:r>
    </w:p>
    <w:p>
      <w:pPr>
        <w:spacing w:after="0" w:line="20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Assets and liabilities recorded at fair value on a recurring basis on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00" w:lineRule="exact"/>
        <w:rPr>
          <w:sz w:val="20"/>
          <w:szCs w:val="20"/>
          <w:color w:val="auto"/>
        </w:rPr>
      </w:pPr>
    </w:p>
    <w:p>
      <w:pPr>
        <w:ind w:left="660" w:right="500" w:firstLine="648"/>
        <w:spacing w:after="0" w:line="261" w:lineRule="auto"/>
        <w:rPr>
          <w:sz w:val="20"/>
          <w:szCs w:val="20"/>
          <w:color w:val="auto"/>
        </w:rPr>
      </w:pPr>
      <w:r>
        <w:rPr>
          <w:rFonts w:ascii="Arial" w:cs="Arial" w:eastAsia="Arial" w:hAnsi="Arial"/>
          <w:sz w:val="18"/>
          <w:szCs w:val="18"/>
          <w:color w:val="auto"/>
        </w:rPr>
        <w:t>Level 1—Observable inputs such as unadjusted, quoted prices in active markets for identical assets or liabilities at the measurement date;</w:t>
      </w:r>
    </w:p>
    <w:p>
      <w:pPr>
        <w:spacing w:after="0" w:line="90" w:lineRule="exact"/>
        <w:rPr>
          <w:sz w:val="20"/>
          <w:szCs w:val="20"/>
          <w:color w:val="auto"/>
        </w:rPr>
      </w:pPr>
    </w:p>
    <w:p>
      <w:pPr>
        <w:ind w:left="660" w:right="100" w:firstLine="648"/>
        <w:spacing w:after="0" w:line="256"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94" w:lineRule="exact"/>
        <w:rPr>
          <w:sz w:val="20"/>
          <w:szCs w:val="20"/>
          <w:color w:val="auto"/>
        </w:rPr>
      </w:pPr>
    </w:p>
    <w:p>
      <w:pPr>
        <w:ind w:left="660" w:right="60" w:firstLine="648"/>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7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determines if an arrangement is or contains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 uses its incremental borrowing rate, based on the information available at commencement date, to determine the present value of lease payments when</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235"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The Company’s lease agreements includes lease and non-lease components and the Company has elected to not separate such components for all classes of assets. Further, the Company elected the short-term lease exception policy, permitting it to not apply the recognition requirements of this standard to leases with terms of 12 months or less (short-term leases) for all classes of assets.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Preclinical and Clinical Accruals and Costs</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records accrued liabilities for estimated costs of research and development activities conducted by third-party service providers, which include the conduct of preclinical studies, clinical trials and contract manufacturing activities.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For the three and nine months ended September 30, 2020 and 2019, the Company has not experienced any material differences between accrued costs and actual costs incurred.</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39"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Prior to its IPO, the Company classified its outstanding convertible preferred stock outside of stockholders’ equity (deficit) on its balance sheets as the requirements of triggering a deemed liquidation event, as defined within its amended and restated certificate of incorporation, were not entirely within the Company’s control. In the event of such a deemed liquidation event, the proceeds from the event were to be distributed in accordance with the liquidation preferences, provided that the holders of convertible preferred stock had not converted their shares into common stock. The Company recorded the issuance of convertible preferred stock at the issuance price less related issuance costs. The Company did not adjust the carrying values of the convertible preferred stock to the liquidation preferences of such shares because of the uncertainty as to whether or when a deemed liquidation event may have occurred. In connection with the IPO in February 2020, the Company’s outstanding shares of convertible preferred stock were automatically converted into 24,385,388 shares of common stock.</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license fees, stock-based compensation expense, materials, supplies, and the cost of services provided by outside contractors. All costs associated with research and development are expensed as incurred. Payments made prior to the receipt of goods or services to be used in research and development are capitalized until the goods are received or services are rendered. Such payments are evaluated for current or long-term classification based on when they will be realized.</w:t>
      </w:r>
    </w:p>
    <w:p>
      <w:pPr>
        <w:spacing w:after="0" w:line="20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when paid or become payable, provided there is no alternative future use of the rights in other research and development projects.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Company accounts for share-based payments at fair value. The fair value of stock options is measured using the Black-Scholes option-pricing model. For share-based awards that vest subject to the satisfaction of a service requirement, the fair value measurement date for such awards is the date of grant and the expense is recognized on a straight-line basis, over the expected vesting period. For share-based awards that vest subject to a performance condition, the Company will recognize compensation cost for awards if and when the Company concludes that it is probable that the awards with a performance condition will be achieved on an accelerated attribution method. The Company accounts for forfeitures as they occur.</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Income taxes are accounted for using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for which realization is more likely than not. Due to the Company’s historical operating performance and the recorded cumulative net losses in prior fiscal periods, the net deferred tax assets have been fully offset by a valuation allowance.</w:t>
      </w:r>
    </w:p>
    <w:p>
      <w:pPr>
        <w:spacing w:after="0" w:line="342"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incurred in relation to the unrecognized tax benefits.</w:t>
      </w:r>
    </w:p>
    <w:p>
      <w:pPr>
        <w:spacing w:after="0" w:line="231" w:lineRule="exact"/>
        <w:rPr>
          <w:sz w:val="20"/>
          <w:szCs w:val="20"/>
          <w:color w:val="auto"/>
        </w:rPr>
      </w:pPr>
    </w:p>
    <w:p>
      <w:pPr>
        <w:jc w:val="center"/>
        <w:ind w:right="140"/>
        <w:spacing w:after="0" w:line="250" w:lineRule="auto"/>
        <w:rPr>
          <w:sz w:val="20"/>
          <w:szCs w:val="20"/>
          <w:color w:val="auto"/>
        </w:rPr>
      </w:pPr>
      <w:r>
        <w:rPr>
          <w:rFonts w:ascii="Arial" w:cs="Arial" w:eastAsia="Arial" w:hAnsi="Arial"/>
          <w:sz w:val="18"/>
          <w:szCs w:val="18"/>
          <w:color w:val="auto"/>
        </w:rPr>
        <w:t>The United States Congress enacted the Families First Coronavirus Response Act (FFCR Act) on March 18, 2020 and the Coronavirus Aid, Relief, and Economic Security Act (CARES Act) on March 27, 2020. The CARES Act is an emergency economic stimulus package that includes spending and tax breaks to strengthen the U.S. economy and fund a nationwide effort to curtail the effect of COVID-</w:t>
      </w:r>
    </w:p>
    <w:p>
      <w:pPr>
        <w:spacing w:after="0" w:line="1" w:lineRule="exact"/>
        <w:rPr>
          <w:sz w:val="20"/>
          <w:szCs w:val="20"/>
          <w:color w:val="auto"/>
        </w:rPr>
      </w:pPr>
    </w:p>
    <w:p>
      <w:pPr>
        <w:ind w:right="20" w:firstLine="8"/>
        <w:spacing w:after="0" w:line="252"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FFCR Act and CARES Act include numerous tax-related provisions including modifications to the limitations on business interest expense and net operating losses (NOLs), certain refundable employee retention credits, as well as a payment delay of employer payroll taxes in 2020 after the date of enactment. On June 29, 2020, the California State Assembly Bill 85 (Trailer Bill) was enacted which suspends the use of California NOL deductions and certain tax credits, including research and development credits, for the 2020, 2021, and 2022 tax years. The Company does not expect the FFCR Act, CARES Act or Trailer Bill to have a material impact on the Company’s financial statements.</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3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Company reviews agreements it enters into with third-party entities, pursuant to which the Company may have a variable interest in the entity, in order to determine if the entity is a variable interest entity (VIE). If the entity is a VIE, the Company assesses whether or not it is the primary beneficiary of that entity.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If the Company determines it is the primary beneficiary of a VIE, it consolidates that VIE into the Company’s financial statements. The Company’s determination about whether it should consolidate such VIEs is made continuously as changes to existing relationships or future transactions may result in a consolidation or deconsolidation event. The Company currently does not consolidate any VIEs.</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39" w:lineRule="exact"/>
        <w:rPr>
          <w:sz w:val="20"/>
          <w:szCs w:val="20"/>
          <w:color w:val="auto"/>
        </w:rPr>
      </w:pPr>
    </w:p>
    <w:p>
      <w:pPr>
        <w:ind w:right="820" w:firstLine="648"/>
        <w:spacing w:after="0" w:line="261"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potential dilutive shares of common stock.</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Diluted net loss per share is computed by dividing the net loss by the weighted-average number of common share equivalents outstanding for the period determined using the treasury-stock method.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39"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1"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2018-13,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 (Topic 820): Disclosure Framework—Changes to the Disclosure Requirements for Fair Value Measurement, </w:t>
      </w:r>
      <w:r>
        <w:rPr>
          <w:rFonts w:ascii="Arial" w:cs="Arial" w:eastAsia="Arial" w:hAnsi="Arial"/>
          <w:sz w:val="18"/>
          <w:szCs w:val="18"/>
          <w:color w:val="auto"/>
        </w:rPr>
        <w:t>or ASU No.</w:t>
      </w:r>
      <w:r>
        <w:rPr>
          <w:rFonts w:ascii="Arial" w:cs="Arial" w:eastAsia="Arial" w:hAnsi="Arial"/>
          <w:sz w:val="18"/>
          <w:szCs w:val="18"/>
          <w:i w:val="1"/>
          <w:iCs w:val="1"/>
          <w:color w:val="auto"/>
        </w:rPr>
        <w:t xml:space="preserve"> </w:t>
      </w:r>
      <w:r>
        <w:rPr>
          <w:rFonts w:ascii="Arial" w:cs="Arial" w:eastAsia="Arial" w:hAnsi="Arial"/>
          <w:sz w:val="18"/>
          <w:szCs w:val="18"/>
          <w:color w:val="auto"/>
        </w:rPr>
        <w:t>2018-13, which removes, modifies, and adds various disclosure requirements on fair value measurements in Topic 820. ASU No. 2018-13 is effective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early adopted this standard as of January 1, 2020, and it did not have a material impact on its condensed financial statements.</w:t>
      </w:r>
    </w:p>
    <w:p>
      <w:pPr>
        <w:spacing w:after="0" w:line="19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Financial Instruments, </w:t>
      </w:r>
      <w:r>
        <w:rPr>
          <w:rFonts w:ascii="Arial" w:cs="Arial" w:eastAsia="Arial" w:hAnsi="Arial"/>
          <w:sz w:val="18"/>
          <w:szCs w:val="18"/>
          <w:color w:val="auto"/>
        </w:rPr>
        <w:t>or ASU No. 2016-13</w:t>
      </w:r>
      <w:r>
        <w:rPr>
          <w:rFonts w:ascii="Arial" w:cs="Arial" w:eastAsia="Arial" w:hAnsi="Arial"/>
          <w:sz w:val="18"/>
          <w:szCs w:val="18"/>
          <w:i w:val="1"/>
          <w:iCs w:val="1"/>
          <w:color w:val="auto"/>
        </w:rPr>
        <w:t xml:space="preserve">. </w:t>
      </w:r>
      <w:r>
        <w:rPr>
          <w:rFonts w:ascii="Arial" w:cs="Arial" w:eastAsia="Arial" w:hAnsi="Arial"/>
          <w:sz w:val="18"/>
          <w:szCs w:val="18"/>
          <w:color w:val="auto"/>
        </w:rPr>
        <w:t>This update requires the measurement of all expected credit losses for financial assets held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reporting date based on historical experience, current conditions, and reasonable and supportable forecasts. Financial institutions and other organizations now include forward-looking information in the determination of their credit loss estimates. Many of the previous loss estimation techniques are still permitted, although the inputs to those techniques have changed to reflect the full amount of expected credit losses. In addition, this update amends the accounting for credit losses on available-for-sale debt securities and purchased financial assets with credit deterioration. The Company early adopted this standard as of January 1, 2020, and it did not have a material impact on its condensed financial statements. There was no impact on the Company's condensed financial statements from credit losses for the three and nine months ended September 30, 2020.</w:t>
      </w:r>
    </w:p>
    <w:p>
      <w:pPr>
        <w:spacing w:after="0" w:line="191"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 Income Taxes (Topic 740),</w:t>
      </w:r>
      <w:r>
        <w:rPr>
          <w:rFonts w:ascii="Arial" w:cs="Arial" w:eastAsia="Arial" w:hAnsi="Arial"/>
          <w:sz w:val="18"/>
          <w:szCs w:val="18"/>
          <w:color w:val="auto"/>
        </w:rPr>
        <w:t xml:space="preserve"> or ASU No. 2019-12, which amends the existing guidance relating to the accounting for income taxes. This standard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standard is effective for public business entities for fiscal years beginning after December 15, 2020, and interim periods therein. Early adoption is permitted. An entity that elects early adoption in an interim period should reflect any adjustments as of the beginning of the annual period that includes that interim period. Additionally, an entity that elects early adoption should adopt all the amendments in the same period. The Company early adopted this guidance as of January 1, 2020, and it did not have a material impact on its condensed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September 30, 2020</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55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3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70"/>
        </w:trPr>
        <w:tc>
          <w:tcPr>
            <w:tcW w:w="5580" w:type="dxa"/>
            <w:vAlign w:val="bottom"/>
          </w:tcPr>
          <w:p>
            <w:pPr>
              <w:ind w:left="360"/>
              <w:spacing w:after="0"/>
              <w:rPr>
                <w:sz w:val="20"/>
                <w:szCs w:val="20"/>
                <w:color w:val="auto"/>
              </w:rPr>
            </w:pPr>
            <w:r>
              <w:rPr>
                <w:rFonts w:ascii="Arial" w:cs="Arial" w:eastAsia="Arial" w:hAnsi="Arial"/>
                <w:sz w:val="18"/>
                <w:szCs w:val="18"/>
                <w:color w:val="auto"/>
              </w:rPr>
              <w:t>Money market funds(1)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45,707</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45,707</w:t>
            </w:r>
          </w:p>
        </w:tc>
      </w:tr>
      <w:tr>
        <w:trPr>
          <w:trHeight w:val="270"/>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69,480</w:t>
            </w:r>
          </w:p>
        </w:tc>
      </w:tr>
      <w:tr>
        <w:trPr>
          <w:trHeight w:val="270"/>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74,525</w:t>
            </w:r>
          </w:p>
        </w:tc>
      </w:tr>
      <w:tr>
        <w:trPr>
          <w:trHeight w:val="243"/>
        </w:trPr>
        <w:tc>
          <w:tcPr>
            <w:tcW w:w="5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189,712</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41"/>
        </w:trPr>
        <w:tc>
          <w:tcPr>
            <w:tcW w:w="5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3"/>
        </w:trPr>
        <w:tc>
          <w:tcPr>
            <w:tcW w:w="5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3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70"/>
        </w:trPr>
        <w:tc>
          <w:tcPr>
            <w:tcW w:w="5580" w:type="dxa"/>
            <w:vAlign w:val="bottom"/>
          </w:tcPr>
          <w:p>
            <w:pPr>
              <w:ind w:left="360"/>
              <w:spacing w:after="0"/>
              <w:rPr>
                <w:sz w:val="20"/>
                <w:szCs w:val="20"/>
                <w:color w:val="auto"/>
              </w:rPr>
            </w:pPr>
            <w:r>
              <w:rPr>
                <w:rFonts w:ascii="Arial" w:cs="Arial" w:eastAsia="Arial" w:hAnsi="Arial"/>
                <w:sz w:val="18"/>
                <w:szCs w:val="18"/>
                <w:color w:val="auto"/>
              </w:rPr>
              <w:t>Money market funds(1)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43,558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43,558</w:t>
            </w:r>
          </w:p>
        </w:tc>
      </w:tr>
      <w:tr>
        <w:trPr>
          <w:trHeight w:val="229"/>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44,689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44,689</w:t>
            </w:r>
          </w:p>
        </w:tc>
      </w:tr>
      <w:tr>
        <w:trPr>
          <w:trHeight w:val="270"/>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13,018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13,018</w:t>
            </w:r>
          </w:p>
        </w:tc>
      </w:tr>
      <w:tr>
        <w:trPr>
          <w:trHeight w:val="243"/>
        </w:trPr>
        <w:tc>
          <w:tcPr>
            <w:tcW w:w="5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56,576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44,689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238"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Commercial paper, money market funds and U.S. Treasury securities are valued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between Levels 1, 2 or 3 for any of the periods presented.</w:t>
      </w:r>
    </w:p>
    <w:p>
      <w:pPr>
        <w:spacing w:after="0" w:line="205"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The following table summarizes the estimated value of the Company’s cash, cash equivalents and marketable securities and the gross unrealized holding gains and losses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Unrealized</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5"/>
        </w:trPr>
        <w:tc>
          <w:tcPr>
            <w:tcW w:w="5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cost</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gains</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Money market funds(1)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45,707</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0" w:type="dxa"/>
            <w:vAlign w:val="bottom"/>
          </w:tcPr>
          <w:p>
            <w:pPr>
              <w:spacing w:after="0"/>
              <w:rPr>
                <w:sz w:val="1"/>
                <w:szCs w:val="1"/>
                <w:color w:val="auto"/>
              </w:rPr>
            </w:pPr>
          </w:p>
        </w:tc>
      </w:tr>
      <w:tr>
        <w:trPr>
          <w:trHeight w:val="270"/>
        </w:trPr>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74,525</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Unrealized</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6"/>
        </w:trPr>
        <w:tc>
          <w:tcPr>
            <w:tcW w:w="5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11,780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11,780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43,558</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32,909</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marketable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238" w:lineRule="exact"/>
        <w:rPr>
          <w:sz w:val="20"/>
          <w:szCs w:val="20"/>
          <w:color w:val="auto"/>
        </w:rPr>
      </w:pPr>
    </w:p>
    <w:p>
      <w:pPr>
        <w:jc w:val="both"/>
        <w:ind w:right="120" w:firstLine="648"/>
        <w:spacing w:after="0" w:line="254" w:lineRule="auto"/>
        <w:rPr>
          <w:sz w:val="20"/>
          <w:szCs w:val="20"/>
          <w:color w:val="auto"/>
        </w:rPr>
      </w:pPr>
      <w:r>
        <w:rPr>
          <w:rFonts w:ascii="Arial" w:cs="Arial" w:eastAsia="Arial" w:hAnsi="Arial"/>
          <w:sz w:val="18"/>
          <w:szCs w:val="18"/>
          <w:color w:val="auto"/>
        </w:rPr>
        <w:t>There were no realized gains or losses on investments for the three and nine months ended September 30, 2020 and 2019. As of September 30, 2020 and December 31, 2019, unrealized losses on marketable securities were not material, and accordingly, no allowance for credit losses were recorded. As of September 30, 2020 and December 31, 2019, all securities have a maturity of one year or less and all securities with gross unrealized losses have been in continuous loss position for less than twelve months.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Balance Sheet Components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Pr>
          <w:p>
            <w:pPr>
              <w:spacing w:after="0"/>
              <w:rPr>
                <w:sz w:val="16"/>
                <w:szCs w:val="16"/>
                <w:color w:val="auto"/>
              </w:rPr>
            </w:pPr>
          </w:p>
        </w:tc>
        <w:tc>
          <w:tcPr>
            <w:tcW w:w="192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clinical trial costs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60"/>
              <w:spacing w:after="0"/>
              <w:rPr>
                <w:sz w:val="20"/>
                <w:szCs w:val="20"/>
                <w:color w:val="auto"/>
              </w:rPr>
            </w:pPr>
            <w:r>
              <w:rPr>
                <w:rFonts w:ascii="Arial" w:cs="Arial" w:eastAsia="Arial" w:hAnsi="Arial"/>
                <w:sz w:val="18"/>
                <w:szCs w:val="18"/>
                <w:b w:val="1"/>
                <w:bCs w:val="1"/>
                <w:i w:val="1"/>
                <w:iCs w:val="1"/>
                <w:color w:val="auto"/>
              </w:rPr>
              <w:t>Accrued Liabilities</w:t>
            </w: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660"/>
              <w:spacing w:after="0"/>
              <w:rPr>
                <w:sz w:val="20"/>
                <w:szCs w:val="20"/>
                <w:color w:val="auto"/>
              </w:rPr>
            </w:pPr>
            <w:r>
              <w:rPr>
                <w:rFonts w:ascii="Arial" w:cs="Arial" w:eastAsia="Arial" w:hAnsi="Arial"/>
                <w:sz w:val="18"/>
                <w:szCs w:val="18"/>
                <w:color w:val="auto"/>
              </w:rPr>
              <w:t>Accrued liabilities consist of the following (in thousands):</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Pr>
          <w:p>
            <w:pPr>
              <w:spacing w:after="0"/>
              <w:rPr>
                <w:sz w:val="18"/>
                <w:szCs w:val="18"/>
                <w:color w:val="auto"/>
              </w:rPr>
            </w:pPr>
          </w:p>
        </w:tc>
        <w:tc>
          <w:tcPr>
            <w:tcW w:w="192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Clinical trial accruals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exercise liability, current</w:t>
            </w:r>
          </w:p>
        </w:tc>
        <w:tc>
          <w:tcPr>
            <w:tcW w:w="26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License Agreements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In July 2018, the Company entered into an exclusive license agreement, or the AstraZeneca License Agreement, with AstraZeneca AB (AstraZeneca), granting the Company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the Company has sole responsibility for development, regulatory, and commercialization activities for the AZ-Licensed Products in the Dermatology Field, at its expense, and it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21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Company paid AstraZeneca an upfront non-refundable cash payment of $1.0 million and issued 484,388 shares of Series B preferred stock, valued at $3.0 million on the date of the AstraZeneca License Agreement. The Company subsequently paid AstraZeneca the first milestone cash payment of $2.0 million upon the completion of a Phase 2b study of roflumilast cream in plaque psoriasis in August 2019 for the achievement of positive Phase 2 data for an AZ-Licensed Product, which was recorded in research and development expense. The Company has agreed to make additional cash payments to AstraZeneca of up to an aggregate of $12.5 million upon the achievement of specified regulatory approval milestones with respect to the AZ-Licensed Products and payments up to an additional aggregate amount of $15.0 million upon the achievement of certain aggregate worldwide net sales milestones. With respect to any AZ-Licensed Products the Company commercializes under the AstraZeneca License Agreement, it will pay AstraZeneca a low to high single-digit percentage royalty rate on the Company’s, its affiliates’ and its sublicensees’ net sales of such AZ-Licensed Products, subject to specified reductions,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payments made or due in connection with AZ-licensed Products for the three and nine months ended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2018, the Company entered into an exclusive option and license agreement, or the Hengrui License Agreement, with Jiangsu Hengrui Medicine Co., Ltd. (Hengrui), whereby Hengrui granted the Company an exclusive option to obtain certain exclusive rights to research, develop and commercialize products containing the compound designated by Hengrui as SHR0302, a JAK 1 inhibitor, in topical formulations for the treatment of skin diseases, disorders, and conditions in the United States, Japan, Canada and the European Union (including for clarity the United Kingdom). The Company made a $0.4 million upfront non-refundable cash payment to Hengrui upon execution of the Hengrui Option and License Agreement, which was recorded as research and development expense. In December 2019, the Company exercised its exclusive option under the agreement, for which it made a $1.5 million cash payment, which was recorded in research and development expense, and also contemporaneously amended the agreement to expand the territory to additionally include Canada. In addition, the Company has agreed to make cash payments of up to an aggregate of $20.5 million upon achievement of specified clinical development and regulatory approval milestones with respect to the licensed products and cash payments of up to an additional aggregate of $200 million in sales-based milestones based on certain aggregate annual net sales volumes with respect to a licensed product.</w:t>
      </w:r>
    </w:p>
    <w:p>
      <w:pPr>
        <w:spacing w:after="0" w:line="31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With respect to any products the Company commercializes under the Hengrui License Agreement, it will pay tiered royalties to Hengrui on net sales of each licensed product by the Company, or its affiliates, or its sublicensees, ranging from mid single-digit to sub-teen percentage rates based on tiered annual net sales bands subject to specified reductions. The Company is obligated to pay royalties until the later of (1) expiration of the last valid claim of the licensed patent rights covering such licensed product in such country and (2) expiration of regulatory exclusivity for the relevant licensed product in the relevant country, on a licensed product-by-licensed product and country-by-country basis. Additionally, the Company is obligated to pay Hengrui a specified percentage, ranging from the low-thirties to the sub-teens, of certain non-royalty sublicensing income it receives from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sublicensees of its rights to the licensed products, such percentage decreasing as the development stage of the licensed products advance.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payments made or due in connection with Hengrui for the three and nine months ended September 30,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Hawkeye Collaboration Agreement</w:t>
      </w:r>
    </w:p>
    <w:p>
      <w:pPr>
        <w:spacing w:after="0" w:line="139" w:lineRule="exact"/>
        <w:rPr>
          <w:sz w:val="20"/>
          <w:szCs w:val="20"/>
          <w:color w:val="auto"/>
        </w:rPr>
      </w:pPr>
    </w:p>
    <w:p>
      <w:pPr>
        <w:ind w:right="580" w:firstLine="648"/>
        <w:spacing w:after="0" w:line="254" w:lineRule="auto"/>
        <w:rPr>
          <w:sz w:val="20"/>
          <w:szCs w:val="20"/>
          <w:color w:val="auto"/>
        </w:rPr>
      </w:pPr>
      <w:r>
        <w:rPr>
          <w:rFonts w:ascii="Arial" w:cs="Arial" w:eastAsia="Arial" w:hAnsi="Arial"/>
          <w:sz w:val="18"/>
          <w:szCs w:val="18"/>
          <w:color w:val="auto"/>
        </w:rPr>
        <w:t>In June 2019, the Company entered into a collaboration agreement, or Hawkeye Agreement, with Hawkeye Therapeutics, Inc. (Hawkeye), a related party with common ownership, for the development of one or more new applications of roflumilast. The Hawkeye Agreement grants Hawkeye an exclusive license to certain intellectual property developed under the agreement as it relates to the applications.</w:t>
      </w:r>
    </w:p>
    <w:p>
      <w:pPr>
        <w:spacing w:after="0" w:line="20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Contemporaneously with the execution of the Hawkeye Agreement, the Company entered into a stock purchase agreement, purchasing 995,000 shares of Hawkeye’s common stock at $ 0.0001 per share, representing 19.9% of the outstanding common stock of Hawkeye. In the event that Hawkeye issues shares of Series A preferred stock with proceeds over $5.0 million, Hawkeye is required to issue to the Company a number of fully-paid fully-vested shares of common stock determined by dividing (i) $ 2,000,000 by (ii) an amount equal to the cash price per share for Series A preferred stock. Other than the potential issuance of this common stock, there are no upfront payments, milestones or royalties pursuant to the Hawkeye Agreement. The Company determined that Hawkeye is a variable interest entity for which consolidation is not required as it is not the primary beneficiary.</w:t>
      </w:r>
    </w:p>
    <w:p>
      <w:pPr>
        <w:spacing w:after="0" w:line="293" w:lineRule="exact"/>
        <w:rPr>
          <w:sz w:val="20"/>
          <w:szCs w:val="20"/>
          <w:color w:val="auto"/>
        </w:rPr>
      </w:pPr>
    </w:p>
    <w:p>
      <w:pPr>
        <w:ind w:left="660" w:right="8180" w:hanging="652"/>
        <w:spacing w:after="0" w:line="451" w:lineRule="auto"/>
        <w:tabs>
          <w:tab w:leader="none" w:pos="212"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Commitments and Contingencies Operating Lease</w:t>
      </w:r>
    </w:p>
    <w:p>
      <w:pPr>
        <w:spacing w:after="0" w:line="4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Company leases a facility in Westlake Village, California under an operating lease that commenced in February 2019. This lease was amended in April 2020 in order to relocate to a new expanded space comprising 22,643 square feet. At the time of the amendment, the Company reassessed the lease term of the original space in accordance with the option to terminate if leasing additional space in the same property. In connection with the reduction of the lease term for the original space, the Company reduced the ROU asset and lease liability balance by $139,000.</w:t>
      </w:r>
    </w:p>
    <w:p>
      <w:pPr>
        <w:spacing w:after="0" w:line="20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Company recognized the ROU asset and lease liability for the new space on May 1, 2020, which was determined to be the lease commencement date. The lease payments begin upon the earlier of Company occupying the space or 15 days after tenant improvements are complete, and terminate 91 months thereafter, with a renewal option for a term of five years. The Company will have a one-time option to cancel the lease after month 67. The renewal and one-time cancellation options have not been considered in the determination of the ROU asset or lease liability as the Company did not consider it reasonably certain it would exercise these options.</w:t>
      </w:r>
    </w:p>
    <w:p>
      <w:pPr>
        <w:spacing w:after="0" w:line="20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lease is subject to fixed rate escalation increases with an initial base rent of $76,000 per month and includes rent free periods aggregating approximately 1 year. As a result, the Company recognizes rent expense on a straight-line basis for the full amount of the commitment including the minimum rent increases over the life of the lease and the free rent period. The amended lease agreement provides for a tenant improvement allowance up to $1.25 million. It also requires the Company to have an available letter of credit of $1.5 million upon occupying the space, which is allowed to be reduced throughout the lease period as rent obligations are met.</w:t>
      </w:r>
    </w:p>
    <w:p>
      <w:pPr>
        <w:spacing w:after="0" w:line="9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association with commencement of this new lease, the Company recorded lease liabilities and off-setting ROU assets of $3.6 million on its condensed balance sheet as of June 30, 2020. Since the Company is reasonably certain to incur costs equal to or exceeding the tenant improvement allowance of $1.25 million, the allowance is treated as a lease incentive that is payable to the Company at the lease commencement date. Accordingly, the tenant improvement allowance is included in the measurement of the consideration in the contract at commencement, and is recognized as a reduction in the ROU asset and lease liability. Upon completion, the tenant improvements will be reclassified from the lease liability to fixed assets and depreciated over the term of the lease.</w:t>
      </w:r>
    </w:p>
    <w:p>
      <w:pPr>
        <w:spacing w:after="0" w:line="235" w:lineRule="exact"/>
        <w:rPr>
          <w:sz w:val="20"/>
          <w:szCs w:val="20"/>
          <w:color w:val="auto"/>
        </w:rPr>
      </w:pPr>
    </w:p>
    <w:p>
      <w:pPr>
        <w:ind w:right="740" w:firstLine="648"/>
        <w:spacing w:after="0" w:line="261" w:lineRule="auto"/>
        <w:rPr>
          <w:sz w:val="20"/>
          <w:szCs w:val="20"/>
          <w:color w:val="auto"/>
        </w:rPr>
      </w:pPr>
      <w:r>
        <w:rPr>
          <w:rFonts w:ascii="Arial" w:cs="Arial" w:eastAsia="Arial" w:hAnsi="Arial"/>
          <w:sz w:val="18"/>
          <w:szCs w:val="18"/>
          <w:color w:val="auto"/>
        </w:rPr>
        <w:t>The minimum annual rental payments of the Company’s operating lease liability as of September 30, 2020 are as follows (in thousands):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0" w:type="dxa"/>
            <w:vAlign w:val="bottom"/>
          </w:tcPr>
          <w:p>
            <w:pPr>
              <w:jc w:val="center"/>
              <w:ind w:left="1350"/>
              <w:spacing w:after="0"/>
              <w:rPr>
                <w:sz w:val="20"/>
                <w:szCs w:val="20"/>
                <w:color w:val="auto"/>
              </w:rPr>
            </w:pPr>
            <w:r>
              <w:rPr>
                <w:rFonts w:ascii="Arial" w:cs="Arial" w:eastAsia="Arial" w:hAnsi="Arial"/>
                <w:sz w:val="18"/>
                <w:szCs w:val="18"/>
                <w:b w:val="1"/>
                <w:bCs w:val="1"/>
                <w:color w:val="auto"/>
              </w:rPr>
              <w:t>ARCUTIS BIOTHERAPEUTICS, INC.</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980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Notes to Condensed Financial Statements</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9800" w:type="dxa"/>
            <w:vAlign w:val="bottom"/>
          </w:tcPr>
          <w:p>
            <w:pPr>
              <w:jc w:val="center"/>
              <w:ind w:left="137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513"/>
        </w:trPr>
        <w:tc>
          <w:tcPr>
            <w:tcW w:w="98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Amounts</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(October through December)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(1,752)</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Tenant improvement allowance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23"/>
        </w:trPr>
        <w:tc>
          <w:tcPr>
            <w:tcW w:w="9800" w:type="dxa"/>
            <w:vAlign w:val="bottom"/>
          </w:tcPr>
          <w:p>
            <w:pPr>
              <w:ind w:left="340"/>
              <w:spacing w:after="0"/>
              <w:rPr>
                <w:sz w:val="20"/>
                <w:szCs w:val="20"/>
                <w:color w:val="auto"/>
              </w:rPr>
            </w:pPr>
            <w:r>
              <w:rPr>
                <w:rFonts w:ascii="Arial" w:cs="Arial" w:eastAsia="Arial" w:hAnsi="Arial"/>
                <w:sz w:val="18"/>
                <w:szCs w:val="18"/>
                <w:color w:val="auto"/>
              </w:rPr>
              <w:t>Present value of future minimum lease payments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w:t>
            </w:r>
          </w:p>
        </w:tc>
      </w:tr>
      <w:tr>
        <w:trPr>
          <w:trHeight w:val="20"/>
        </w:trPr>
        <w:tc>
          <w:tcPr>
            <w:tcW w:w="9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operating lease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liability, noncurrent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r>
      <w:tr>
        <w:trPr>
          <w:trHeight w:val="248"/>
        </w:trPr>
        <w:tc>
          <w:tcPr>
            <w:tcW w:w="9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lease liability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Straight-line rent expense recognized for operating leases was $202,000 and $395,000 for the three and nine months ended September 30, 2020, respectively, and $42,000 and $109,000 for the three and nine months ended September 30, 2019, respectively. There were no significant variable lease payments, including non-lease components such as common area maintenance fees, recognized as rent expense for operating leases for the three and nine months ended September 30, 2020 and 2019.</w:t>
      </w:r>
    </w:p>
    <w:p>
      <w:pPr>
        <w:spacing w:after="0" w:line="231"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The following information represents supplemental disclosure for the statement of cash flows related to the Company’s operating lease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7820" w:type="dxa"/>
            <w:vAlign w:val="bottom"/>
          </w:tcPr>
          <w:p>
            <w:pPr>
              <w:spacing w:after="0"/>
              <w:rPr>
                <w:sz w:val="15"/>
                <w:szCs w:val="15"/>
                <w:color w:val="auto"/>
              </w:rPr>
            </w:pPr>
          </w:p>
        </w:tc>
        <w:tc>
          <w:tcPr>
            <w:tcW w:w="1140" w:type="dxa"/>
            <w:vAlign w:val="bottom"/>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40" w:type="dxa"/>
            <w:vAlign w:val="bottom"/>
          </w:tcPr>
          <w:p>
            <w:pPr>
              <w:jc w:val="right"/>
              <w:ind w:right="942"/>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12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r>
      <w:tr>
        <w:trPr>
          <w:trHeight w:val="567"/>
        </w:trPr>
        <w:tc>
          <w:tcPr>
            <w:tcW w:w="7820" w:type="dxa"/>
            <w:vAlign w:val="bottom"/>
          </w:tcPr>
          <w:p>
            <w:pPr>
              <w:ind w:left="660"/>
              <w:spacing w:after="0"/>
              <w:rPr>
                <w:sz w:val="20"/>
                <w:szCs w:val="20"/>
                <w:color w:val="auto"/>
              </w:rPr>
            </w:pPr>
            <w:r>
              <w:rPr>
                <w:rFonts w:ascii="Arial" w:cs="Arial" w:eastAsia="Arial" w:hAnsi="Arial"/>
                <w:sz w:val="18"/>
                <w:szCs w:val="18"/>
                <w:color w:val="auto"/>
              </w:rPr>
              <w:t>The following summarizes additional information related to the operating lease:</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8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7.0 %</w:t>
            </w: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39"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California corporate law. The Company currently has directors’ and officers’ insurance coverage that reduces its exposure and enables the Company to recover a portion of any future amounts paid. The Company believes any potential loss exposure under these indemnification agreements in excess of applicable insurance coverage is minimal.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Convertible Preferred Stock and Stockholders’ Equity (Deficit)</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Convertible preferred stock as of December 31, 2019 consisted of the following (in thousands, except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Issued and</w:t>
            </w: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Liquidation</w:t>
            </w:r>
          </w:p>
        </w:tc>
      </w:tr>
      <w:tr>
        <w:trPr>
          <w:trHeight w:val="19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Authorized</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Preference</w:t>
            </w:r>
          </w:p>
        </w:tc>
      </w:tr>
      <w:tr>
        <w:trPr>
          <w:trHeight w:val="26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13,800,000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6,897,575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w:t>
            </w: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Series B</w:t>
            </w:r>
          </w:p>
        </w:tc>
        <w:tc>
          <w:tcPr>
            <w:tcW w:w="1320" w:type="dxa"/>
            <w:vAlign w:val="bottom"/>
          </w:tcPr>
          <w:p>
            <w:pPr>
              <w:jc w:val="right"/>
              <w:spacing w:after="0"/>
              <w:rPr>
                <w:sz w:val="20"/>
                <w:szCs w:val="20"/>
                <w:color w:val="auto"/>
              </w:rPr>
            </w:pPr>
            <w:r>
              <w:rPr>
                <w:rFonts w:ascii="Arial" w:cs="Arial" w:eastAsia="Arial" w:hAnsi="Arial"/>
                <w:sz w:val="18"/>
                <w:szCs w:val="18"/>
                <w:color w:val="auto"/>
              </w:rPr>
              <w:t>18,736,270</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9,364,850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58,000</w:t>
            </w:r>
          </w:p>
        </w:tc>
      </w:tr>
      <w:tr>
        <w:trPr>
          <w:trHeight w:val="27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16,251,628</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8,122,963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94,239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w:t>
            </w:r>
          </w:p>
        </w:tc>
      </w:tr>
      <w:tr>
        <w:trPr>
          <w:trHeight w:val="223"/>
        </w:trPr>
        <w:tc>
          <w:tcPr>
            <w:tcW w:w="55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48,787,898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24,385,388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166,491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166,300</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connection with the Company's IPO in February 2020, all of the Company’s outstanding shares of convertible preferred stock were automatically converted into 24,385,388 shares of common stock.</w:t>
      </w:r>
    </w:p>
    <w:p>
      <w:pPr>
        <w:spacing w:after="0" w:line="197"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In October 2019, the Company issued 8,122,963 shares of Series C convertible preferred stock at a purchase price of $11.63 per share for total net proceeds of $94.2 million, some of which were to related parties.</w:t>
      </w:r>
    </w:p>
    <w:p>
      <w:pPr>
        <w:spacing w:after="0" w:line="197"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In September 2018, the Company issued 9,364,850 shares of Series B convertible preferred stock at a purchase price of $6.19 per share for total net proceeds of $54.9 million, some of which were to related parties.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April 2017 and March 2018, the Company issued 3,590,845 and 3,156,784 shares, respectively, of Series A convertible preferred stock at a purchase price of $2.00 per share for net proceeds of $13.4 million. Additionally, in April 2017, the Company issued 149,946 shares of Series A convertible preferred stock as a result of the conversion of convertible promissory notes.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39" w:lineRule="exact"/>
        <w:rPr>
          <w:sz w:val="20"/>
          <w:szCs w:val="20"/>
          <w:color w:val="auto"/>
        </w:rPr>
      </w:pPr>
    </w:p>
    <w:p>
      <w:pPr>
        <w:jc w:val="both"/>
        <w:ind w:right="100" w:firstLine="648"/>
        <w:spacing w:after="0" w:line="254" w:lineRule="auto"/>
        <w:rPr>
          <w:sz w:val="20"/>
          <w:szCs w:val="20"/>
          <w:color w:val="auto"/>
        </w:rPr>
      </w:pPr>
      <w:r>
        <w:rPr>
          <w:rFonts w:ascii="Arial" w:cs="Arial" w:eastAsia="Arial" w:hAnsi="Arial"/>
          <w:sz w:val="18"/>
          <w:szCs w:val="18"/>
          <w:color w:val="auto"/>
        </w:rPr>
        <w:t>The holders of the Company’s common stock have one vote for each share of common stock. Common stockholders are entitled to dividends when, as, and if declared by the board of directors. The holders have no preemptive or other subscription rights and there are no redemption or sinking fund provisions with respect to such shares. As of September 30, 2020, no dividends had been declared by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reserved the following shares of common stock for issuance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outstanding</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24,385,388</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Options issued and outstanding</w:t>
            </w:r>
          </w:p>
        </w:tc>
        <w:tc>
          <w:tcPr>
            <w:tcW w:w="1960" w:type="dxa"/>
            <w:vAlign w:val="bottom"/>
          </w:tcPr>
          <w:p>
            <w:pPr>
              <w:jc w:val="right"/>
              <w:spacing w:after="0"/>
              <w:rPr>
                <w:sz w:val="20"/>
                <w:szCs w:val="20"/>
                <w:color w:val="auto"/>
              </w:rPr>
            </w:pPr>
            <w:r>
              <w:rPr>
                <w:rFonts w:ascii="Arial" w:cs="Arial" w:eastAsia="Arial" w:hAnsi="Arial"/>
                <w:sz w:val="18"/>
                <w:szCs w:val="18"/>
                <w:color w:val="auto"/>
              </w:rPr>
              <w:t>3,604,363</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2,516,470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awards available for grant under employee benefit plans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2,611,903</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1,550,150</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 outstanding</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163,560</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common stock reserved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6,379,826</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28,452,008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39"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On February 4, 2020, the Company’s certificate of incorporation was amended and restated to provide for 300,000,000 authorized shares of common stock with a par value of $0.0001 per share and 10,000,000 authorized shares of preferred stock with a par value of $0.0001 per share. There were no shares of preferred stock outstanding as of September 30, 2020 and December 31,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Stock-Based Compensation</w:t>
      </w:r>
    </w:p>
    <w:p>
      <w:pPr>
        <w:spacing w:after="0" w:line="139" w:lineRule="exact"/>
        <w:rPr>
          <w:sz w:val="20"/>
          <w:szCs w:val="20"/>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In January 2020, the Company’s board of directors approved the 2020 Equity Incentive Plan, (2020 Plan), which became effective January 30, 2020 in connection with the IPO. The 2020 Plan serves as the successor incentive award plan to the Company’s 2017 Equity Incentive Plan, (2017 Plan), and has 2,134,000 shares of</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common stock available for issuance pursuant to a variety of stock-based compensation awards, including stock options, stock appreciation rights, restricted stock awards, restricted stock unit awards and other stock-based awards, plus 1,550,150 shares of common stock that were reserved for issuance pursuant to future awards under the 2017 Plan at the time the 2020 Plan became effective, plus shares represented by awards outstanding under the 2017 Plan that are forfeited or lapsed unexercised and which following the effective date of the 2020 Plan are not issued under the 2017 Plan. In addition, the 2020 Plan reserve will increase on January 1, 2021 and each subsequent anniversary through 2030, by an amount equal to the lesser of (a) four percent of the shares of stock outstanding (on an as converted basis) on the day immediately prior to the date of increase and (b) such smaller number of shares of stock as determined by our board of directors; provided, however, that no more than 11,000,000 shares of stock may be issued upon the exercise of incentive stock options. As of September 30, 2020, the Company had 2,280,765 shares available for future grant under the 2020 Plan.</w:t>
      </w:r>
    </w:p>
    <w:p>
      <w:pPr>
        <w:spacing w:after="0" w:line="10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2020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2020 Plan, options may be granted at an exercise price not less than fair market value. The Company generally grants stock-based awards with service conditions. Options granted typically vest over a four-year period but may be granted with different vesting terms.</w:t>
      </w:r>
    </w:p>
    <w:p>
      <w:pPr>
        <w:spacing w:after="0" w:line="9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Following the Company’s IPO and in connection with the effectiveness of the Company’s 2020 Plan, the 2017 Plan terminated and no further awards will be granted under that plan. However, all outstanding awards under the 2017 Plan will continue to be governed by their existing terms.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option activity (in thousands, except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120" w:type="dxa"/>
            <w:vAlign w:val="bottom"/>
          </w:tcPr>
          <w:p>
            <w:pPr>
              <w:jc w:val="center"/>
              <w:ind w:right="1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320" w:type="dxa"/>
            <w:vAlign w:val="bottom"/>
          </w:tcPr>
          <w:p>
            <w:pPr>
              <w:jc w:val="right"/>
              <w:ind w:right="215"/>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Options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2,516,470</w:t>
            </w:r>
          </w:p>
        </w:tc>
        <w:tc>
          <w:tcPr>
            <w:tcW w:w="4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229"/>
        </w:trPr>
        <w:tc>
          <w:tcPr>
            <w:tcW w:w="52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1,263,825</w:t>
            </w:r>
          </w:p>
        </w:tc>
        <w:tc>
          <w:tcPr>
            <w:tcW w:w="4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(151,932)</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27.61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3,604,363</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64,019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Exercisable—September 30, 2020</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1,972,132</w:t>
            </w:r>
          </w:p>
        </w:tc>
        <w:tc>
          <w:tcPr>
            <w:tcW w:w="44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(1)</w:t>
            </w: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7.37</w:t>
            </w:r>
          </w:p>
        </w:tc>
        <w:tc>
          <w:tcPr>
            <w:tcW w:w="1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8.80</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43,245</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Options exercisable includes early exercisable options.</w:t>
      </w:r>
    </w:p>
    <w:p>
      <w:pPr>
        <w:spacing w:after="0" w:line="211"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aggregate intrinsic value is calculated as the difference between the exercise price of the options and the fair value of the Company’s common stock as of September 30, 2020. As of December 31, 2019, prior to the Company's IPO, the estimated fair value of the Company's common stock was determined by the board of directors.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intrinsic value of options exercised for the nine months ended September 30, 2020 was $2.6 million.</w:t>
      </w:r>
    </w:p>
    <w:p>
      <w:pPr>
        <w:spacing w:after="0" w:line="225" w:lineRule="exact"/>
        <w:rPr>
          <w:sz w:val="20"/>
          <w:szCs w:val="20"/>
          <w:color w:val="auto"/>
        </w:rPr>
      </w:pPr>
    </w:p>
    <w:p>
      <w:pPr>
        <w:jc w:val="both"/>
        <w:ind w:right="680" w:firstLine="648"/>
        <w:spacing w:after="0" w:line="291" w:lineRule="auto"/>
        <w:rPr>
          <w:sz w:val="20"/>
          <w:szCs w:val="20"/>
          <w:color w:val="auto"/>
        </w:rPr>
      </w:pPr>
      <w:r>
        <w:rPr>
          <w:rFonts w:ascii="Arial" w:cs="Arial" w:eastAsia="Arial" w:hAnsi="Arial"/>
          <w:sz w:val="17"/>
          <w:szCs w:val="17"/>
          <w:color w:val="auto"/>
        </w:rPr>
        <w:t>The total grant-date fair value of the options vested during the nine months ended September 30, 2020 was $1.6 million. The weighted-average grant-date fair value of employee options granted during the nine months ended September 30, 2020 was $18.35.</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regarding our restricted stock units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Weighted-Average</w:t>
            </w:r>
          </w:p>
        </w:tc>
      </w:tr>
      <w:tr>
        <w:trPr>
          <w:trHeight w:val="196"/>
        </w:trPr>
        <w:tc>
          <w:tcPr>
            <w:tcW w:w="70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Number of Units</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Grant Date Fair Value</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163,560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Balance—September 30, 2020</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163,560</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The grant date fair value of an RSU equals the closing price of our common stock on the grant date. RSUs generally vest equally over 4 years. There were no RSU grants prior to January 1, 2020.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Stock-based compensation expense recognized in our condensed statements of operations and comprehensive loss was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32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88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90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5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48"/>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380" w:firstLine="648"/>
        <w:spacing w:after="0" w:line="254" w:lineRule="auto"/>
        <w:rPr>
          <w:sz w:val="20"/>
          <w:szCs w:val="20"/>
          <w:color w:val="auto"/>
        </w:rPr>
      </w:pPr>
      <w:r>
        <w:rPr>
          <w:rFonts w:ascii="Arial" w:cs="Arial" w:eastAsia="Arial" w:hAnsi="Arial"/>
          <w:sz w:val="18"/>
          <w:szCs w:val="18"/>
          <w:color w:val="auto"/>
        </w:rPr>
        <w:t>As of September 30, 2020, there was $23.8 million of total unrecognized compensation cost related to unvested options that are expected to vest, which is expected to be recognized over a weighted-average period of 3.4 years. As of September 30, 2020, there was $3.9 million of total unrecognized compensation cost related to RSUs that is expected to vest, which is expected to be recognized over a weighted-average period of 3.8 years.</w:t>
      </w:r>
    </w:p>
    <w:p>
      <w:pPr>
        <w:spacing w:after="0" w:line="204" w:lineRule="exact"/>
        <w:rPr>
          <w:sz w:val="20"/>
          <w:szCs w:val="20"/>
          <w:color w:val="auto"/>
        </w:rPr>
      </w:pPr>
    </w:p>
    <w:p>
      <w:pPr>
        <w:ind w:right="1000" w:firstLine="648"/>
        <w:spacing w:after="0" w:line="261" w:lineRule="auto"/>
        <w:rPr>
          <w:sz w:val="20"/>
          <w:szCs w:val="20"/>
          <w:color w:val="auto"/>
        </w:rPr>
      </w:pPr>
      <w:r>
        <w:rPr>
          <w:rFonts w:ascii="Arial" w:cs="Arial" w:eastAsia="Arial" w:hAnsi="Arial"/>
          <w:sz w:val="18"/>
          <w:szCs w:val="18"/>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72" w:lineRule="exact"/>
        <w:rPr>
          <w:sz w:val="20"/>
          <w:szCs w:val="20"/>
          <w:color w:val="auto"/>
        </w:rPr>
      </w:pPr>
    </w:p>
    <w:p>
      <w:pPr>
        <w:ind w:left="660" w:right="40" w:firstLine="648"/>
        <w:spacing w:after="0" w:line="269"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For options granted prior to IPO in the year ended December 31, 2019, given the absence of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 trading market, the Company’s board of directors with input from management considered numerous objective and subjective factors to determine the fair value of common stock.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 Company’s common stock;</w:t>
      </w:r>
    </w:p>
    <w:p>
      <w:pPr>
        <w:spacing w:after="0" w:line="3" w:lineRule="exact"/>
        <w:rPr>
          <w:sz w:val="20"/>
          <w:szCs w:val="20"/>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operating results and financial condition, including the Company’s levels of available capital resources; and</w:t>
      </w:r>
    </w:p>
    <w:p>
      <w:pPr>
        <w:spacing w:after="0" w:line="9" w:lineRule="exact"/>
        <w:rPr>
          <w:rFonts w:ascii="Arial" w:cs="Arial" w:eastAsia="Arial" w:hAnsi="Arial"/>
          <w:sz w:val="18"/>
          <w:szCs w:val="18"/>
          <w:color w:val="auto"/>
        </w:rPr>
      </w:pPr>
    </w:p>
    <w:p>
      <w:pPr>
        <w:ind w:left="660" w:right="180" w:hanging="4"/>
        <w:spacing w:after="0" w:line="256"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(vii) general U.S. market conditions; and (viii) the lack of marketability of the Company’s common stock. For options granted after IPO, the Company uses its closing stock price as reported on Nasdaq on the grant date for the fair value of its stock.</w:t>
      </w:r>
    </w:p>
    <w:p>
      <w:pPr>
        <w:spacing w:after="0" w:line="76" w:lineRule="exact"/>
        <w:rPr>
          <w:sz w:val="20"/>
          <w:szCs w:val="20"/>
          <w:color w:val="auto"/>
        </w:rPr>
      </w:pPr>
    </w:p>
    <w:p>
      <w:pPr>
        <w:ind w:left="660" w:right="20" w:firstLine="648"/>
        <w:spacing w:after="0" w:line="266"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outstanding. The Company used the simplified method (based on the mid-point between the vesting date and the end of the contractual term) to determine the expected term.</w:t>
      </w:r>
    </w:p>
    <w:p>
      <w:pPr>
        <w:spacing w:after="0" w:line="68" w:lineRule="exact"/>
        <w:rPr>
          <w:sz w:val="20"/>
          <w:szCs w:val="20"/>
          <w:color w:val="auto"/>
        </w:rPr>
      </w:pPr>
    </w:p>
    <w:p>
      <w:pPr>
        <w:ind w:left="660" w:right="80" w:firstLine="648"/>
        <w:spacing w:after="0" w:line="258"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does not have sufficient trading history for its common stock,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estimated based on the average historical volatilities for comparable publicly traded pharmaceutical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ind w:left="660" w:right="100" w:firstLine="648"/>
        <w:spacing w:after="0" w:line="282"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option.</w:t>
      </w:r>
    </w:p>
    <w:p>
      <w:pPr>
        <w:spacing w:after="0" w:line="54" w:lineRule="exact"/>
        <w:rPr>
          <w:sz w:val="20"/>
          <w:szCs w:val="20"/>
          <w:color w:val="auto"/>
        </w:rPr>
      </w:pPr>
    </w:p>
    <w:p>
      <w:pPr>
        <w:ind w:left="660" w:right="500" w:firstLine="648"/>
        <w:spacing w:after="0" w:line="282"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paid dividends on its common stock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the Company used an expected dividend yield of zero.</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The fair value of stock option awards granted was estimated at the date of grant using a Black-Scholes option-pricing model with the following assumptions:</w:t>
      </w:r>
    </w:p>
    <w:tbl>
      <w:tblPr>
        <w:tblLayout w:type="fixed"/>
        <w:tblInd w:w="0" w:type="dxa"/>
        <w:tblCellMar>
          <w:top w:w="0" w:type="dxa"/>
          <w:left w:w="0" w:type="dxa"/>
          <w:bottom w:w="0" w:type="dxa"/>
          <w:right w:w="0" w:type="dxa"/>
        </w:tblCellMar>
      </w:tblPr>
      <w:tr>
        <w:trPr>
          <w:trHeight w:val="158"/>
        </w:trPr>
        <w:tc>
          <w:tcPr>
            <w:tcW w:w="7320" w:type="dxa"/>
            <w:vAlign w:val="bottom"/>
          </w:tcPr>
          <w:p>
            <w:pPr>
              <w:spacing w:after="0"/>
              <w:rPr>
                <w:sz w:val="13"/>
                <w:szCs w:val="13"/>
                <w:color w:val="auto"/>
              </w:rPr>
            </w:pPr>
          </w:p>
        </w:tc>
        <w:tc>
          <w:tcPr>
            <w:tcW w:w="2020" w:type="dxa"/>
            <w:vAlign w:val="bottom"/>
            <w:gridSpan w:val="3"/>
          </w:tcPr>
          <w:p>
            <w:pPr>
              <w:ind w:left="280"/>
              <w:spacing w:after="0" w:line="158" w:lineRule="exact"/>
              <w:rPr>
                <w:sz w:val="20"/>
                <w:szCs w:val="20"/>
                <w:color w:val="auto"/>
              </w:rPr>
            </w:pPr>
            <w:r>
              <w:rPr>
                <w:rFonts w:ascii="Arial" w:cs="Arial" w:eastAsia="Arial" w:hAnsi="Arial"/>
                <w:sz w:val="14"/>
                <w:szCs w:val="14"/>
                <w:b w:val="1"/>
                <w:bCs w:val="1"/>
                <w:color w:val="auto"/>
              </w:rPr>
              <w:t>Nine Months Ended</w:t>
            </w:r>
          </w:p>
        </w:tc>
        <w:tc>
          <w:tcPr>
            <w:tcW w:w="19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Year Ended</w:t>
            </w:r>
          </w:p>
        </w:tc>
      </w:tr>
      <w:tr>
        <w:trPr>
          <w:trHeight w:val="176"/>
        </w:trPr>
        <w:tc>
          <w:tcPr>
            <w:tcW w:w="732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0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5.5 – 6.2</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5.1 – 6.6</w:t>
            </w: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jc w:val="right"/>
              <w:spacing w:after="0"/>
              <w:rPr>
                <w:sz w:val="20"/>
                <w:szCs w:val="20"/>
                <w:color w:val="auto"/>
              </w:rPr>
            </w:pPr>
            <w:r>
              <w:rPr>
                <w:rFonts w:ascii="Arial" w:cs="Arial" w:eastAsia="Arial" w:hAnsi="Arial"/>
                <w:sz w:val="18"/>
                <w:szCs w:val="18"/>
                <w:color w:val="auto"/>
              </w:rPr>
              <w:t>78.4</w:t>
            </w: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 80.8%</w:t>
            </w:r>
          </w:p>
        </w:tc>
        <w:tc>
          <w:tcPr>
            <w:tcW w:w="780" w:type="dxa"/>
            <w:vAlign w:val="bottom"/>
          </w:tcPr>
          <w:p>
            <w:pPr>
              <w:jc w:val="right"/>
              <w:spacing w:after="0"/>
              <w:rPr>
                <w:sz w:val="20"/>
                <w:szCs w:val="20"/>
                <w:color w:val="auto"/>
              </w:rPr>
            </w:pPr>
            <w:r>
              <w:rPr>
                <w:rFonts w:ascii="Arial" w:cs="Arial" w:eastAsia="Arial" w:hAnsi="Arial"/>
                <w:sz w:val="18"/>
                <w:szCs w:val="18"/>
                <w:color w:val="auto"/>
              </w:rPr>
              <w:t>68.6</w:t>
            </w:r>
          </w:p>
        </w:tc>
        <w:tc>
          <w:tcPr>
            <w:tcW w:w="1120" w:type="dxa"/>
            <w:vAlign w:val="bottom"/>
          </w:tcPr>
          <w:p>
            <w:pPr>
              <w:ind w:left="40"/>
              <w:spacing w:after="0"/>
              <w:rPr>
                <w:sz w:val="20"/>
                <w:szCs w:val="20"/>
                <w:color w:val="auto"/>
              </w:rPr>
            </w:pPr>
            <w:r>
              <w:rPr>
                <w:rFonts w:ascii="Arial" w:cs="Arial" w:eastAsia="Arial" w:hAnsi="Arial"/>
                <w:sz w:val="18"/>
                <w:szCs w:val="18"/>
                <w:color w:val="auto"/>
              </w:rPr>
              <w:t>– 72.5%</w:t>
            </w:r>
          </w:p>
        </w:tc>
      </w:tr>
      <w:tr>
        <w:trPr>
          <w:trHeight w:val="27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2.6%</w:t>
            </w: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80" w:type="dxa"/>
            <w:vAlign w:val="bottom"/>
          </w:tcPr>
          <w:p>
            <w:pPr>
              <w:spacing w:after="0"/>
              <w:rPr>
                <w:sz w:val="23"/>
                <w:szCs w:val="23"/>
                <w:color w:val="auto"/>
              </w:rPr>
            </w:pPr>
          </w:p>
        </w:tc>
        <w:tc>
          <w:tcPr>
            <w:tcW w:w="1240" w:type="dxa"/>
            <w:vAlign w:val="bottom"/>
            <w:gridSpan w:val="2"/>
          </w:tcPr>
          <w:p>
            <w:pPr>
              <w:jc w:val="center"/>
              <w:ind w:right="900"/>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3"/>
                <w:szCs w:val="23"/>
                <w:color w:val="auto"/>
              </w:rPr>
            </w:pPr>
          </w:p>
        </w:tc>
        <w:tc>
          <w:tcPr>
            <w:tcW w:w="1120" w:type="dxa"/>
            <w:vAlign w:val="bottom"/>
          </w:tcPr>
          <w:p>
            <w:pPr>
              <w:jc w:val="center"/>
              <w:ind w:right="690"/>
              <w:spacing w:after="0"/>
              <w:rPr>
                <w:sz w:val="20"/>
                <w:szCs w:val="20"/>
                <w:color w:val="auto"/>
              </w:rPr>
            </w:pPr>
            <w:r>
              <w:rPr>
                <w:rFonts w:ascii="Arial" w:cs="Arial" w:eastAsia="Arial" w:hAnsi="Arial"/>
                <w:sz w:val="18"/>
                <w:szCs w:val="18"/>
                <w:color w:val="auto"/>
                <w:w w:val="99"/>
              </w:rPr>
              <w:t>—%</w:t>
            </w: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24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terms of the 2017 and 2020 Plans permit certain option holders to exercise options before their options are vested, subject to certain limitations. Upon early exercise, the awards become subject to a restricted stock agreement. The shares of restricted stock granted upon early exercise of the options are subject to the same vesting provisions in the original stock option awards. Shares issued as a result of early exercise that have not vested are subject to repurchase by the Company upon termination of the purchaser’s employment, at the price paid by the purchaser. While such shares have been issued, they are not considered outstanding for accounting purposes until they vest and are therefore excluded from shares used in determining loss per share until the repurchase right lapses and the shares are no longer subject to the repurchase feature. The liability is reclassified into common stock and additional paid-in capital as the shares vest and the repurchase right lapses. Accordingly, the Company has recorded the unvested portion of the exercise proceeds of $311,000 and $409,000 as a liability from the early exercise in the accompanying balance sheets as of September 30, 2020 and December 31, 2019, respectively. As of September 30, 2020 and December 31, 2019, there were $198,000 and $225,000 recorded in accrued liabilities, respectively, and $113,000 and $184,000 recorded in other long-term liabilities, respectively related to shares that were subject to repurchase.</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Founder Awards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August 2016, the Company issued 1,187,738 shares of restricted common stock to founders of which 1,102,903 shares vest under a service condition and 84,835 shares vest under a performance condition. The shares were issued under the terms of the respective restricted stock purchase agreements, or the Stock Purchase Agreement, and unvested shares were subject to repurchase by the Company at the original purchase price per share upon the holder’s termination of his relationship with the Company. The restricted shares were not considered outstanding for accounting purposes until they vested and are therefore excluded from shares used in determining loss per share until the repurchase right lapses and the shares are no longer subject to the repurchase feature. One-fourth of the 1,102,903 shares of restricted common stock were vested on the first-anniversary date and the remaining 827,177 shares will vest on a monthly basis thereafter. In July 2018, performance conditions prescribed by the Stock Purchase Agreement were met and 84,835 shares of the restricted common stock were fully vested. As of December 31, 2019, 1,049,875 shares subject to the award had vested, and an additional 137,863 shares vested during the nine months ended September 30, 2020. As of September 30, 2020, all shares of restricted stock subject to the award had been vested.</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47"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The Company adopted the 2020 Employee Stock Purchase Plan, or the ESPP, which became effective on January 30, 2020 in connection with the IPO. The ESPP is designed to allow the Company’s eligible employees to purchase shares of the Company’s common stock, at semi-annual intervals, with their accumulated payroll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deductions. Under the ESPP, participants are offered the option to purchase shares of the Company’s common stock at a discount during a series of successive offering periods. The option purchase price will be the lower of 85% of the closing trading price per share of the Company’s common stock on the first trading date of an offering period in which a participant is enrolled or 85% of the closing trading price per share on the purchase date, which will occur on the last trading day of each offering period.</w:t>
      </w:r>
    </w:p>
    <w:p>
      <w:pPr>
        <w:spacing w:after="0" w:line="20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ESPP is intended to qualify under Section 423 of the U.S. Internal Revenue Service Code of 1986, as amended. The maximum number of the Company’s common stock which will be authorized for sale under the ESPP is equal to the sum of (a) 351,000 shares of common stock and (b) an annual increase on the first day of each year beginning in 2021 and ending in 2030, equal to the lesser of (i) 1% of the shares of common stock outstanding (on an as converted basis) on the last day of the immediately preceding fiscal year and (ii) such number of shares of common stock as determined by the Company’s board of directors; provided, however, no more than 5,265,000 shares of the Company’s common stock may be issued under the ESPP.</w:t>
      </w:r>
    </w:p>
    <w:p>
      <w:pPr>
        <w:spacing w:after="0" w:line="10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Company commenced an offering period on January 31, 2020, which ended on May 31, 2020, and resulted in 19,862 shares of stock being issued under the ESPP during the six months ended June 30, 2020. Subsequently, the Company commenced another offering period on June 1, 2020, which will end on November 30, 2020. Stock-based compensation expense related to the ESPP was $88,000 and $249,000 for the three and nine months ended September 30, 2020,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Net Loss Per Share</w:t>
      </w:r>
    </w:p>
    <w:p>
      <w:pPr>
        <w:spacing w:after="0" w:line="139"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4"/>
                <w:szCs w:val="14"/>
                <w:b w:val="1"/>
                <w:bCs w:val="1"/>
                <w:color w:val="auto"/>
              </w:rPr>
              <w:t>As of September 30,</w:t>
            </w:r>
          </w:p>
        </w:tc>
      </w:tr>
      <w:tr>
        <w:trPr>
          <w:trHeight w:val="183"/>
        </w:trPr>
        <w:tc>
          <w:tcPr>
            <w:tcW w:w="794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16,262,425</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3,604,363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1,573,320</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exercised options subject to future vesting</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419,312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681,543</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RSU's subject to future vesting</w:t>
            </w:r>
          </w:p>
        </w:tc>
        <w:tc>
          <w:tcPr>
            <w:tcW w:w="1600" w:type="dxa"/>
            <w:vAlign w:val="bottom"/>
          </w:tcPr>
          <w:p>
            <w:pPr>
              <w:jc w:val="right"/>
              <w:spacing w:after="0"/>
              <w:rPr>
                <w:sz w:val="20"/>
                <w:szCs w:val="20"/>
                <w:color w:val="auto"/>
              </w:rPr>
            </w:pPr>
            <w:r>
              <w:rPr>
                <w:rFonts w:ascii="Arial" w:cs="Arial" w:eastAsia="Arial" w:hAnsi="Arial"/>
                <w:sz w:val="18"/>
                <w:szCs w:val="18"/>
                <w:color w:val="auto"/>
              </w:rPr>
              <w:t>163,560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shares subject to future issuance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Restricted stock subject to future vesting</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206,794</w:t>
            </w:r>
          </w:p>
        </w:tc>
      </w:tr>
      <w:tr>
        <w:trPr>
          <w:trHeight w:val="248"/>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18,724,082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Subsequent Event</w:t>
      </w:r>
    </w:p>
    <w:p>
      <w:pPr>
        <w:spacing w:after="0" w:line="139"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On October 6, 2020, the Company completed a public offering of 4,000,000 shares of common stock at an offering price of $25.00 per share, receiving aggregate net proceeds of approximately $93.4 million after deducting the underwriting discounts, commissions and offering related transaction costs. In addition, the Company concurrently sold 1,400,000 shares of common stock in a private placement exempt from the registration requirements of the Securities Act of 1933, as amended, at a price per share equal to the public offering price, receiving net proceeds of $35.0 million.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financial statements and related notes appearing elsewhere in this Quarterly Report on Form 10-Q, and the audited financial statements and notes thereto as of and for the year ended December 31, 2019 and the related Management's Discussion and Analysis of Financial Condition and Results of Operations, both of which are contained in our Annual Report on Form 10-K for the year ended December 31, 2019, which has been filed with the Securities and Exchange Commission. Some of the information contained in this discussion and analysis or set forth elsewhere in this Quarterly Report on Form 10-Q, including information with respect to our plans, objectives, expectations, projections and strategy for our business, includes forward-looking statements that involve risks and uncertainties.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As a result of many factors, including those factors identified below and those set forth in the “Risk Factors” section of this Quarterly Report on Form 10-Q, our actual results and the timing of selected events could differ materially from the forward-looking statements contained in the following discussion and analysis.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are a late-stage biopharmaceutical company focused on developing and commercializing treatments for dermatological diseases with high unmet medical needs. Our current portfolio is comprised of topical treatments with significant potential to address immune-mediated dermatological diseases and conditions, or immuno-dermatology. Our strategy is to identify and develop treatments against validated biological targets in dermatology that deliver a differentiated clinical profile that addresses major shortcomings of existing therapies in our targeted indications. We believe this strategy uniquely positions us to rapidly progress towards our goal of bridging the treatment innovation gap in dermatology, while maximizing our probability of technical success and financial resources.</w:t>
      </w:r>
    </w:p>
    <w:p>
      <w:pPr>
        <w:spacing w:after="0" w:line="23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Our lead product candidate, topical roflumilast cream (ARQ-151), is in Phase 3 clinical trials in plaque psoriasis. Roflumilast cream is a topical cream formulation of roflumilast, a highly potent and selective phosphodiesterase type 4, or PDE4, inhibitor, which we are developing for the treatment of plaque psoriasis, including psoriasis in intertriginous regions such as the groin, axillae, and inframammary areas, as well as atopic dermatitis. In July 2018, we executed a worldwide licensing agreement with AstraZeneca AB, or AstraZeneca, for exclusive worldwide rights to all topical dermatological uses of roflumilast. We have successfully completed a Phase 2b study of roflumilast cream in plaque psoriasis, and, in August 2019, paid AstraZeneca the first milestone payment of $2.0 million that was earned upon the achievement of positive Phase 2 data for any AZ-Licensed Product (as defined in “—License Agreements—AstraZeneca License Agreement”). We have completed enrollment in three Phase 3 studies in plaque psoriasis, including two pivotal studies (DERMIS-1 and DERMIS-2) and an open label extension study (DERMIS-OLE), with topline data expected in the first quarter of 2021 and a New Drug Application (NDA) submission anticipated by the end of 2021. On July 31, 2020, we announced positive preliminary efficacy and safety results for the first cohort of 223 subjects from our ongoing Phase 2 long-term safety study evaluating roflumilast cream 0.3% as a potential once-daily chronic topical treatment for plaque psoriasis. We expect to have topline data for the full study population of 332 subjects from both cohorts in the first quarter of 2021</w:t>
      </w:r>
    </w:p>
    <w:p>
      <w:pPr>
        <w:spacing w:after="0" w:line="23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Additionally, we have completed a Phase 2 study of roflumilast cream in atopic dermatitis. Following our End of Phase 2 meeting with the U.S. Food and Drug Administraion (FDA) in September 2020, we announced our intention to progress roflumilast cream into Phase 3 studies in atopic dermatitis, bypassing our previously planned Phase 2b study in that indication. We expect to initiate the Phase 3 studies in late 2020 or early 2021.</w:t>
      </w:r>
    </w:p>
    <w:p>
      <w:pPr>
        <w:spacing w:after="0" w:line="232"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are also developing ARQ-154, a topical foam formulation of roflumilast cream, and have successfully completed a Phase 2 study in seborrheic dermatitis. On September 29, 2020, we announced positive topline results from our completed Phase 2 study of roflumilast foam in seborrheic dermatitis. Results from the eight-week treatment period demonstrated statistically significant improvement compared to the matching vehicle on key efficacy endpoints. Roflumilast foam was well-tolerated by the patient population, with rates of application site adverse events, treatment-related adverse events and discontinuations due to adverse events low and similar to</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vehicle. We have also completed enrollment in a Phase 2b study of ARQ-154 in scalp psoriasis, for which we expect to report topline data by the end of 2020.</w:t>
      </w:r>
    </w:p>
    <w:p>
      <w:pPr>
        <w:spacing w:after="0" w:line="19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Beyond this, we have completed enrollment in a Phase1/2b clinical study of ARQ-252, a potent and highly selective topical Janus kinase type 1, or JAK1, inhibitor for the treatment of chronic hand eczema, and expect topline data by mid-2021. We also plan to initiate a clinical study of ARQ-252 in vitiligo in late 2020 or early 2021. Additionally, we have formulation and preclinical efforts underway for ARQ-255, an alternative topical formulation of ARQ-252 designed to reach deeper into the skin in order to potentially treat alopecia areata. In January 2018, we executed an exclusive option and license agreement with Hengrui for the active pharmaceutical ingredient in ARQ-252 and ARQ-255 for all topical formulations for dermatological uses in the United States, Canada, Europe and Japan. In December 2019, we exercised our exclusive option associated with this agreement, for which we made a $1.5 million cash payment, and also contemporaneously amended the agreement to expand the territory to additionally include Canada.</w:t>
      </w:r>
    </w:p>
    <w:p>
      <w:pPr>
        <w:spacing w:after="0" w:line="205"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Since our inception in 2016, we have invested a significant portion of our efforts and financial resources in clinical development activities. We have not generated any revenue from product sales and, prior to our IPO and follow-on financing completed in January and October 2020, respectively, have funded our operations primarily with $ 162.5 million in net cash proceeds from private placements of our convertible preferred stock. On February 4, 2020, we closed our IPO of 10,781,250 shares of common stock at an offering price of $17.00 per share, which included the exercise in full by the underwriters of their option to purchase up to 1,406,250 additional shares of common stock. Our net proceeds, after deducting underwriting discounts, commissions and offering related transaction costs, were $167.2 million. In addition, on October 6, 2020, we closed our public offering of 4,000,000 shares of common stock and concurrent private placement of 1,400,000 shares of common stock, both at a price of $25.00 per share, receiving an aggregate of $ 128.4 million in net proceeds after deducting the underwriting discounts, commissions and offering related transaction costs. See Note 10 to the unaudited condensed financial statements for additional information.</w:t>
      </w:r>
    </w:p>
    <w:p>
      <w:pPr>
        <w:spacing w:after="0" w:line="211"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We have incurred net losses in each year since inception, including net losses of $38.2 million and $101.6 million for the three and nine months ended September 30, 2020, respectively, and $14.5 million and $29.4 million for the three and nine months ended September 30, 2019, respectively. As of September 30, 2020, we had an accumulated deficit of $167.9 million and cash, cash equivalents and marketable securities of $189.7 million.</w:t>
      </w:r>
    </w:p>
    <w:p>
      <w:pPr>
        <w:spacing w:after="0" w:line="20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expect to continue to incur losses for the foreseeable future and expect to incur increased expenses as we advance our product candidates through clinical trials and regulatory submissions. We do not expect to generate revenue from product sales unless, and until, we obtain regulatory approval or clearance from the FDA or other foreign regulatory authorities for our product candidates. If we obtain regulatory approval or clearance for our product candidates, we expect to incur significant commercialization expenses related to product sales, marketing, manufacturing and distribution. In addition, we expect that our expenses will increase substantially as we continue preclinical studies and clinical trials for, and research and development of, our product candidates and maintain, expand and protect our intellectual property portfolio. As a result, we will need substantial additional funding to support our operating activities. Adequate funding may not be available to us on acceptable terms, or at all. We currently anticipate that we will seek to fund our operations through equity or debt financings or other sources, such as future potential collaboration agreements. Our failure to obtain sufficient funds on acceptable terms as and when needed could have a material adverse effect on our business, results of operations and financial condition. See “—Liquidity, Capital Resources and Requirements” below and Note 1 to the unaudited condensed financial statements for additional information. Based on our current planned operations, we expect that our current cash, cash equivalents, and marketable securities, along with the net proceeds received in October 2020 related to our follow-on financing, will be sufficient to fund our operations into 2022.</w:t>
      </w:r>
    </w:p>
    <w:p>
      <w:pPr>
        <w:spacing w:after="0" w:line="210" w:lineRule="exact"/>
        <w:rPr>
          <w:sz w:val="20"/>
          <w:szCs w:val="20"/>
          <w:color w:val="auto"/>
        </w:rPr>
      </w:pPr>
    </w:p>
    <w:p>
      <w:pPr>
        <w:ind w:right="320" w:firstLine="648"/>
        <w:spacing w:after="0" w:line="253" w:lineRule="auto"/>
        <w:rPr>
          <w:sz w:val="20"/>
          <w:szCs w:val="20"/>
          <w:color w:val="auto"/>
        </w:rPr>
      </w:pPr>
      <w:r>
        <w:rPr>
          <w:rFonts w:ascii="Arial" w:cs="Arial" w:eastAsia="Arial" w:hAnsi="Arial"/>
          <w:sz w:val="18"/>
          <w:szCs w:val="18"/>
          <w:color w:val="auto"/>
        </w:rPr>
        <w:t>We rely on third parties in the conduct of our preclinical studies and clinical trials and for manufacturing and supply of our product candidates. We have no internal manufacturing capabilities, and we will continue to rely on third parties, many of whom are single-source suppliers, for our preclinical and clinical trial materials, as well as the commercial supply of our products. In addition, we do not yet have a sales organization or commercial infrastructure. Accordingly, we expect to incur significant expenses to develop a sales organization or commercial infrastructure in advance of generating any product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In March 2020, the World Health Organization declared a pandemic related to the COVID-19 outbreak. COVID-19 has placed strains on the providers of healthcare services, including the sites where we conduct our clinical trials. These strains have resulted in some clinical sites slowing or halting enrollment in clinical trials and restricting the on-site monitoring of clinical trials. We follow FDA guidance on clinical trial conduct during the COVID-19 pandemic, including the remote monitoring of clinical data. We are monitoring the impact COVID-19 may have on the clinical development of our product candidates, including potential delays or modifications to ongoing and planned trials. Thus far, we have seen limited impact on our clinical trials including some disruptions in screening, enrollment and monitoring, however at this time, we do not expect delays to previously disclosed clinical timelines, including those for roflumilast cream, roflumilast foam and ARQ-252. We cannot, at this time, predict the specific extent, duration, or full impact that the COVID-19 outbreak will have on our ongoing and planned clinical trials and other business operations.</w:t>
      </w:r>
    </w:p>
    <w:p>
      <w:pPr>
        <w:spacing w:after="0" w:line="20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There have been no disruptions in our supply chain of drug manufacturers necessary to conduct our clinical trials and, given our drug inventories, we believe that we will be able to supply the drug needs of our ongoing clinical studies.</w:t>
      </w:r>
    </w:p>
    <w:p>
      <w:pPr>
        <w:spacing w:after="0" w:line="197"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In alignment with public health guidance designed to slow the spread of COVID-19, we implemented a remote work plan for all employees as of mid-March 2020. We may need to undertake additional actions that could impact our operations as required by applicable laws or regulations, or which we determine to be in the best interests of our employees.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3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July 2018, we entered into the AstraZeneca License Agreement with AstraZeneca, granting us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we have sole responsibility for development, regulatory, and commercialization activities for the AZ-Licensed Products in the Dermatology Field, at our expense, and we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20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paid AstraZeneca an upfront non-refundable cash payment of $1.0 million and issued 484,388 shares of our Series B Preferred stock, valued at $3.0 million on the date of the AstraZeneca License Agreement. We subsequently paid AstraZeneca the first milestone cash payment of $2.0 million upon the completion of a Phase 2b study of roflumilast cream in plaque psoriasis in August 2019 for the achievement of positive Phase 2 data for an AZ-Licensed Product. We have agreed to make additional cash payments to AstraZeneca of up to an aggregate of $12.5 million upon the achievement of specific regulatory approval milestones with respect to the AZ-Licensed Products and payments up to an additional aggregate amount of $15.0 million upon the achievement of certain aggregate worldwide net sales milestones. With respect to any AZ-Licensed Products we commercialize under the AstraZeneca License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 See Note 5 to the unaudited condensed financial statements for additional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3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January 2018, we entered into the Hengrui License Agreement, with Hengrui, whereby Hengrui granted us an exclusive option to obtain certain exclusive rights to research, develop and commercialize products containing the compound designated by Hengrui as SHR0302, a JAK 1 inhibitor, in topical formulations for the treatment of skin diseases, disorders, and conditions in the United States, Canada, Japan, and the European Union (including for clarity the United Kingdom). We made a $0.4 million upfront non-refundable cash payment to Hengrui upon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execution of the Hengrui Option and License Agreement. In December 2019, we exercised our exclusive option under the agreement, for which we made a $ 1.5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aggregate of $200.0 million in sales-based milestones based on achieving certain aggregate annual net sales volumes with respect to a licensed product. With respect to any products we commercialize under the Hengrui License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 See Note 5 to the unaudited condensed financial statements for additional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Hawkeye Collaboration Agreement</w:t>
      </w:r>
    </w:p>
    <w:p>
      <w:pPr>
        <w:spacing w:after="0" w:line="139"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In June 2019, we entered into the Hawkeye Agreement with Hawkeye, a related party with common ownership, to collaborate on the research and development of one or more new applications of roflumilast. The Hawkeye Agreement grants Hawkeye an exclusive license to certain intellectual property developed under the agreement as it relates to the applications.</w:t>
      </w:r>
    </w:p>
    <w:p>
      <w:pPr>
        <w:spacing w:after="0" w:line="202"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Contemporaneously with the execution of the Hawkeye Agreement, we entered into a stock purchase agreement, purchasing 995,000 shares of Hawkeye’s common stock at $0.0001 per share, representing 19.9% of the outstanding common stock of Hawkeye. See Note 5 to the unaudited condensed financial statements for additional information.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Since our inception, we have focused significant resources on our research and development activities, including conducting preclinical studies and clinical trials, manufacturing development efforts and activities related to regulatory filings for our product candidates. Research and development costs are expensed as incurred. These costs include direct program expenses, which are payments made to third parties that specifically relate to our research and development, such as payments to clinical research organizations, clinical investigators, manufacturing of clinical material, preclinical testing and consultants. In addition, employee costs, including salaries, payroll taxes, benefits, stock-based compensation and travel, for employees contributing to research and development activities are classified as research and development costs. We allocate direct external costs to our product candidates; internal costs are not allocated to specific product candidates.</w:t>
      </w:r>
    </w:p>
    <w:p>
      <w:pPr>
        <w:spacing w:after="0" w:line="20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expect to continue to incur substantial research and development expenses in the future as we develop our product candidates. In particular, we expect to incur substantial research and development expenses for the Phase 3 trials (DERMIS-1, DERMIS-2, and DERMIS-OLE) of roflumilast cream for plaque psoriasis, the preclinical studies and clinical trials for the continued development of roflumilast cream for atopic dermatitis, roflumilast foam for seborrheic dermatitis and scalp psoriasis, ARQ-252 for hand eczema and vitiligo, and ARQ-255 for alopecia areata.</w:t>
      </w:r>
    </w:p>
    <w:p>
      <w:pPr>
        <w:spacing w:after="0" w:line="20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entered, and may continue to enter, into license agreements to access and utilize certain molecules for the treatment of dermatological diseases and disorders. We evaluate if the license agreement is an acquisition of an asset or a business. To date, none of our license agreements have been considered to be an acquisition of a business. For asset acquisitions, the upfront payments to acquire such licenses, as well as any future milestone payments made before product approval, are immediately recognized as research and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development expense when due, provided there is no alternative future use of the rights in other research and development projects.</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required to complete the remaining development of roflumilast cream, roflumilast foam, ARQ-252 and ARQ-255 or any future product candidates. This is due to the numerous risks and uncertainties associated with the development of product candidates. See “Risk Factors” for a discussion of the risks and uncertainties associated with the development of our product candidates.</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general and administrative expenses consist primarily of salaries and related costs, including payroll taxes, benefits, stock-based compensation and travel. Other general and administrative expenses include legal costs of pursuing patent protection of our intellectual property, insurance, and professional services fees for auditing, tax and general legal services. We expect our general and administrative expenses to continue to increase in the future as we expand our operating activities and prepare for potential commercialization of our product candidates, increase our headcount and support our operations as a public company, including increased expenses related to legal, accounting, insurance, regulatory and tax-related services associated with maintaining compliance with exchange listing and Securities and Exchange Commission (SEC) requirements, directors and officers liability insurance premiums and investor relations activities.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primarily consists of interest income earned on our cash, cash equivalents,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5"/>
          </w:tcPr>
          <w:p>
            <w:pPr>
              <w:jc w:val="center"/>
              <w:ind w:left="737"/>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5"/>
          </w:tcPr>
          <w:p>
            <w:pPr>
              <w:jc w:val="center"/>
              <w:ind w:left="73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32,743</w:t>
            </w:r>
          </w:p>
        </w:tc>
        <w:tc>
          <w:tcPr>
            <w:tcW w:w="40" w:type="dxa"/>
            <w:vAlign w:val="bottom"/>
          </w:tcPr>
          <w:p>
            <w:pPr>
              <w:spacing w:after="0"/>
              <w:rPr>
                <w:sz w:val="23"/>
                <w:szCs w:val="23"/>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12,348</w:t>
            </w:r>
          </w:p>
        </w:tc>
        <w:tc>
          <w:tcPr>
            <w:tcW w:w="20" w:type="dxa"/>
            <w:vAlign w:val="bottom"/>
          </w:tcPr>
          <w:p>
            <w:pPr>
              <w:spacing w:after="0"/>
              <w:rPr>
                <w:sz w:val="23"/>
                <w:szCs w:val="23"/>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20,395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38,303</w:t>
            </w:r>
          </w:p>
        </w:tc>
        <w:tc>
          <w:tcPr>
            <w:tcW w:w="40" w:type="dxa"/>
            <w:vAlign w:val="bottom"/>
          </w:tcPr>
          <w:p>
            <w:pPr>
              <w:spacing w:after="0"/>
              <w:rPr>
                <w:sz w:val="21"/>
                <w:szCs w:val="21"/>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14,648</w:t>
            </w:r>
          </w:p>
        </w:tc>
        <w:tc>
          <w:tcPr>
            <w:tcW w:w="20" w:type="dxa"/>
            <w:vAlign w:val="bottom"/>
          </w:tcPr>
          <w:p>
            <w:pPr>
              <w:spacing w:after="0"/>
              <w:rPr>
                <w:sz w:val="21"/>
                <w:szCs w:val="21"/>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23,655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(38,303)</w:t>
            </w: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(14,648)</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(23,655)</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(38,204)</w:t>
            </w:r>
          </w:p>
        </w:tc>
        <w:tc>
          <w:tcPr>
            <w:tcW w:w="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(14,480)</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(23,724)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3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5"/>
          </w:tcPr>
          <w:p>
            <w:pPr>
              <w:ind w:left="78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5"/>
          </w:tcPr>
          <w:p>
            <w:pPr>
              <w:jc w:val="center"/>
              <w:ind w:left="657"/>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5"/>
          </w:tcPr>
          <w:p>
            <w:pPr>
              <w:jc w:val="center"/>
              <w:ind w:left="65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Preclinical and clinical</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24,500</w:t>
            </w:r>
          </w:p>
        </w:tc>
        <w:tc>
          <w:tcPr>
            <w:tcW w:w="40" w:type="dxa"/>
            <w:vAlign w:val="bottom"/>
          </w:tcPr>
          <w:p>
            <w:pPr>
              <w:spacing w:after="0"/>
              <w:rPr>
                <w:sz w:val="19"/>
                <w:szCs w:val="19"/>
                <w:color w:val="auto"/>
              </w:rPr>
            </w:pPr>
          </w:p>
        </w:tc>
        <w:tc>
          <w:tcPr>
            <w:tcW w:w="6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Manufacturing</w:t>
            </w: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Product milestones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Costs: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340"/>
              <w:spacing w:after="0"/>
              <w:rPr>
                <w:sz w:val="20"/>
                <w:szCs w:val="20"/>
                <w:color w:val="auto"/>
              </w:rPr>
            </w:pPr>
            <w:r>
              <w:rPr>
                <w:rFonts w:ascii="Arial" w:cs="Arial" w:eastAsia="Arial" w:hAnsi="Arial"/>
                <w:sz w:val="18"/>
                <w:szCs w:val="18"/>
                <w:color w:val="auto"/>
              </w:rPr>
              <w:t>Compensation and personnel-related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32,743</w:t>
            </w:r>
          </w:p>
        </w:tc>
        <w:tc>
          <w:tcPr>
            <w:tcW w:w="40" w:type="dxa"/>
            <w:vAlign w:val="bottom"/>
          </w:tcPr>
          <w:p>
            <w:pPr>
              <w:spacing w:after="0"/>
              <w:rPr>
                <w:sz w:val="19"/>
                <w:szCs w:val="19"/>
                <w:color w:val="auto"/>
              </w:rPr>
            </w:pPr>
          </w:p>
        </w:tc>
        <w:tc>
          <w:tcPr>
            <w:tcW w:w="6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12,348</w:t>
            </w:r>
          </w:p>
        </w:tc>
        <w:tc>
          <w:tcPr>
            <w:tcW w:w="20" w:type="dxa"/>
            <w:vAlign w:val="bottom"/>
          </w:tcPr>
          <w:p>
            <w:pPr>
              <w:spacing w:after="0"/>
              <w:rPr>
                <w:sz w:val="19"/>
                <w:szCs w:val="19"/>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Research and development expenses increased by $20.4 million, or 165%, for the three months ended September 30, 2020 compared to the three months ended September 30, 2019. The increase was due to an increase in clinical trial costs of $16.5 million, an increase in manufacturing costs of $2.9 million, an increase in compensation and personnel-related expenses of $2.3 million, and an increase of $0.7 million in other costs, including regulatory, research and clinical consulting costs, partially offset by a decrease in licensing milestones of $2.0 million. The increases in clinical trial and manufacturing costs relate primarily to new and ongoing studies, including three Phase 3 studies of roflumilast cream for plaque psoriasis. Additionally, in the current quarter, there were ongoing costs related to the Phase 2b study of roflumilast foam for scalp psoriasis, a long-term safety study in roflumilast foam for seborrheic dermatitis, and a Phase 1/2b study of ARQ-252 in hand eczema. The increase in compensation and personnel-related expenses, which includes stock compensation, was primarily due to an increase in headcount. Licensing milestones consisted of a $2.0 million cash milestone payment made to AstraZeneca in August 2019.</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General and administrative expenses increased by $3.3 million, or 142%, for the three months ended September 30, 2020 compared to the three months ended September 30, 2019. The increase was primarily due to an increase in compensation and personnel-related expenses of $1.9 million, an increase in insurance costs of $0.7</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million, and an increase in professional services of $0.5 million. The increase in compensation and personnel-related expenses, which includes stock compensation, was primarily due to an increase in headcount. The increases in professional services and insurance costs were mainly due to the costs associated with being a public company.</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9"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Other income, net decreased by $69,000, or 41%, for the three months ended September 30, 2020 compared to the three months ended September 30, 2019. The decrease was due to a lower yield on our investment portfolio, partially offset by higher balances.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4"/>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4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5"/>
          </w:tcPr>
          <w:p>
            <w:pPr>
              <w:jc w:val="center"/>
              <w:ind w:left="677"/>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gridSpan w:val="5"/>
          </w:tcPr>
          <w:p>
            <w:pPr>
              <w:jc w:val="center"/>
              <w:ind w:left="65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87,934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25,765</w:t>
            </w:r>
          </w:p>
        </w:tc>
        <w:tc>
          <w:tcPr>
            <w:tcW w:w="100" w:type="dxa"/>
            <w:vAlign w:val="bottom"/>
          </w:tcPr>
          <w:p>
            <w:pPr>
              <w:spacing w:after="0"/>
              <w:rPr>
                <w:sz w:val="23"/>
                <w:szCs w:val="23"/>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62,169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102,581</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72,443</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(72,443)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(72,201)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4"/>
          </w:tcPr>
          <w:p>
            <w:pPr>
              <w:ind w:left="8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5"/>
          </w:tcPr>
          <w:p>
            <w:pPr>
              <w:jc w:val="center"/>
              <w:ind w:left="677"/>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gridSpan w:val="5"/>
          </w:tcPr>
          <w:p>
            <w:pPr>
              <w:jc w:val="center"/>
              <w:ind w:left="69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360"/>
              <w:spacing w:after="0"/>
              <w:rPr>
                <w:sz w:val="20"/>
                <w:szCs w:val="20"/>
                <w:color w:val="auto"/>
              </w:rPr>
            </w:pPr>
            <w:r>
              <w:rPr>
                <w:rFonts w:ascii="Arial" w:cs="Arial" w:eastAsia="Arial" w:hAnsi="Arial"/>
                <w:sz w:val="18"/>
                <w:szCs w:val="18"/>
                <w:color w:val="auto"/>
              </w:rPr>
              <w:t>Preclinical and clinical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65,927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16,737</w:t>
            </w:r>
          </w:p>
        </w:tc>
        <w:tc>
          <w:tcPr>
            <w:tcW w:w="10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49,190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Manufacturing</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0" w:type="dxa"/>
            <w:vAlign w:val="bottom"/>
          </w:tcPr>
          <w:p>
            <w:pPr>
              <w:spacing w:after="0"/>
              <w:rPr>
                <w:sz w:val="1"/>
                <w:szCs w:val="1"/>
                <w:color w:val="auto"/>
              </w:rPr>
            </w:pPr>
          </w:p>
        </w:tc>
      </w:tr>
      <w:tr>
        <w:trPr>
          <w:trHeight w:val="229"/>
        </w:trPr>
        <w:tc>
          <w:tcPr>
            <w:tcW w:w="4440" w:type="dxa"/>
            <w:vAlign w:val="bottom"/>
          </w:tcPr>
          <w:p>
            <w:pPr>
              <w:ind w:left="340"/>
              <w:spacing w:after="0"/>
              <w:rPr>
                <w:sz w:val="20"/>
                <w:szCs w:val="20"/>
                <w:color w:val="auto"/>
              </w:rPr>
            </w:pPr>
            <w:r>
              <w:rPr>
                <w:rFonts w:ascii="Arial" w:cs="Arial" w:eastAsia="Arial" w:hAnsi="Arial"/>
                <w:sz w:val="18"/>
                <w:szCs w:val="18"/>
                <w:color w:val="auto"/>
              </w:rPr>
              <w:t>Product milestones</w:t>
            </w:r>
          </w:p>
        </w:tc>
        <w:tc>
          <w:tcPr>
            <w:tcW w:w="32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Costs: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40"/>
              <w:spacing w:after="0"/>
              <w:rPr>
                <w:sz w:val="20"/>
                <w:szCs w:val="20"/>
                <w:color w:val="auto"/>
              </w:rPr>
            </w:pPr>
            <w:r>
              <w:rPr>
                <w:rFonts w:ascii="Arial" w:cs="Arial" w:eastAsia="Arial" w:hAnsi="Arial"/>
                <w:sz w:val="18"/>
                <w:szCs w:val="18"/>
                <w:color w:val="auto"/>
              </w:rPr>
              <w:t>Compensation and personnel-related</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87,934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25,765</w:t>
            </w:r>
          </w:p>
        </w:tc>
        <w:tc>
          <w:tcPr>
            <w:tcW w:w="100" w:type="dxa"/>
            <w:vAlign w:val="bottom"/>
          </w:tcPr>
          <w:p>
            <w:pPr>
              <w:spacing w:after="0"/>
              <w:rPr>
                <w:sz w:val="19"/>
                <w:szCs w:val="19"/>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Research and development expenses increased by $62.2 million, or 241%, for the nine months ended September 30, 2020 compared to the nine months ended September 30, 2019. The increase was due to an increase in clinical trial costs of $49.2 million, an increase in manufacturing costs of $6.8 million, an increase in compensation and personnel-related expenses of $5.8 million, and an increase of $2.3 million in other costs, including regulatory, research and clinical consulting costs, partially offset by a decrease in licensing milestones of $2.0 million. The increases in clinical trial and manufacturing costs relate primarily to new and ongoing studies of roflumilast cream, including three Phase 3 studies of roflumilast cream for plaque psoriasis and a Phase 1 pediatric study of roflumilast cream for atopic dermatitis. Additionally, in the current year, there were costs related to the initiation of the Phase 2b study of roflumilast foam for scalp psoriasis, a long-term safety study in roflumilast foam for seborrheic dermatitis, a Phase 2 Proof of Concept clinical trial of roflumilast foam for seborrheic dermatitis, and</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Phase 1/2b study of ARQ-252 in hand eczema. The increase in compensation and personnel-related expenses, which includes stock compensation, was primarily due to an increase in headcount. Licensing milestones consisted of a $2.0 million cash milestone payment made to AstraZeneca in August 2019.</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5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General and administrative expenses increased by $10.3 million, or 235%, for the nine months ended September 30, 2020 compared to the nine months ended September 30, 2019. The increase was primarily due to an increase in compensation and personnel-related expenses of $ 5.2 million, an increase in professional services of $2.6 million, an increase in insurance costs of $1.9 million, and an increase in office and facilities expenses of $0.5 million. The increase in compensation and personnel-related expenses, which includes stock compensation, was primarily due to an increase in headcount. The increases in professional services, insurance costs, and office and facilities expenses were mainly due to overall Company growth and expansion and the costs associated with being a public company.</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9"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Other income, net increased by $0.2 million, or 34%, for the nine months ended September 30, 2020 compared to the nine months ended September 30, 2019. The increase was primarily due to higher balances in our investment portfolio, partially offset by a lower yield.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Capital Resources and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9"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have incurred operating losses since our inception and have an accumulated deficit as a result of ongoing efforts to develop our product candidates, including conducting preclinical and clinical trials and providing general and administrative support for these operations. As of September 30, 2020, we had cash, cash equivalents and marketable securities of $189.7 million, and an accumulated deficit of $167.9 million. In addition, on October 6, 2020, we received $128.4 million in net proceeds from our follow-on financing. We anticipate that operating losses and net cash used in operating activities will increase over the next several years as we further develop roflumilast cream, roflumilast foam, ARQ-252 and ARQ-255, move into later and more costly stages of product development, develop new product candidates, hire personnel and prepare for regulatory submissions and the commercialization of our product candidates.</w:t>
      </w:r>
    </w:p>
    <w:p>
      <w:pPr>
        <w:spacing w:after="0" w:line="20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have historically financed our operations primarily through private placements of preferred stock, as well as our IPO completed in January 2020 and our follow-on financing in October 2020, and will continue to be dependent upon equity, debt financing, collaborations or other forms of capital at least until we are able to generate positive cash flows from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flows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spacing w:after="0"/>
              <w:rPr>
                <w:sz w:val="16"/>
                <w:szCs w:val="16"/>
                <w:color w:val="auto"/>
              </w:rPr>
            </w:pPr>
          </w:p>
        </w:tc>
        <w:tc>
          <w:tcPr>
            <w:tcW w:w="3320" w:type="dxa"/>
            <w:vAlign w:val="bottom"/>
            <w:tcBorders>
              <w:bottom w:val="single" w:sz="8" w:color="auto"/>
            </w:tcBorders>
            <w:gridSpan w:val="4"/>
          </w:tcPr>
          <w:p>
            <w:pPr>
              <w:jc w:val="center"/>
              <w:ind w:left="679"/>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182"/>
        </w:trPr>
        <w:tc>
          <w:tcPr>
            <w:tcW w:w="716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5"/>
                <w:szCs w:val="15"/>
                <w:color w:val="auto"/>
              </w:rPr>
            </w:pPr>
          </w:p>
        </w:tc>
      </w:tr>
      <w:tr>
        <w:trPr>
          <w:trHeight w:val="238"/>
        </w:trPr>
        <w:tc>
          <w:tcPr>
            <w:tcW w:w="7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00" w:type="dxa"/>
            <w:vAlign w:val="bottom"/>
            <w:gridSpan w:val="3"/>
          </w:tcPr>
          <w:p>
            <w:pPr>
              <w:jc w:val="center"/>
              <w:ind w:right="356"/>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20"/>
                <w:szCs w:val="20"/>
                <w:color w:val="auto"/>
              </w:rPr>
            </w:pPr>
          </w:p>
        </w:tc>
      </w:tr>
      <w:tr>
        <w:trPr>
          <w:trHeight w:val="222"/>
        </w:trPr>
        <w:tc>
          <w:tcPr>
            <w:tcW w:w="7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00" w:type="dxa"/>
            <w:vAlign w:val="bottom"/>
            <w:gridSpan w:val="3"/>
          </w:tcPr>
          <w:p>
            <w:pPr>
              <w:jc w:val="center"/>
              <w:ind w:right="376"/>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9"/>
                <w:szCs w:val="19"/>
                <w:color w:val="auto"/>
              </w:rPr>
            </w:pPr>
          </w:p>
        </w:tc>
      </w:tr>
      <w:tr>
        <w:trPr>
          <w:trHeight w:val="235"/>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(80,462)</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(26,039)</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(105,932)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9,674</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168,765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(17,629)</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(16,217)</w:t>
            </w:r>
          </w:p>
        </w:tc>
      </w:tr>
      <w:tr>
        <w:trPr>
          <w:trHeight w:val="20"/>
        </w:trPr>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During the nine months ended September 30, 2020, net cash used in operating activities was $80.5 million, which consisted of a net loss of $101.6 million, offset by a change in net operating assets and liabilities of $15.9 million and net non-cash charges of $5.3 million. The change in net operating assets and liabilities was primarily due to an increase of $16.3 million in accounts payable and accrued liabilities due to our operating expense growth and timing of payments. The net non-cash charges were primarily related to stock-based compensation expense of $5.3 million.</w:t>
      </w:r>
    </w:p>
    <w:p>
      <w:pPr>
        <w:spacing w:after="0" w:line="20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During the nine months ended September 30, 2019, net cash used in operating activities was $26.0 million and consisted primarily of a net loss of $29.4 million, offset by a change in net operating assets and liabilities of $3.2 million. The change in net operating assets and liabilities was primarily due to an increase in accounts payable and accrued liabilities of $4.7 million due to our operating expense growth and timing of payments, partially offset by an increase of $1.5 million in prepaid expenses and other assets.</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39" w:lineRule="exact"/>
        <w:rPr>
          <w:sz w:val="20"/>
          <w:szCs w:val="20"/>
          <w:color w:val="auto"/>
        </w:rPr>
      </w:pPr>
    </w:p>
    <w:p>
      <w:pPr>
        <w:jc w:val="both"/>
        <w:ind w:right="220" w:firstLine="648"/>
        <w:spacing w:after="0" w:line="256" w:lineRule="auto"/>
        <w:rPr>
          <w:sz w:val="20"/>
          <w:szCs w:val="20"/>
          <w:color w:val="auto"/>
        </w:rPr>
      </w:pPr>
      <w:r>
        <w:rPr>
          <w:rFonts w:ascii="Arial" w:cs="Arial" w:eastAsia="Arial" w:hAnsi="Arial"/>
          <w:sz w:val="18"/>
          <w:szCs w:val="18"/>
          <w:color w:val="auto"/>
        </w:rPr>
        <w:t>During the nine months ended September 30, 2020, net cash used in investing activities was $105.9 million, which was comprised primarily of purchases of marketable securities of $179.4 million, partially offset by proceeds from the maturities of marketable securities of $73.6 million.</w:t>
      </w:r>
    </w:p>
    <w:p>
      <w:pPr>
        <w:spacing w:after="0" w:line="202"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During the nine months ended September 30, 2019, net cash provided by investing activities was $9.7 million, which was comprised primarily of proceeds from maturities of marketable securities of $32.8 million, partially offset by purchases of marketable securities of $22.9 million and purchases of fixed assets of $0.2 million.</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39" w:lineRule="exact"/>
        <w:rPr>
          <w:sz w:val="20"/>
          <w:szCs w:val="20"/>
          <w:color w:val="auto"/>
        </w:rPr>
      </w:pPr>
    </w:p>
    <w:p>
      <w:pPr>
        <w:ind w:right="740" w:firstLine="648"/>
        <w:spacing w:after="0" w:line="261" w:lineRule="auto"/>
        <w:rPr>
          <w:sz w:val="20"/>
          <w:szCs w:val="20"/>
          <w:color w:val="auto"/>
        </w:rPr>
      </w:pPr>
      <w:r>
        <w:rPr>
          <w:rFonts w:ascii="Arial" w:cs="Arial" w:eastAsia="Arial" w:hAnsi="Arial"/>
          <w:sz w:val="18"/>
          <w:szCs w:val="18"/>
          <w:color w:val="auto"/>
        </w:rPr>
        <w:t>During the nine months ended September 30, 2020, net cash provided by financing activities was $168.8 million, which was comprised primarily of the net cash proceeds received from the IPO of $168.6 million.</w:t>
      </w:r>
    </w:p>
    <w:p>
      <w:pPr>
        <w:spacing w:after="0" w:line="198"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During the nine months ended September 30, 2019, net cash provided by financing activities was $0.1 million, which was comprised of the cash proceeds received from the issuance of common stock upon exercise of stock options, partially offset by the payment of deferred financing costs.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historically incurred significant losses and negative cash flows from operations since our inception and had an accumulated deficit of $167.9 million as of September 30, 2020. We had cash, cash equivalents and marketable securities of $189.7 million as of September 30, 2020. In addition, on October 6, 2020, we received $128.4 million in net proceeds from our follow-on financing. Based on our current planned operations, we expect that our current cash, cash equivalents and marketable securities, along with the proceeds from our follow-on financing in October 2020, will be sufficient to fund our operations into 2022. Our ability to continue as a going concern is dependent upon our ability to successfully secure sources of financing and ultimately achieve profitable operations.</w:t>
      </w:r>
    </w:p>
    <w:p>
      <w:pPr>
        <w:spacing w:after="0" w:line="20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will need to raise substantial additional capital to fund our operations through the sale of our equity securities, incurring debt, entering into licensing or collaboration agreements with partners, grants or other sources of financing. There can be no assurance that sufficient funds will be available to us at all or on attractive terms when needed from these sources. If we are unable to obtain additional funding from these or other sources when needed it may be necessary to significantly reduce our current rate of spending through reductions in staff and delaying, scaling back, or stopping certain research and development programs. Insufficient liquidity may also require us to relinquish rights to product candidates at an earlier stage of development or on less favorable terms than we would otherwise choose.</w:t>
      </w:r>
    </w:p>
    <w:p>
      <w:pPr>
        <w:spacing w:after="0" w:line="20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right="120" w:hanging="164"/>
        <w:spacing w:after="0" w:line="252"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preclinical studies and clinical trials, in particular our currently ongoing Phase 3 studies (DERMIS-1, DERMIS-2, and DERMIS-OLE) of roflumilast cream in plaque psoriasis, our planned clinical studies of roflumilast cream in atopic dermatitis, our ongoing programs to study roflumilast foam in patients with seborrheic dermatitis and scalp psoriasis, our currently ongoing Phase 1/2b study of ARQ-252 in hand eczema, our planned Phase 2a study of ARQ-252 in vitiligo and our formulation and preclinical efforts for ARQ-255 for alopecia areata.</w:t>
      </w:r>
    </w:p>
    <w:p>
      <w:pPr>
        <w:spacing w:after="0" w:line="113" w:lineRule="exact"/>
        <w:rPr>
          <w:rFonts w:ascii="Arial" w:cs="Arial" w:eastAsia="Arial" w:hAnsi="Arial"/>
          <w:sz w:val="18"/>
          <w:szCs w:val="18"/>
          <w:color w:val="auto"/>
        </w:rPr>
      </w:pPr>
    </w:p>
    <w:p>
      <w:pPr>
        <w:ind w:left="820" w:right="120" w:hanging="164"/>
        <w:spacing w:after="0" w:line="197" w:lineRule="auto"/>
        <w:tabs>
          <w:tab w:leader="none" w:pos="815" w:val="left"/>
        </w:tabs>
        <w:numPr>
          <w:ilvl w:val="0"/>
          <w:numId w:val="11"/>
        </w:numPr>
        <w:rPr>
          <w:rFonts w:ascii="Arial" w:cs="Arial" w:eastAsia="Arial" w:hAnsi="Arial"/>
          <w:sz w:val="22"/>
          <w:szCs w:val="22"/>
          <w:color w:val="auto"/>
        </w:rPr>
      </w:pPr>
      <w:r>
        <w:rPr>
          <w:rFonts w:ascii="Arial" w:cs="Arial" w:eastAsia="Arial" w:hAnsi="Arial"/>
          <w:sz w:val="18"/>
          <w:szCs w:val="18"/>
          <w:color w:val="auto"/>
        </w:rPr>
        <w:t>suspensions or delays in the enrollment or changes to the number of patients we decide to enroll in our ongoing clinical trials as a result of the COVID-19 pandemic;</w:t>
      </w:r>
    </w:p>
    <w:p>
      <w:pPr>
        <w:spacing w:after="0" w:line="81" w:lineRule="exact"/>
        <w:rPr>
          <w:rFonts w:ascii="Arial" w:cs="Arial" w:eastAsia="Arial" w:hAnsi="Arial"/>
          <w:sz w:val="22"/>
          <w:szCs w:val="22"/>
          <w:color w:val="auto"/>
        </w:rPr>
      </w:pPr>
    </w:p>
    <w:p>
      <w:pPr>
        <w:ind w:left="820" w:right="780" w:hanging="164"/>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lead product candidate or our other product candidates;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7" w:lineRule="exact"/>
        <w:rPr>
          <w:rFonts w:ascii="Arial" w:cs="Arial" w:eastAsia="Arial" w:hAnsi="Arial"/>
          <w:sz w:val="18"/>
          <w:szCs w:val="18"/>
          <w:color w:val="auto"/>
        </w:rPr>
      </w:pPr>
    </w:p>
    <w:p>
      <w:pPr>
        <w:ind w:left="820" w:right="760" w:hanging="164"/>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manufacturing our lead product candidates or any future product candidates and any products we successfully commercialize, including costs associated with building out our supply chain;</w:t>
      </w:r>
    </w:p>
    <w:p>
      <w:pPr>
        <w:spacing w:after="0" w:line="89" w:lineRule="exact"/>
        <w:rPr>
          <w:rFonts w:ascii="Arial" w:cs="Arial" w:eastAsia="Arial" w:hAnsi="Arial"/>
          <w:sz w:val="18"/>
          <w:szCs w:val="18"/>
          <w:color w:val="auto"/>
        </w:rPr>
      </w:pPr>
    </w:p>
    <w:p>
      <w:pPr>
        <w:ind w:left="820" w:right="500" w:hanging="164"/>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commercialization activities if our lead product candidates or any future product candidates are approved for sale, including marketing, sales and distribution costs;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17" w:lineRule="exact"/>
        <w:rPr>
          <w:rFonts w:ascii="Arial" w:cs="Arial" w:eastAsia="Arial" w:hAnsi="Arial"/>
          <w:sz w:val="18"/>
          <w:szCs w:val="18"/>
          <w:color w:val="auto"/>
        </w:rPr>
      </w:pPr>
    </w:p>
    <w:p>
      <w:pPr>
        <w:ind w:left="820" w:right="240" w:hanging="164"/>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related to milestone payments to AstraZeneca or Hengrui, upon the achievement of predetermined milestones;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the outcome of this and any other future patent litigation we may be involved in; and</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significant contractual obligations as of September 30,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1-3 Years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More than 5 Years</w:t>
            </w:r>
          </w:p>
        </w:tc>
      </w:tr>
      <w:tr>
        <w:trPr>
          <w:trHeight w:val="183"/>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Total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w:t>
            </w: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April 2020, we amended our lease agreement for our facility in Westlake Village, California to relocate to a new expanded space including 22,643 square feet. The lease payments begin at the earlier of us occupying the space or 15 days from the completion of tenant improvements and terminate 91 months thereafter, with a renewal option term of 5 years. We will have a one-time option to cancel the lease after month 67.</w:t>
      </w:r>
    </w:p>
    <w:p>
      <w:pPr>
        <w:spacing w:after="0" w:line="20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lease is subject to fixed rate escalation increases with an initial base rent of $76,000 per month and includes rent free periods aggregating approximately 1 year. The amended lease agreement provides for a tenant improvement allowance up to $ 1.25 million. It also requires that we deliver a letter of credit to the landlord of $1.5 million upon occupying the space, which is allowed to be reduced throughout the lease period as rent obligations are met.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80" w:firstLine="648"/>
        <w:spacing w:after="0" w:line="254" w:lineRule="auto"/>
        <w:rPr>
          <w:sz w:val="20"/>
          <w:szCs w:val="20"/>
          <w:color w:val="auto"/>
        </w:rPr>
      </w:pPr>
      <w:r>
        <w:rPr>
          <w:rFonts w:ascii="Arial" w:cs="Arial" w:eastAsia="Arial" w:hAnsi="Arial"/>
          <w:sz w:val="18"/>
          <w:szCs w:val="18"/>
          <w:color w:val="auto"/>
        </w:rPr>
        <w:t>In the normal course of business, we enter into contracts and agreements that contain a variety of representations and warranties and provide for general indemnifications. Our exposure under these agreements is unknown because it involves claims that may be made against us in the future, but have not yet been made. To date, we have not paid any claims or been required to defend any action related to our indemnification obligations. However, we may record charges in the future as a result of these indemnification obligations.</w:t>
      </w:r>
    </w:p>
    <w:p>
      <w:pPr>
        <w:spacing w:after="0" w:line="204"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In accordance with our certificate of incorporation and bylaws, we have indemnification obligations to our officers and directors for specified events or occurrences, subject to some limits, while they are serving at our request in such capacities. There have been no claims to date, and we have director and officer insurance that may enable us to recover a portion of any amounts paid for future potential claims.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3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preparation of our condensed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Part II, Item 7. Management’s Discussion and Analysis of Financial Condition and Results of Operations, of our Annual Report on Form 10-K for the year ended December 31, 2019. There were no material changes to our critical accounting policies during the nine months ended September 30,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unaudited condensed financial statements.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Emerging Growth Company Status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are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 We early adopted ASU No. 016-01, </w:t>
      </w:r>
      <w:r>
        <w:rPr>
          <w:rFonts w:ascii="Arial" w:cs="Arial" w:eastAsia="Arial" w:hAnsi="Arial"/>
          <w:sz w:val="18"/>
          <w:szCs w:val="18"/>
          <w:i w:val="1"/>
          <w:iCs w:val="1"/>
          <w:color w:val="auto"/>
        </w:rPr>
        <w:t>Financial Instruments—Overall (Topic 825)—Recognition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ASU 2016-09,</w:t>
      </w:r>
      <w:r>
        <w:rPr>
          <w:rFonts w:ascii="Arial" w:cs="Arial" w:eastAsia="Arial" w:hAnsi="Arial"/>
          <w:sz w:val="18"/>
          <w:szCs w:val="18"/>
          <w:i w:val="1"/>
          <w:iCs w:val="1"/>
          <w:color w:val="auto"/>
        </w:rPr>
        <w:t xml:space="preserve"> Compensation—Stock Compensation (Topic 718)—Improvements to Employee Share Based Payment Accounting</w:t>
      </w:r>
      <w:r>
        <w:rPr>
          <w:rFonts w:ascii="Arial" w:cs="Arial" w:eastAsia="Arial" w:hAnsi="Arial"/>
          <w:sz w:val="18"/>
          <w:szCs w:val="18"/>
          <w:color w:val="auto"/>
        </w:rPr>
        <w:t>, ASU No. 2018-07,</w:t>
      </w:r>
      <w:r>
        <w:rPr>
          <w:rFonts w:ascii="Arial" w:cs="Arial" w:eastAsia="Arial" w:hAnsi="Arial"/>
          <w:sz w:val="18"/>
          <w:szCs w:val="18"/>
          <w:i w:val="1"/>
          <w:iCs w:val="1"/>
          <w:color w:val="auto"/>
        </w:rPr>
        <w:t xml:space="preserve"> Compensation-Stock Compensation (Topic 718): Improvements to Nonemployee Share-Based Payment Accounting</w:t>
      </w:r>
      <w:r>
        <w:rPr>
          <w:rFonts w:ascii="Arial" w:cs="Arial" w:eastAsia="Arial" w:hAnsi="Arial"/>
          <w:sz w:val="18"/>
          <w:szCs w:val="18"/>
          <w:color w:val="auto"/>
        </w:rPr>
        <w:t>,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ASU No. 2016-13,</w:t>
      </w:r>
      <w:r>
        <w:rPr>
          <w:rFonts w:ascii="Arial" w:cs="Arial" w:eastAsia="Arial" w:hAnsi="Arial"/>
          <w:sz w:val="18"/>
          <w:szCs w:val="18"/>
          <w:i w:val="1"/>
          <w:iCs w:val="1"/>
          <w:color w:val="auto"/>
        </w:rPr>
        <w:t xml:space="preserve"> Financial Instruments—Credit Losses (Topic 326): Measurement of Credit Losses on Financial Instruments, </w:t>
      </w:r>
      <w:r>
        <w:rPr>
          <w:rFonts w:ascii="Arial" w:cs="Arial" w:eastAsia="Arial" w:hAnsi="Arial"/>
          <w:sz w:val="18"/>
          <w:szCs w:val="18"/>
          <w:color w:val="auto"/>
        </w:rPr>
        <w:t>ASU No. 2018-13,</w:t>
      </w:r>
      <w:r>
        <w:rPr>
          <w:rFonts w:ascii="Arial" w:cs="Arial" w:eastAsia="Arial" w:hAnsi="Arial"/>
          <w:sz w:val="18"/>
          <w:szCs w:val="18"/>
          <w:i w:val="1"/>
          <w:iCs w:val="1"/>
          <w:color w:val="auto"/>
        </w:rPr>
        <w:t xml:space="preserve"> Fair Value Measurement (Topic 820): Disclosure Framework—Changes to the Disclosure Requirements for Fair Value Measurement, </w:t>
      </w:r>
      <w:r>
        <w:rPr>
          <w:rFonts w:ascii="Arial" w:cs="Arial" w:eastAsia="Arial" w:hAnsi="Arial"/>
          <w:sz w:val="18"/>
          <w:szCs w:val="18"/>
          <w:color w:val="auto"/>
        </w:rPr>
        <w:t>and ASU No. 2019-12,</w:t>
      </w:r>
      <w:r>
        <w:rPr>
          <w:rFonts w:ascii="Arial" w:cs="Arial" w:eastAsia="Arial" w:hAnsi="Arial"/>
          <w:sz w:val="18"/>
          <w:szCs w:val="18"/>
          <w:i w:val="1"/>
          <w:iCs w:val="1"/>
          <w:color w:val="auto"/>
        </w:rPr>
        <w:t xml:space="preserve"> Income Taxes (Topic 740), </w:t>
      </w:r>
      <w:r>
        <w:rPr>
          <w:rFonts w:ascii="Arial" w:cs="Arial" w:eastAsia="Arial" w:hAnsi="Arial"/>
          <w:sz w:val="18"/>
          <w:szCs w:val="18"/>
          <w:color w:val="auto"/>
        </w:rPr>
        <w:t>as the JOBS Act does not preclude</w:t>
      </w:r>
      <w:r>
        <w:rPr>
          <w:rFonts w:ascii="Arial" w:cs="Arial" w:eastAsia="Arial" w:hAnsi="Arial"/>
          <w:sz w:val="18"/>
          <w:szCs w:val="18"/>
          <w:i w:val="1"/>
          <w:iCs w:val="1"/>
          <w:color w:val="auto"/>
        </w:rPr>
        <w:t xml:space="preserve"> </w:t>
      </w:r>
      <w:r>
        <w:rPr>
          <w:rFonts w:ascii="Arial" w:cs="Arial" w:eastAsia="Arial" w:hAnsi="Arial"/>
          <w:sz w:val="18"/>
          <w:szCs w:val="18"/>
          <w:color w:val="auto"/>
        </w:rPr>
        <w:t>an emerging growth company from early adopting a new or revised accounting standard earlier than the time such standard applies to private companies. We expect to use the extended transition period for any other new or revised accounting standards during the period in which we remain an emerging growth company.</w:t>
      </w:r>
    </w:p>
    <w:p>
      <w:pPr>
        <w:spacing w:after="0" w:line="20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completion of our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September 30, 2020, we had cash and cash equivalents of $45.7 million and marketable securities of $144.0 million, which consist of bank deposits, money market funds and commercial paper. In addition, on October 6, 2020, we received $128.4 million in net proceeds from our follow-on financing. The primary objective of our investment activities is to preserve capital to fund our operations. We also seek to maximize income from our investments without assuming significant risk. Because our investments are primarily short-term in duration, we believe that our exposure to interest rate risk is not significant, and a 1% movement in market interest rates would not have a significant impact on the total value of our portfolio. We had no debt outstanding as of September 30,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6" w:lineRule="exact"/>
        <w:rPr>
          <w:sz w:val="20"/>
          <w:szCs w:val="20"/>
          <w:color w:val="auto"/>
        </w:rPr>
      </w:pPr>
    </w:p>
    <w:p>
      <w:pPr>
        <w:ind w:right="300" w:firstLine="441"/>
        <w:spacing w:after="0" w:line="238"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CEO and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spacing w:after="0" w:line="94"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Management, with the participation of our CEO and CFO, evaluated the effectiveness of our disclosure controls and procedures as of September 30, 2020. The term “disclosure controls and procedures,” as defined in Rule 13a-15(e) of the Securities Exchange Act of 1934,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provide reasonable assurance that information required to be disclosed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desired control objectives, and management necessarily is required to apply its judgment in evaluating the cost-benefit relationship of possible controls and procedures. Based on the evaluation of our disclosure controls and procedures as of September 30, 2020, our CEO and CFO have concluded that, as of September 30, 2020, our disclosure controls and procedures were effective at the reasonable assurance level.</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6" w:lineRule="exact"/>
        <w:rPr>
          <w:sz w:val="20"/>
          <w:szCs w:val="20"/>
          <w:color w:val="auto"/>
        </w:rPr>
      </w:pPr>
    </w:p>
    <w:p>
      <w:pPr>
        <w:jc w:val="both"/>
        <w:ind w:right="240" w:firstLine="648"/>
        <w:spacing w:after="0"/>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September 30, 2020 that has materially affected, or is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We are not currently a party to any material litigation or other material legal proceedings.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This discussion should be read in conjunction with the other information in this Quarterly Report on Form 10-Q, including our unaudited condensed financial statements and the related notes and “Management’s Discussion and Analysis of Financial Condition and Results of Operations, and our Annual Report on Form 10-K for the year ended</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December 31, 2019.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 operations.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33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8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are a late-stage biopharmaceutical company with a limited operating history. Biopharmaceutical product development is a highly speculative undertaking and involves a substantial degree of risk. We have no products approved for commercial sale and have not generated any revenue from product sales and have incurred losses in each year since our inception in June 2016. We have a limited operating history upon which you can evaluate our business and prospects, and have not yet demonstrated an ability to successfully overcome many of the risks and uncertainties frequently encountered by companies in new and rapidly evolving fields. Our operations to date have been limited to organizing and staffing our company, business planning, raising capital, identifying potential product candidates, establishing licensing arrangements, undertaking various research and preclinical studies and conducting clinical trials for our product candidates.</w:t>
      </w:r>
    </w:p>
    <w:p>
      <w:pPr>
        <w:spacing w:after="0" w:line="205" w:lineRule="exact"/>
        <w:rPr>
          <w:sz w:val="20"/>
          <w:szCs w:val="20"/>
          <w:color w:val="auto"/>
        </w:rPr>
      </w:pPr>
    </w:p>
    <w:p>
      <w:pPr>
        <w:jc w:val="both"/>
        <w:ind w:right="80" w:firstLine="648"/>
        <w:spacing w:after="0" w:line="254" w:lineRule="auto"/>
        <w:rPr>
          <w:sz w:val="20"/>
          <w:szCs w:val="20"/>
          <w:color w:val="auto"/>
        </w:rPr>
      </w:pPr>
      <w:r>
        <w:rPr>
          <w:rFonts w:ascii="Arial" w:cs="Arial" w:eastAsia="Arial" w:hAnsi="Arial"/>
          <w:sz w:val="18"/>
          <w:szCs w:val="18"/>
          <w:color w:val="auto"/>
        </w:rPr>
        <w:t>We have never generated any revenue from product sales and have incurred losses in each year since our inception in June 2016. We have not yet demonstrated our ability to successfully complete later-stage clinical trials, obtain regulatory approvals, manufacture a drug on a commercial scale, or arrange for a third party to do so on our behalf, or conduct sales and marketing activities necessary for successful commercialization.</w:t>
      </w:r>
    </w:p>
    <w:p>
      <w:pPr>
        <w:spacing w:after="0" w:line="20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net loss for the three and nine months ended September 30, 2020 was approximately $38.2 million and $101.6 million, respectively. As of September 30, 2020, we had an accumulated deficit of $167.9 million. We expect to continue to incur losses for the foreseeable future, and we anticipate these losses will increase as we continue to develop our product candidates, conduct clinical trials and pursue research and development activities. We may never achieve profitability and, even if we do, we may not be able to sustain profitability in subsequent periods. We will continue to incur significant research and development and other expenses related to our ongoing operations and the development of our product candidates. Our prior losses, combined with expected future losses, have had and will continue to have an adverse effect on our stockholders’ equity and working capital.</w:t>
      </w:r>
    </w:p>
    <w:p>
      <w:pPr>
        <w:spacing w:after="0" w:line="20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28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85" w:lineRule="exact"/>
        <w:rPr>
          <w:sz w:val="20"/>
          <w:szCs w:val="20"/>
          <w:color w:val="auto"/>
        </w:rPr>
      </w:pPr>
    </w:p>
    <w:p>
      <w:pPr>
        <w:ind w:right="160" w:firstLine="648"/>
        <w:spacing w:after="0" w:line="251" w:lineRule="auto"/>
        <w:rPr>
          <w:sz w:val="20"/>
          <w:szCs w:val="20"/>
          <w:color w:val="auto"/>
        </w:rPr>
      </w:pPr>
      <w:r>
        <w:rPr>
          <w:rFonts w:ascii="Arial" w:cs="Arial" w:eastAsia="Arial" w:hAnsi="Arial"/>
          <w:sz w:val="18"/>
          <w:szCs w:val="18"/>
          <w:color w:val="auto"/>
        </w:rPr>
        <w:t>Since our inception, we have invested substantially all of our efforts and financial resources in research and development activities, and we expect to continue to expend substantial resources for the foreseeable future in connection with the development of our current product candidates, roflumilast cream, roflumilast foam, ARQ-252 and ARQ-255, the development or acquisition of additional product candidates and the maintenance and expansion of our business operations and capabilities. These expenditures will include costs associated with conducting preclinical studies and clinical trials, obtaining regulatory approvals, and securing manufacturing and supply of product candidates, and marketing and selling any products approved for sale. These expenditures may also include costs associated with in-licensing dermatology assets consistent with our core strategy. In addition, other unanticipated costs may arise. Because the outcome of any preclinical study or clinical trial is highly uncertain, we cannot reasonably estimate the actual amounts necessary to successfully complete the development and commercialization of our lead product candidates and any future product candidates.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As of September 30, 2020, we had capital resources consisting of cash, cash equivalents and marketable securities of $189.7 million. In addition, on October 6, 2020, we received $128.4 million in net proceeds from our follow-on financing. Based on our planned operations, we believe that our existing cash, cash equivalents and marketable securities will be sufficient to fund our operations into 2022. However, our operating plans may change as a result of many factors currently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117" w:lineRule="exact"/>
        <w:rPr>
          <w:sz w:val="20"/>
          <w:szCs w:val="20"/>
          <w:color w:val="auto"/>
        </w:rPr>
      </w:pPr>
    </w:p>
    <w:p>
      <w:pPr>
        <w:ind w:left="820" w:right="20" w:hanging="164"/>
        <w:spacing w:after="0" w:line="252"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preclinical studies and clinical trials, in particular our currently ongoing Phase 3 clinical trials of roflumilast cream in plaque psoriasis, our planned clinical studies of roflumilast cream in atopic dermatitis, our ongoing programs to study roflumilast foam in patients with seborrheic dermatitis and scalp psoriasis, our currently ongoing Phase 1/2b study of ARQ-252 in hand eczema, our planned Phase 2a study of ARQ-252 in vitiligo and our formulation and preclinical efforts for ARQ-255 in alopecia areata;</w:t>
      </w:r>
    </w:p>
    <w:p>
      <w:pPr>
        <w:spacing w:after="0" w:line="126" w:lineRule="exact"/>
        <w:rPr>
          <w:rFonts w:ascii="Arial" w:cs="Arial" w:eastAsia="Arial" w:hAnsi="Arial"/>
          <w:sz w:val="18"/>
          <w:szCs w:val="18"/>
          <w:color w:val="auto"/>
        </w:rPr>
      </w:pPr>
    </w:p>
    <w:p>
      <w:pPr>
        <w:ind w:left="820" w:hanging="164"/>
        <w:spacing w:after="0" w:line="225" w:lineRule="auto"/>
        <w:tabs>
          <w:tab w:leader="none" w:pos="815" w:val="left"/>
        </w:tabs>
        <w:numPr>
          <w:ilvl w:val="0"/>
          <w:numId w:val="12"/>
        </w:numPr>
        <w:rPr>
          <w:rFonts w:ascii="Arial" w:cs="Arial" w:eastAsia="Arial" w:hAnsi="Arial"/>
          <w:sz w:val="22"/>
          <w:szCs w:val="22"/>
          <w:color w:val="auto"/>
        </w:rPr>
      </w:pPr>
      <w:r>
        <w:rPr>
          <w:rFonts w:ascii="Arial" w:cs="Arial" w:eastAsia="Arial" w:hAnsi="Arial"/>
          <w:sz w:val="18"/>
          <w:szCs w:val="18"/>
          <w:color w:val="auto"/>
        </w:rPr>
        <w:t>suspensions or delays in the enrollment, issues with data collection, or changes to the number of patients we decide to enroll in our ongoing clinical trials as a result of the COVID-19 pandemic;</w:t>
      </w:r>
    </w:p>
    <w:p>
      <w:pPr>
        <w:spacing w:after="0" w:line="95" w:lineRule="exact"/>
        <w:rPr>
          <w:rFonts w:ascii="Arial" w:cs="Arial" w:eastAsia="Arial" w:hAnsi="Arial"/>
          <w:sz w:val="22"/>
          <w:szCs w:val="22"/>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820" w:right="80" w:hanging="164"/>
        <w:spacing w:after="0" w:line="261"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commercialize, including costs associated with building out our supply chain;</w:t>
      </w:r>
    </w:p>
    <w:p>
      <w:pPr>
        <w:spacing w:after="0" w:line="89" w:lineRule="exact"/>
        <w:rPr>
          <w:rFonts w:ascii="Arial" w:cs="Arial" w:eastAsia="Arial" w:hAnsi="Arial"/>
          <w:sz w:val="18"/>
          <w:szCs w:val="18"/>
          <w:color w:val="auto"/>
        </w:rPr>
      </w:pPr>
    </w:p>
    <w:p>
      <w:pPr>
        <w:ind w:left="820" w:right="540" w:hanging="164"/>
        <w:spacing w:after="0" w:line="261"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 and any discounts or rebates to channel to obtain access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17"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89"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amount of milestone payments due to AstraZeneca, Hengrui, or any future collaboration or licensing partners upon the achievement of negotiated milestones;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Adequate additional funds may not be available when we need them, on terms that are acceptable to us, or at all. If adequate funds are not available to us on a timely basis or on attractive terms, we may be required to reduce our workforce, delay, limit, reduce or terminate our research and development activities, preclinical studies, clinical trials or other development activities and future commercialization efforts, or grant rights to develop and market product candidates, such as roflumilast cream, that we would otherwise develop and market ourselves.</w:t>
      </w:r>
    </w:p>
    <w:p>
      <w:pPr>
        <w:spacing w:after="0" w:line="29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future operating results to fall below expectations.</w:t>
      </w:r>
    </w:p>
    <w:p>
      <w:pPr>
        <w:spacing w:after="0" w:line="6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operations to date have been primarily limited to researching and developing our product candidates and undertaking preclinical studies and clinical trials of our product candidates. We have not yet obtained regulatory approvals for any of our product candidates. Furthermore, our operating results may fluctuate due to a variety of factors, many of which are outside of our control and may be difficult to predict, including the following:</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right="44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the commencement, enrollment and the timing of clinical testing for our product candidates, especially in light of the COVID-19 pandemic;</w:t>
      </w:r>
    </w:p>
    <w:p>
      <w:pPr>
        <w:spacing w:after="0" w:line="89" w:lineRule="exact"/>
        <w:rPr>
          <w:rFonts w:ascii="Arial" w:cs="Arial" w:eastAsia="Arial" w:hAnsi="Arial"/>
          <w:sz w:val="18"/>
          <w:szCs w:val="18"/>
          <w:color w:val="auto"/>
        </w:rPr>
      </w:pPr>
    </w:p>
    <w:p>
      <w:pPr>
        <w:ind w:left="820" w:right="6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clinical development, or failure to obtain such approvals;</w:t>
      </w:r>
    </w:p>
    <w:p>
      <w:pPr>
        <w:spacing w:after="0" w:line="117" w:lineRule="exact"/>
        <w:rPr>
          <w:rFonts w:ascii="Arial" w:cs="Arial" w:eastAsia="Arial" w:hAnsi="Arial"/>
          <w:sz w:val="18"/>
          <w:szCs w:val="18"/>
          <w:color w:val="auto"/>
        </w:rPr>
      </w:pPr>
    </w:p>
    <w:p>
      <w:pPr>
        <w:ind w:left="820" w:right="28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89" w:lineRule="exact"/>
        <w:rPr>
          <w:rFonts w:ascii="Arial" w:cs="Arial" w:eastAsia="Arial" w:hAnsi="Arial"/>
          <w:sz w:val="18"/>
          <w:szCs w:val="18"/>
          <w:color w:val="auto"/>
        </w:rPr>
      </w:pPr>
    </w:p>
    <w:p>
      <w:pPr>
        <w:ind w:left="820" w:right="16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U.S. FDA guidelines and requirements, and the quantity of production;</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additional funding to develop our product candidates;</w:t>
      </w:r>
    </w:p>
    <w:p>
      <w:pPr>
        <w:spacing w:after="0" w:line="117"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which may include obligations to make significant upfront and milestone payments;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17" w:lineRule="exact"/>
        <w:rPr>
          <w:rFonts w:ascii="Arial" w:cs="Arial" w:eastAsia="Arial" w:hAnsi="Arial"/>
          <w:sz w:val="18"/>
          <w:szCs w:val="18"/>
          <w:color w:val="auto"/>
        </w:rPr>
      </w:pPr>
    </w:p>
    <w:p>
      <w:pPr>
        <w:ind w:left="820" w:right="34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side effects of our product candidates that could delay or prevent commercialization or cause an approved drug to be taken off the market;</w:t>
      </w:r>
    </w:p>
    <w:p>
      <w:pPr>
        <w:spacing w:after="0" w:line="89" w:lineRule="exact"/>
        <w:rPr>
          <w:rFonts w:ascii="Arial" w:cs="Arial" w:eastAsia="Arial" w:hAnsi="Arial"/>
          <w:sz w:val="18"/>
          <w:szCs w:val="18"/>
          <w:color w:val="auto"/>
        </w:rPr>
      </w:pPr>
    </w:p>
    <w:p>
      <w:pPr>
        <w:ind w:left="820" w:right="56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of or sufficient reimbursement for our product candidates, if approved;</w:t>
      </w:r>
    </w:p>
    <w:p>
      <w:pPr>
        <w:spacing w:after="0" w:line="89" w:lineRule="exact"/>
        <w:rPr>
          <w:rFonts w:ascii="Arial" w:cs="Arial" w:eastAsia="Arial" w:hAnsi="Arial"/>
          <w:sz w:val="18"/>
          <w:szCs w:val="18"/>
          <w:color w:val="auto"/>
        </w:rPr>
      </w:pPr>
    </w:p>
    <w:p>
      <w:pPr>
        <w:ind w:left="820" w:right="70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if approved, in the absence of health insurance coverage or sufficient reimbursement;</w:t>
      </w:r>
    </w:p>
    <w:p>
      <w:pPr>
        <w:spacing w:after="0" w:line="89" w:lineRule="exact"/>
        <w:rPr>
          <w:rFonts w:ascii="Arial" w:cs="Arial" w:eastAsia="Arial" w:hAnsi="Arial"/>
          <w:sz w:val="18"/>
          <w:szCs w:val="18"/>
          <w:color w:val="auto"/>
        </w:rPr>
      </w:pPr>
    </w:p>
    <w:p>
      <w:pPr>
        <w:ind w:left="820" w:right="6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dependency on Contract Research Organizations (CROs) and third-party manufacturers to supply or manufacture our product candidates;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 effective sales, marketing and distribution infrastructure in a timely manner;</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product candidates, if approved, and our ability to forecast demand for those product candidates;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receive approval and commercialize our product candidates both within and outside of the United States;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 with respect to our product candidates;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enforce our intellectual property position;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and outcomes of potential litigation or other disputes in respect of our product candidates and our business;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key personnel to manage our business effectively;</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liabilities associated with hazardous materials;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adequate insurance policies;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6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cannot assure you of its accuracy or completeness. Market opportunity estimates, whether obtained or derived from third-party sources or developed internally, are subject to significant uncertainty and are based on assumptions and estimates that may not prove to be accurate. While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 The estimates of our market opportunities included in this Quarterly Report on Form 10-Q should not be taken as indicative of our ability to grow our business.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Development and Commercialization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on the development, regulatory approval and commercialization of our current product candidates.</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currently have no products that are approved for commercial sale. Our current portfolio includes our lead product candidate roflumilast cream, a potent PDE4 inhibitor topical cream for the treatment of plaque psoriasis and atopic dermatitis, and our additional product candidates roflumilast foam, a topical foam formulation of roflumilast cream for the treatment of scalp psoriasis and seborrheic dermatitis, ARQ-252, a potent and highly selective topical JAK1 inhibitor for the treatment of chronic hand eczema and vitiligo, and ARQ-255, a potential topical treatment for alopecia areata. We currently do not have a drug discovery or research and development effort to discover new product candidates, and we have no intention to develop one. The success of our business, including our ability to finance our company and generate any revenue in the future, will primarily depend on the successful development, regulatory approval and commercialization of these current product candidates. We expect to conduct most of our clinical trials in the United States and Canada, with current limited plans for clinical trials in Australia and the European Union. We currently anticipate seeking regulatory approvals in the United States and Canada, but may in the future be subject to additional foreign regulatory authorities and may out-license our product candidates or approved products, if any, in additional foreign markets. In the future, we may also become dependent on other product candidates that we may acquire or in-license. The clinical and commercial success of our product candidates will depend on a number of factors, including the following:</w:t>
      </w:r>
    </w:p>
    <w:p>
      <w:pPr>
        <w:spacing w:after="0" w:line="102" w:lineRule="exact"/>
        <w:rPr>
          <w:sz w:val="20"/>
          <w:szCs w:val="20"/>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raise any additional required capital on acceptable terms, or at all;</w:t>
      </w:r>
    </w:p>
    <w:p>
      <w:pPr>
        <w:spacing w:after="0" w:line="117" w:lineRule="exact"/>
        <w:rPr>
          <w:rFonts w:ascii="Arial" w:cs="Arial" w:eastAsia="Arial" w:hAnsi="Arial"/>
          <w:sz w:val="18"/>
          <w:szCs w:val="18"/>
          <w:color w:val="auto"/>
        </w:rPr>
      </w:pPr>
    </w:p>
    <w:p>
      <w:pPr>
        <w:ind w:left="820" w:right="100" w:hanging="164"/>
        <w:spacing w:after="0" w:line="256"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of our preclinical studies and clinical trials, which may be significantly slower or cost more than we currently anticipate, particularly as a result of the impact of the COVID-19 pandemic, and will depend substantially upon the performance of third-party contractors;</w:t>
      </w:r>
    </w:p>
    <w:p>
      <w:pPr>
        <w:spacing w:after="0" w:line="93" w:lineRule="exact"/>
        <w:rPr>
          <w:rFonts w:ascii="Arial" w:cs="Arial" w:eastAsia="Arial" w:hAnsi="Arial"/>
          <w:sz w:val="18"/>
          <w:szCs w:val="18"/>
          <w:color w:val="auto"/>
        </w:rPr>
      </w:pPr>
    </w:p>
    <w:p>
      <w:pPr>
        <w:ind w:left="820" w:right="140" w:hanging="164"/>
        <w:spacing w:after="0" w:line="291" w:lineRule="auto"/>
        <w:tabs>
          <w:tab w:leader="none" w:pos="8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65" w:lineRule="exact"/>
        <w:rPr>
          <w:rFonts w:ascii="Arial" w:cs="Arial" w:eastAsia="Arial" w:hAnsi="Arial"/>
          <w:sz w:val="17"/>
          <w:szCs w:val="17"/>
          <w:color w:val="auto"/>
        </w:rPr>
      </w:pPr>
    </w:p>
    <w:p>
      <w:pPr>
        <w:ind w:left="820" w:right="16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our proposed indications and primary and secondary endpoint assessments relating to the proposed indications of our product candidates by the FDA and similar foreign regulatory authorities;</w:t>
      </w:r>
    </w:p>
    <w:p>
      <w:pPr>
        <w:spacing w:after="0" w:line="89" w:lineRule="exact"/>
        <w:rPr>
          <w:rFonts w:ascii="Arial" w:cs="Arial" w:eastAsia="Arial" w:hAnsi="Arial"/>
          <w:sz w:val="18"/>
          <w:szCs w:val="18"/>
          <w:color w:val="auto"/>
        </w:rPr>
      </w:pPr>
    </w:p>
    <w:p>
      <w:pPr>
        <w:ind w:left="820" w:right="32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similar foreign regulatory authorities;</w:t>
      </w:r>
    </w:p>
    <w:p>
      <w:pPr>
        <w:spacing w:after="0" w:line="117" w:lineRule="exact"/>
        <w:rPr>
          <w:rFonts w:ascii="Arial" w:cs="Arial" w:eastAsia="Arial" w:hAnsi="Arial"/>
          <w:sz w:val="18"/>
          <w:szCs w:val="18"/>
          <w:color w:val="auto"/>
        </w:rPr>
      </w:pPr>
    </w:p>
    <w:p>
      <w:pPr>
        <w:ind w:left="820" w:right="100" w:hanging="164"/>
        <w:spacing w:after="0" w:line="256"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and maintaining, and, where applicable, ensuring that our third-party contractors achieve and maintain, compliance with our contractual obligations and with all regulatory requirements applicable to our lead product candidates or any future product candidates or approved products, if any;</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physicians and patients to utilize or adopt our product candidates;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right="40" w:hanging="164"/>
        <w:spacing w:after="0" w:line="256"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third parties upon which we rely to manufacture clinical trial and commercial supplies of our product candidates or any future product candidates to remain in good standing with relevant regulatory authorities and to develop, validate and maintain commercially viable manufacturing processes that are compliant with current good manufacturing practices, or cGMP;</w:t>
      </w:r>
    </w:p>
    <w:p>
      <w:pPr>
        <w:spacing w:after="0" w:line="93" w:lineRule="exact"/>
        <w:rPr>
          <w:rFonts w:ascii="Arial" w:cs="Arial" w:eastAsia="Arial" w:hAnsi="Arial"/>
          <w:sz w:val="18"/>
          <w:szCs w:val="18"/>
          <w:color w:val="auto"/>
        </w:rPr>
      </w:pPr>
    </w:p>
    <w:p>
      <w:pPr>
        <w:ind w:left="820" w:right="60" w:hanging="164"/>
        <w:spacing w:after="0" w:line="256"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93"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candidates or any future product candidates, if approved, including relative to alternative and competing treatments;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 demand for our product candidates, if approved;</w:t>
      </w:r>
    </w:p>
    <w:p>
      <w:pPr>
        <w:spacing w:after="0" w:line="117" w:lineRule="exact"/>
        <w:rPr>
          <w:rFonts w:ascii="Arial" w:cs="Arial" w:eastAsia="Arial" w:hAnsi="Arial"/>
          <w:sz w:val="18"/>
          <w:szCs w:val="18"/>
          <w:color w:val="auto"/>
        </w:rPr>
      </w:pPr>
    </w:p>
    <w:p>
      <w:pPr>
        <w:ind w:left="820" w:right="28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 and</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avoid third-party patent interference, intellectual property challenges or intellectual property infringement claims.</w:t>
      </w:r>
    </w:p>
    <w:p>
      <w:pPr>
        <w:spacing w:after="0" w:line="22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Furthermore, because each of our product candidates targets one or more indications in the medical dermatology field, if any of our product candidates encounter safety or efficacy problems, developmental delays, regulatory issues, supply issues, or other problems, our development plans for the affected product candidate and some or all of our other product candidates could be significantly harmed, which would harm our business. Further, competitors who are developing products in the dermatology field or that target the same indications as us with products that have a similar mechanism of action may experience problems with their products that could indicate or result in class-wide problems or additional requirements that would potentially harm our business.</w:t>
      </w:r>
    </w:p>
    <w:p>
      <w:pPr>
        <w:spacing w:after="0" w:line="208"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 factors outlined above, many of which are beyond our control, could cause us to experience significant delays or an inability to obtain regulatory approvals or commercialize our product candidates. Accordingly, we cannot provide assurances that we will be able to generate sufficient revenue through the sale of our product candidates or any future product candidates to continue our business.</w:t>
      </w:r>
    </w:p>
    <w:p>
      <w:pPr>
        <w:spacing w:after="0" w:line="2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2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inherently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Phase 2 proof-of-concept study in atopic dermatitis had a limited number of patients and did not reach statistical significance for the primary endpoint or the secondary endpoint of IGA Success. However, this study did provide evidence that ARQ-151 could provide symptomatic improvement and a favorable tolerability profile in adults with atopic dermatitis and, following an End of Phase 2 meeting with the FDA in September 2020, we announced our intention to progress ARQ-151 into Phase 3 studies in atopic dermatitis, bypassing our previously planned Phase 2b study in that indication.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For example, we are developing roflumilast foam, including ongoing programs in patients with seborrheic dermatitis and in patients with scalp psoriasis, based on our clinical experience with roflumilast cream in psoriasis. Despite our observations of roflumilast cream in a similar dermatological indication, roflumilast foam may not demonstrate comparable results in scalp psoriasis. In addition, given its different formulation there is a risk that we selected an incorrect dose for roflumilast foam, as the clinical effect of roflumilast foam may differ from roflumilast cream at a similar dosing level or we may observe unexpected side effects not previously observed with roflumilast cream.</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90" w:lineRule="exact"/>
        <w:rPr>
          <w:sz w:val="20"/>
          <w:szCs w:val="20"/>
          <w:color w:val="auto"/>
        </w:rPr>
      </w:pPr>
    </w:p>
    <w:p>
      <w:pPr>
        <w:ind w:left="820" w:hanging="164"/>
        <w:spacing w:after="0" w:line="261"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site closures, delays to patient enrollment, subjects discontinuing treatment or follow up visits, issues with data collection, or changes to trial protocols as a result of the COVID-19 pandemic;</w:t>
      </w:r>
    </w:p>
    <w:p>
      <w:pPr>
        <w:spacing w:after="0" w:line="89" w:lineRule="exact"/>
        <w:rPr>
          <w:rFonts w:ascii="Arial" w:cs="Arial" w:eastAsia="Arial" w:hAnsi="Arial"/>
          <w:sz w:val="18"/>
          <w:szCs w:val="18"/>
          <w:color w:val="auto"/>
        </w:rPr>
      </w:pPr>
    </w:p>
    <w:p>
      <w:pPr>
        <w:ind w:left="820" w:right="160" w:hanging="164"/>
        <w:spacing w:after="0" w:line="261"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89" w:lineRule="exact"/>
        <w:rPr>
          <w:rFonts w:ascii="Arial" w:cs="Arial" w:eastAsia="Arial" w:hAnsi="Arial"/>
          <w:sz w:val="18"/>
          <w:szCs w:val="18"/>
          <w:color w:val="auto"/>
        </w:rPr>
      </w:pPr>
    </w:p>
    <w:p>
      <w:pPr>
        <w:ind w:left="820" w:hanging="164"/>
        <w:spacing w:after="0" w:line="256"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or prospective CROs, the terms of which can be subject to extensive negotiation and may vary significantly among different CROs and trial sites;</w:t>
      </w:r>
    </w:p>
    <w:p>
      <w:pPr>
        <w:spacing w:after="0" w:line="93" w:lineRule="exact"/>
        <w:rPr>
          <w:rFonts w:ascii="Arial" w:cs="Arial" w:eastAsia="Arial" w:hAnsi="Arial"/>
          <w:sz w:val="18"/>
          <w:szCs w:val="18"/>
          <w:color w:val="auto"/>
        </w:rPr>
      </w:pPr>
    </w:p>
    <w:p>
      <w:pPr>
        <w:ind w:left="820" w:right="260" w:hanging="164"/>
        <w:spacing w:after="0" w:line="256"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and we may decide, or regulators may require us, to conduct additional clinical trials or abandon drug development programs;</w:t>
      </w:r>
    </w:p>
    <w:p>
      <w:pPr>
        <w:spacing w:after="0" w:line="93"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93"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to suspend or terminate the trials;</w:t>
      </w:r>
    </w:p>
    <w:p>
      <w:pPr>
        <w:spacing w:after="0" w:line="89" w:lineRule="exact"/>
        <w:rPr>
          <w:rFonts w:ascii="Arial" w:cs="Arial" w:eastAsia="Arial" w:hAnsi="Arial"/>
          <w:sz w:val="18"/>
          <w:szCs w:val="18"/>
          <w:color w:val="auto"/>
        </w:rPr>
      </w:pPr>
    </w:p>
    <w:p>
      <w:pPr>
        <w:ind w:left="820" w:right="360" w:hanging="164"/>
        <w:spacing w:after="0" w:line="261"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89" w:lineRule="exact"/>
        <w:rPr>
          <w:rFonts w:ascii="Arial" w:cs="Arial" w:eastAsia="Arial" w:hAnsi="Arial"/>
          <w:sz w:val="18"/>
          <w:szCs w:val="18"/>
          <w:color w:val="auto"/>
        </w:rPr>
      </w:pPr>
    </w:p>
    <w:p>
      <w:pPr>
        <w:jc w:val="both"/>
        <w:ind w:left="820" w:right="420" w:hanging="164"/>
        <w:spacing w:after="0" w:line="256"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development for various reasons, including noncompliance with regulatory requirements or a finding that the participants are being exposed to unacceptable health risks;</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w:t>
      </w:r>
    </w:p>
    <w:p>
      <w:pPr>
        <w:spacing w:after="0" w:line="117" w:lineRule="exact"/>
        <w:rPr>
          <w:rFonts w:ascii="Arial" w:cs="Arial" w:eastAsia="Arial" w:hAnsi="Arial"/>
          <w:sz w:val="18"/>
          <w:szCs w:val="18"/>
          <w:color w:val="auto"/>
        </w:rPr>
      </w:pPr>
    </w:p>
    <w:p>
      <w:pPr>
        <w:ind w:left="820" w:right="60" w:hanging="164"/>
        <w:spacing w:after="0" w:line="261"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9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side effects, failure to demonstrate a benefit from using a drug, changes in governmental regulations or administrative actions or lack of adequate funding to continue the clinical trial.</w:t>
      </w:r>
    </w:p>
    <w:p>
      <w:pPr>
        <w:spacing w:after="0" w:line="208"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29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85"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To gain approval to market our product candidates, we must provide the FDA and foreign regulatory authorities with preclinical and clinical data that adequately demonstrate the safety and efficacy of the product for the intended indication applied for in the applicable regulatory filing. Product development is long, expensive and uncertain processes, and delay or failure can occur at any stage of any of our preclinical and clinical development programs. A number of companies in the biotechnology and pharmaceutical industries have suffered significant setbacks in clinical trials, even after promising results in earlier preclinical or clinical studies. These setbacks have been caused by, among other things, preclinical findings made while clinical studies were underway and safety 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efficacy observations made in clinical studies,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currently have no products approved for sale and our product candidates remain in clinical development. Significant risk remains and we cannot provide assurance that they will obtain regulatory approval for commercialization as expected, or at all. The research, testing, manufacturing, labeling, approval, sale, marketing and distribution of drug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 including pricing approval in the European Union.</w:t>
      </w:r>
    </w:p>
    <w:p>
      <w:pPr>
        <w:spacing w:after="0" w:line="205" w:lineRule="exact"/>
        <w:rPr>
          <w:sz w:val="20"/>
          <w:szCs w:val="20"/>
          <w:color w:val="auto"/>
        </w:rPr>
      </w:pPr>
    </w:p>
    <w:p>
      <w:pPr>
        <w:ind w:right="780" w:firstLine="648"/>
        <w:spacing w:after="0" w:line="261" w:lineRule="auto"/>
        <w:rPr>
          <w:sz w:val="20"/>
          <w:szCs w:val="20"/>
          <w:color w:val="auto"/>
        </w:rPr>
      </w:pPr>
      <w:r>
        <w:rPr>
          <w:rFonts w:ascii="Arial" w:cs="Arial" w:eastAsia="Arial" w:hAnsi="Arial"/>
          <w:sz w:val="18"/>
          <w:szCs w:val="18"/>
          <w:color w:val="auto"/>
        </w:rPr>
        <w:t>The FDA or any foreign regulatory authorities can delay, limit or deny approval of our product candidates for many reasons, including:</w:t>
      </w:r>
    </w:p>
    <w:p>
      <w:pPr>
        <w:spacing w:after="0" w:line="90" w:lineRule="exact"/>
        <w:rPr>
          <w:sz w:val="20"/>
          <w:szCs w:val="20"/>
          <w:color w:val="auto"/>
        </w:rPr>
      </w:pPr>
    </w:p>
    <w:p>
      <w:pPr>
        <w:ind w:left="820" w:right="48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foreign regulatory authority that any of our product candidates is safe and effective for the requested indication;</w:t>
      </w:r>
    </w:p>
    <w:p>
      <w:pPr>
        <w:spacing w:after="0" w:line="89"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the number, design, size, conduct or implementation of our clinical trials, including the design of our Phase 3 clinical trials of roflumilast cream for the treatment of plaque psoriasis;</w:t>
      </w:r>
    </w:p>
    <w:p>
      <w:pPr>
        <w:spacing w:after="0" w:line="89" w:lineRule="exact"/>
        <w:rPr>
          <w:rFonts w:ascii="Arial" w:cs="Arial" w:eastAsia="Arial" w:hAnsi="Arial"/>
          <w:sz w:val="18"/>
          <w:szCs w:val="18"/>
          <w:color w:val="auto"/>
        </w:rPr>
      </w:pPr>
    </w:p>
    <w:p>
      <w:pPr>
        <w:ind w:left="820" w:right="260" w:hanging="164"/>
        <w:spacing w:after="0" w:line="256"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find the data from preclinical studies or clinical trials sufficient to demonstrate that the clinical and other benefits of these products candidates outweigh their safety risks or that there is an acceptable risk-benefit profile;</w:t>
      </w:r>
    </w:p>
    <w:p>
      <w:pPr>
        <w:spacing w:after="0" w:line="93" w:lineRule="exact"/>
        <w:rPr>
          <w:rFonts w:ascii="Arial" w:cs="Arial" w:eastAsia="Arial" w:hAnsi="Arial"/>
          <w:sz w:val="18"/>
          <w:szCs w:val="18"/>
          <w:color w:val="auto"/>
        </w:rPr>
      </w:pPr>
    </w:p>
    <w:p>
      <w:pPr>
        <w:ind w:left="820" w:right="22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significance or clinical meaningfulness required by the FDA or other relevant foreign regulatory authorities for marketing approval;</w:t>
      </w:r>
    </w:p>
    <w:p>
      <w:pPr>
        <w:spacing w:after="0" w:line="89"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requirement for additional preclinical studies or clinical trials which would increase our costs and prolong our development timelines;</w:t>
      </w:r>
    </w:p>
    <w:p>
      <w:pPr>
        <w:spacing w:after="0" w:line="89" w:lineRule="exact"/>
        <w:rPr>
          <w:rFonts w:ascii="Arial" w:cs="Arial" w:eastAsia="Arial" w:hAnsi="Arial"/>
          <w:sz w:val="18"/>
          <w:szCs w:val="18"/>
          <w:color w:val="auto"/>
        </w:rPr>
      </w:pPr>
    </w:p>
    <w:p>
      <w:pPr>
        <w:ind w:left="820" w:right="16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our interpretation of data or significance of results from the preclinical studies and clinical trials of any product candidate, or may require that we conduct additional studies;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accept data generated from our clinical trial sites;</w:t>
      </w:r>
    </w:p>
    <w:p>
      <w:pPr>
        <w:spacing w:after="0" w:line="117" w:lineRule="exact"/>
        <w:rPr>
          <w:rFonts w:ascii="Arial" w:cs="Arial" w:eastAsia="Arial" w:hAnsi="Arial"/>
          <w:sz w:val="18"/>
          <w:szCs w:val="18"/>
          <w:color w:val="auto"/>
        </w:rPr>
      </w:pPr>
    </w:p>
    <w:p>
      <w:pPr>
        <w:ind w:left="820" w:right="2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CROs that we retain to conduct clinical trials may take actions outside of our control, or otherwise commit errors or breaches of protocols, that adversely impact our clinical trials and ability to obtain market approvals;</w:t>
      </w:r>
    </w:p>
    <w:p>
      <w:pPr>
        <w:spacing w:after="0" w:line="89" w:lineRule="exact"/>
        <w:rPr>
          <w:rFonts w:ascii="Arial" w:cs="Arial" w:eastAsia="Arial" w:hAnsi="Arial"/>
          <w:sz w:val="18"/>
          <w:szCs w:val="18"/>
          <w:color w:val="auto"/>
        </w:rPr>
      </w:pPr>
    </w:p>
    <w:p>
      <w:pPr>
        <w:ind w:left="820" w:hanging="164"/>
        <w:spacing w:after="0" w:line="253"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NDA or other foreign application is reviewed by an advisory committee, the FDA or other relevant foreign regulatory authority, as the case may be, may have difficulties scheduling an advisory committee meeting in a timely manner or the advisory committee may recommend against approval of our application or may recommend that the FDA or other relevant foreign regulatory authority, as the case may be, require, as a condition of approval, additional preclinical studies or clinical trials, limitations on approved labeling or distribution and use restrictions;</w:t>
      </w:r>
    </w:p>
    <w:p>
      <w:pPr>
        <w:spacing w:after="0" w:line="97" w:lineRule="exact"/>
        <w:rPr>
          <w:rFonts w:ascii="Arial" w:cs="Arial" w:eastAsia="Arial" w:hAnsi="Arial"/>
          <w:sz w:val="18"/>
          <w:szCs w:val="18"/>
          <w:color w:val="auto"/>
        </w:rPr>
      </w:pPr>
    </w:p>
    <w:p>
      <w:pPr>
        <w:ind w:left="820" w:right="56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development of a risk evaluation and mitigation strategy (REMS), or its equivalent, as a condition of approval;</w:t>
      </w:r>
    </w:p>
    <w:p>
      <w:pPr>
        <w:spacing w:after="0" w:line="89" w:lineRule="exact"/>
        <w:rPr>
          <w:rFonts w:ascii="Arial" w:cs="Arial" w:eastAsia="Arial" w:hAnsi="Arial"/>
          <w:sz w:val="18"/>
          <w:szCs w:val="18"/>
          <w:color w:val="auto"/>
        </w:rPr>
      </w:pPr>
    </w:p>
    <w:p>
      <w:pPr>
        <w:ind w:left="820" w:right="40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additional post-marketing studies and/or a patient registry, which would be costly;</w:t>
      </w:r>
    </w:p>
    <w:p>
      <w:pPr>
        <w:spacing w:after="0" w:line="89" w:lineRule="exact"/>
        <w:rPr>
          <w:rFonts w:ascii="Arial" w:cs="Arial" w:eastAsia="Arial" w:hAnsi="Arial"/>
          <w:sz w:val="18"/>
          <w:szCs w:val="18"/>
          <w:color w:val="auto"/>
        </w:rPr>
      </w:pPr>
    </w:p>
    <w:p>
      <w:pPr>
        <w:ind w:left="820" w:right="46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find the chemistry, manufacturing and controls data insufficient to support the quality of our product candidates;</w:t>
      </w:r>
    </w:p>
    <w:p>
      <w:pPr>
        <w:spacing w:after="0" w:line="89"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identify deficiencies in the manufacturing processes or facilities of our third-party manufacturers; or</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change their approval policies or adopt new regulations.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non-approval of the formulation, dosing, labeling or specifications;</w:t>
      </w:r>
    </w:p>
    <w:p>
      <w:pPr>
        <w:spacing w:after="0" w:line="117" w:lineRule="exact"/>
        <w:rPr>
          <w:rFonts w:ascii="Arial" w:cs="Arial" w:eastAsia="Arial" w:hAnsi="Arial"/>
          <w:sz w:val="18"/>
          <w:szCs w:val="18"/>
          <w:color w:val="auto"/>
        </w:rPr>
      </w:pPr>
    </w:p>
    <w:p>
      <w:pPr>
        <w:ind w:left="820" w:right="32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failure to approve the manufacturing processes of third-party manufacturers upon which we rely or the failure of the facilities of our third-party manufacturers to maintain a compliance status acceptable to the FDA or the applicable foreign regulatory authority; or</w:t>
      </w:r>
    </w:p>
    <w:p>
      <w:pPr>
        <w:spacing w:after="0" w:line="93"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the applicable foreign regulatory authorities to significantly change in a manner rendering our clinical data insufficient for approval.</w:t>
      </w:r>
    </w:p>
    <w:p>
      <w:pPr>
        <w:spacing w:after="0" w:line="19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Of the large number of biopharmaceutical products in development, only a small percentage successfully complete the FDA or other regulatory approval processes and are commercialized.</w:t>
      </w:r>
    </w:p>
    <w:p>
      <w:pPr>
        <w:spacing w:after="0" w:line="19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Even if we eventually complete clinical testing and receive approval from the FDA or applicable foreign agencies for any of our product candidates, the FDA or the applicable foreign regulatory authority may grant approval contingent on the performance of costly additional clinical trials which may be required after approval. The FDA or the applicable foreign regulatory authority also may approve our lead product candidates for a more limited indication or a narrower patient population than we originally requested, and the FDA, or applicable foreign regulatory authority, may not approve our product candidates with the labeling that we believe is necessary or desirable, or may approve them with labeling that includes warnings or precautions or limitations of use that may not be desirable, for the successful commercialization of such product candidates. Any delay in obtaining, or inability to obtain, applicable regulatory approval would delay or prevent commercialization of our product candidates and would materially adversely impact our business and prospects.</w:t>
      </w:r>
    </w:p>
    <w:p>
      <w:pPr>
        <w:spacing w:after="0" w:line="29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21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12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Certain of our primary and secondary endpoints in our clinical trials, including our currently ongoing Phase 3 clinical trials of roflumilast cream in plaque psoriasis, as well as our recently completed Phase 2 clinical trials of roflumilast cream in atopic dermatitis and roflumilast foam in seborrheic dermatitis, involve subjective assessments by physician and patients, which can increase the uncertainty of clinical trial outcomes. For example, one of the secondary endpoints requires patients to report pruritus (itching) as measured by the Worst Itch – Numeric Rating Scale and complete or deliver patient or caregiver reported outcomes over the course of our clinical trials. This and other assessments are inherently subjective, which can increase the variability of clinical results across clinical trials and create a significant degree of uncertainty in determining overall clinical benefit. Such assessments can be influenced by factors outside of our control, and can vary widely from day-to-day for a particular patient, and from patient-to-patient and site-to-site within a clinical trial. In addition, frequent reporting requirements may lead to rating fatigue and a loss of accuracy and reliability of the data resulting from our clinical trials. Further, the FDA or comparable foreign regulatory authority may not accept such patient or caregiver reported outcomes as sufficiently validated. Accordingly, these subjective assessments can complicate clinical trial design, adversely impact the ability of a study to show a statistically significant improvement and generally adversely impact a clinical development program by introducing additional uncertainties.</w:t>
      </w:r>
    </w:p>
    <w:p>
      <w:pPr>
        <w:spacing w:after="0" w:line="204"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Patient reported outcome instruments, their use in, among others, our Phase 3 clinical trials of roflumilast cream and the inclusion of such data in the product labeling will depend on, but is not limited to, the FDA’s review of the following:</w:t>
      </w:r>
    </w:p>
    <w:p>
      <w:pPr>
        <w:spacing w:after="0" w:line="90" w:lineRule="exact"/>
        <w:rPr>
          <w:sz w:val="20"/>
          <w:szCs w:val="20"/>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relevance and importance of the concept(s) of interest to the target patient population;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strengths and limitations of the instrument within the given context of use;</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and conduct of the trials;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the submitted data, for example, rigorous data collection and methods to handle missing data;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magnitude of the statistically significant treatment effect should be meaningful to patients.</w:t>
      </w:r>
    </w:p>
    <w:p>
      <w:pPr>
        <w:spacing w:after="0" w:line="14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Further, different results may be achieved depending upon the characteristics of the population enrolled in our studies and which analysis population is used to analyze results. For example, the primary endpoint in both our Phase 3 clinical trials of roflumilast cream in plaque psoriasis as well as our recently completed Phase 2 clinical trials of roflumilast cream in atopic dermatitis and roflumilast foam in seborrheic dermatitis is based on the percentage of patients achieving a score of “clear” or “almost clear” plus at least a 2-grade improvement from baseline on the 5 point Investigator’s Global Assessment (or IGA) scale, referred to as “IGA Success”. Success in our clinical trials with these or similar endpoints, requires the enrollment of patients with conditions that are severe enough to facilitate a two-grade improvement in the IGA scale, but not so severe that they cannot achieve a “clear” or “almost clear” in IGA score in light of the severity of their disease. It is therefore possible that we enroll patients with conditions so severe that they do not or are unable to realize an IGA of 0 (clear) or 1 (almost clear) during the period covered by the clinical trial. As a result, there is no guarantee that our clinical trials will produce the same statistically significant results in “IGA Success”, which will serve as the primary endpoint, as our prior clinical trials, and there can be no guarantee that the characteristics of the population enrolled in our clinical trials, including our Phase 3 clinical trials, does not adversely impact the results reported for such trial, any of which could have an adverse effect on our ability to secure regulatory approval for our product candidates.</w:t>
      </w:r>
    </w:p>
    <w:p>
      <w:pPr>
        <w:spacing w:after="0" w:line="28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Enrollment and retention of subjects in clinical trials is expensive and time consuming and may result in additional costs and delays in our product development activities, or in the failure of such activities.</w:t>
      </w:r>
    </w:p>
    <w:p>
      <w:pPr>
        <w:spacing w:after="0" w:line="6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may not be able to initiate or continue clinical trials for roflumilast cream or our other product candidates if we are unable to locate and enroll a sufficient number of eligible patients to participate in these trials as required by the FDA or similar regulatory authorities outside the United States. In addition, some of our competitors are currently conducting clinical trials for product candidates that treat the same indications as roflumilast cream, roflumilast foam, ARQ-252 and ARQ-255, and patients who are otherwise eligible for our clinical trials may instead enroll in clinical trials of our competitors’ product candidates.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selection of the patient population required for analysis of the trial’s primary endpoints;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frequency and extent of clinical trial site visits and study assessments;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Furthermore, any negative results that we may report in preclinical studies or clinical trials of our product candidates may make it difficult or impossible to recruit and retain subjects in other clinical trials of that same or any similar product candidate. Our inability to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impede our ability to obtain additional financing.</w:t>
      </w:r>
    </w:p>
    <w:p>
      <w:pPr>
        <w:spacing w:after="0" w:line="2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8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we continue our development of our product candidates and initiate additional preclinical studies or clinical trials of these or future product candidates, if any, serious adverse events, unacceptable levels of toxicity, undesirable side effects or unexpected characteristics may emerge, causing us to abandon these product candidates or limit their development to more narrow uses, lower potency levels or subpopulations in which the serious adverse events, unacceptable levels of toxicity, undesirable side effects or other characteristics are less prevalent, less severe or more acceptable from a risk/benefit perspective.</w:t>
      </w:r>
    </w:p>
    <w:p>
      <w:pPr>
        <w:spacing w:after="0" w:line="205"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If our product candidates are associated with adverse effects in clinical trials or have characteristics that are unexpected, we may need to abandon their development, institute burdensome monitoring programs, or limit development to more narrow uses or lower or less frequent dosing in which the side effects or other characteristics are less prevalent, less severe or more acceptable from a risk-benefit perspective. The FDA or an institutional review board, or similar regulatory authorities outside the United States,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207"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90" w:lineRule="exact"/>
        <w:rPr>
          <w:sz w:val="20"/>
          <w:szCs w:val="20"/>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implement a REMS;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conduct Phase 4 clinical trials as post-marketing requirements (PMRs);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700" w:firstLine="648"/>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As a company, we have never completed a Phase 3 program or obtained marketing approval for any product candidate and we may be unable to successfully do so in a timely manner, if at all, for any of our product candidates.</w:t>
      </w:r>
    </w:p>
    <w:p>
      <w:pPr>
        <w:spacing w:after="0" w:line="6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Conducting Phase 3 clinical trials and preparing, and obtaining marketing approval for, a product candidate is a complicated process. Although members of our management team have participated in pivotal trials and obtained marketing approvals for product candidates in the past while employed at other companies, we as a company have not done so. As a result, these activities may require more time and cost more than we anticipate, and we may be unable to successfully complete them for any of our product candidates.</w:t>
      </w:r>
    </w:p>
    <w:p>
      <w:pPr>
        <w:spacing w:after="0" w:line="136"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To date, we have completed two Phase 2 studies in plaque psoriasis, a Phase 2 study in atopic dermatitis with roflumilast cream, and a Phase 2 study in seborrheic dermatitis with roflumilast foam, and have completed enrollment in a Phase 3 program in plaque psoriasis, which includes three studies comprised of two pivotal studies (DERMIS-1 and DERMIS-2) and an open label extension (DERMIS-OLE). We also anticipate commencing pivotal Phase 3 clinical trials of roflumilast cream for the treatment of atopic dermatitis in late 2020 or early 2021. Failure to successfully complete, or delays in, our pivotal trials or related regulatory submissions would prevent us from or delay us in obtaining regulatory approval for our product candidates. In addition, it is possible that the FDA may refuse to accept for substantive review any NDAs that we submit for our product candidates or may conclude after review of our applications that they are insufficient to obtain marketing approval of our product candidates. We are finalizing the study designs for our Phase 3 program to evaluate ARQ-151 in patients with atopic dermatitis. While the FDA encouraged us at our End of Phase 2 meeting to generate additional clinical data on the two ARQ-151 doses studied in our Phase 2 study, they also did not raise objections to us proceeding into Phase 3 with a single dose. If the FDA does not accept our applications or issue marketing authorizations for our product candidates, it may require that we conduct additional clinical, preclinical or manufacturing validation studies and submit that data before it will reconsider our applications. Depending on the extent of these or any other FDA-required studies, approval of any NDA for any other applications that we submit may be delayed by several years, or may require us to expend more resources than we have available. It is also possible that additional studies, if performed and completed, may not be considered sufficient by the FDA to approve our NDAs. Additionally, similar risks could apply to receipt of marketing authorizations by comparable regulatory authorities in foreign jurisdictions.</w:t>
      </w:r>
    </w:p>
    <w:p>
      <w:pPr>
        <w:spacing w:after="0" w:line="213"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288" w:lineRule="exact"/>
        <w:rPr>
          <w:sz w:val="20"/>
          <w:szCs w:val="20"/>
          <w:color w:val="auto"/>
        </w:rPr>
      </w:pPr>
    </w:p>
    <w:p>
      <w:pPr>
        <w:jc w:val="both"/>
        <w:ind w:right="360"/>
        <w:spacing w:after="0" w:line="287" w:lineRule="auto"/>
        <w:rPr>
          <w:sz w:val="20"/>
          <w:szCs w:val="20"/>
          <w:color w:val="auto"/>
        </w:rPr>
      </w:pPr>
      <w:r>
        <w:rPr>
          <w:rFonts w:ascii="Arial" w:cs="Arial" w:eastAsia="Arial" w:hAnsi="Arial"/>
          <w:sz w:val="18"/>
          <w:szCs w:val="18"/>
          <w:b w:val="1"/>
          <w:bCs w:val="1"/>
          <w:i w:val="1"/>
          <w:iCs w:val="1"/>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spacing w:after="0" w:line="67" w:lineRule="exact"/>
        <w:rPr>
          <w:sz w:val="20"/>
          <w:szCs w:val="20"/>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Even if our lead product candidate or our other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adequate product revenue or become profitable. The degree of market acceptance of a product candidate, if approved for commercial sale, will depend on a number of factors, including but not limited to:</w:t>
      </w:r>
    </w:p>
    <w:p>
      <w:pPr>
        <w:spacing w:after="0" w:line="96" w:lineRule="exact"/>
        <w:rPr>
          <w:sz w:val="20"/>
          <w:szCs w:val="20"/>
          <w:color w:val="auto"/>
        </w:rPr>
      </w:pPr>
    </w:p>
    <w:p>
      <w:pPr>
        <w:ind w:left="820" w:right="280" w:hanging="164"/>
        <w:spacing w:after="0" w:line="256"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safety, efficacy, risk-benefit profile and potential advantages compared to alternative or existing treatments, such as steroids topical treatments, oral treatments, and biologic injections for the treatment of psoriasis, which physicians may perceive to be adequately effective for some or all patients;</w:t>
      </w:r>
    </w:p>
    <w:p>
      <w:pPr>
        <w:spacing w:after="0" w:line="93" w:lineRule="exact"/>
        <w:rPr>
          <w:rFonts w:ascii="Arial" w:cs="Arial" w:eastAsia="Arial" w:hAnsi="Arial"/>
          <w:sz w:val="18"/>
          <w:szCs w:val="18"/>
          <w:color w:val="auto"/>
        </w:rPr>
      </w:pPr>
    </w:p>
    <w:p>
      <w:pPr>
        <w:ind w:left="820" w:right="420" w:hanging="164"/>
        <w:spacing w:after="0" w:line="261"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side effects that may be attributable to our product candidates and the difficulty of or costs associated with resolving such side effects;</w:t>
      </w:r>
    </w:p>
    <w:p>
      <w:pPr>
        <w:spacing w:after="0" w:line="89" w:lineRule="exact"/>
        <w:rPr>
          <w:rFonts w:ascii="Arial" w:cs="Arial" w:eastAsia="Arial" w:hAnsi="Arial"/>
          <w:sz w:val="18"/>
          <w:szCs w:val="18"/>
          <w:color w:val="auto"/>
        </w:rPr>
      </w:pPr>
    </w:p>
    <w:p>
      <w:pPr>
        <w:ind w:left="820" w:right="80" w:hanging="164"/>
        <w:spacing w:after="0" w:line="261"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FDA or other applicable foreign regulatory authorities;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side effects;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content of the approved product label;</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right="400" w:hanging="164"/>
        <w:spacing w:after="0" w:line="261"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 and over-the-counter (OTC) treatments;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820" w:right="340" w:hanging="164"/>
        <w:spacing w:after="0" w:line="261"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over existing therapies;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at any given price level of each of our product candidates;</w:t>
      </w:r>
    </w:p>
    <w:p>
      <w:pPr>
        <w:spacing w:after="0" w:line="117" w:lineRule="exact"/>
        <w:rPr>
          <w:rFonts w:ascii="Arial" w:cs="Arial" w:eastAsia="Arial" w:hAnsi="Arial"/>
          <w:sz w:val="18"/>
          <w:szCs w:val="18"/>
          <w:color w:val="auto"/>
        </w:rPr>
      </w:pPr>
    </w:p>
    <w:p>
      <w:pPr>
        <w:ind w:left="820" w:right="720" w:hanging="164"/>
        <w:spacing w:after="0" w:line="261"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if approved, in the absence of health insurance coverage or sufficient reimbursement;</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utilization controls imposed by third-party payors, such as prior authorizations and step edits;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restrictions on the use of any of our product candidates.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cannot assure you that our current or future product candidates, if approved, will achieve market acceptance among physicians, patients, third-party payors or others in the medical community necessary for commercial success. Any failure by our product candidates that obtain regulatory approval to achieve market acceptance or commercial success would harm our results of operations.</w:t>
      </w:r>
    </w:p>
    <w:p>
      <w:pPr>
        <w:spacing w:after="0" w:line="28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may choose not to continue developing or commercializing any of our product candidates at any time during development or after approval, which would reduce or eliminate our potential return on investment for those product candidates.</w:t>
      </w:r>
    </w:p>
    <w:p>
      <w:pPr>
        <w:spacing w:after="0" w:line="6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At any time, we may decide to discontinue the development or commercialization of any of our products or product candidates for a variety of reasons, including the appearance of new technologies that render our product obsolete, competition from a competing product or changes in or inability to comply with applicable regulatory requirements. If we terminate a program in which we have invested significant resources, we will not receive any return on our investment and we will have missed the opportunity to allocate those resources to potentially more productive uses.</w:t>
      </w:r>
    </w:p>
    <w:p>
      <w:pPr>
        <w:spacing w:after="0" w:line="29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8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As to any of our product candidates that become available by prescription only, our success will depend on the availability of coverage and adequate reimbursement for our product from third-party payors. Patients who are prescribed medicine for the treatment of their conditions generally rely on third-party payors to reimburse all or part of the costs associated with their prescription drugs. The availability of coverage and adequate reimbursement from governmental healthcare programs, such as Medicare and Medicaid, and private third-party payors is critical to new product acceptance. Coverage decisions may depend upon clinical and economic standards that disfavor new drug products when more established or lower cost therapeutic alternatives are already available or subsequently become available. If any of our product candidates fail to demonstrate attractive efficacy profiles, they may not qualify for coverage and reimbursement. Even if we obtain coverage for a given product, the resulting reimbursement payment rates might not be adequate or may require co-payments that patients find unacceptably high. Patients are unlikely to use our prescription-only products unless coverage is provided and reimbursement is adequate to cover a significant portion of the cost of our products.</w:t>
      </w:r>
    </w:p>
    <w:p>
      <w:pPr>
        <w:spacing w:after="0" w:line="21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 addition, the market for certain of our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w:t>
      </w:r>
    </w:p>
    <w:p>
      <w:pPr>
        <w:spacing w:after="0" w:line="202"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Further, third-party payors, whether foreign or domestic, or governmental or commercial, are developing increasingly sophisticated methods of controlling healthcare costs. In addition, in the United States, although private third-party payors tend to follow Medicare, no uniform policy of coverage and reimbursement for drug products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exists among third-party payors.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20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Further, we believe that future coverage and reimbursement will likely be subject to increased restrictions in both the United States and in international markets. Third-party coverage and reimbursement for any of our product candidates for which we may receive regulatory approval may not be available or adequate in either the United States or international markets, which could harm our business, financial condition, operating results and prospects.</w:t>
      </w:r>
    </w:p>
    <w:p>
      <w:pPr>
        <w:spacing w:after="0" w:line="29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currently have limited sales, marketing or distribution capabilities and have no experience as a company in commercializing products.</w:t>
      </w:r>
    </w:p>
    <w:p>
      <w:pPr>
        <w:spacing w:after="0" w:line="6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current sales and marketing organization consists of four employees, including our Chief Commercial Officer. To achieve commercial success for any product for which we obtain marketing approval, we will need to build a significantly more robust sales and marketing organization. We do not currently have any infrastructure for the sales, marketing, or distribution of any product, and the cost of establishing and maintaining such an organization may exceed the cost-effectiveness of doing so. In order to market any product that may be approved, we must build our sales, distribution, marketing, managerial and other nontechnical capabilities or make arrangements with third parties to perform these services.</w:t>
      </w:r>
    </w:p>
    <w:p>
      <w:pPr>
        <w:spacing w:after="0" w:line="208"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We currently expect to build a dermatologist-focused sales, distribution and marketing infrastructure to market our product candidates in North America, if approved.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our internal sales, marketing and distribution capabilities could delay any product launch, which would adversely impact its commercialization. If the commercial launch of any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1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any of our product candidates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91"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If we seek to market any products in our pipeline in countries other than the United States, we will need to comply with the regulations of each country in which we seek to market our products.</w:t>
      </w:r>
    </w:p>
    <w:p>
      <w:pPr>
        <w:spacing w:after="0" w:line="6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None of our product candidates are currently approved for sale by any government authority in any jurisdiction. If we fail to comply with regulatory requirements in any market we decide to enter, or to obtain and maintain required approvals, or if regulatory approvals in the relevant markets are delayed, our target market will be reduced and our ability to realize the full market potential of our product candidates will be harmed. Marketing approval in one jurisdiction, including the United States, does not ensure marketing approval in another, but a failure or delay in obtaining marketing approval in one jurisdiction may have a negative effect on the regulatory process in others. Failure to obtain a marketing approval in countries in which we seek to market our products or any delay or setback in obtaining such approval would impair our ability to develop foreign markets for any of our products.</w:t>
      </w:r>
    </w:p>
    <w:p>
      <w:pPr>
        <w:spacing w:after="0" w:line="293" w:lineRule="exact"/>
        <w:rPr>
          <w:sz w:val="20"/>
          <w:szCs w:val="20"/>
          <w:color w:val="auto"/>
        </w:rPr>
      </w:pPr>
    </w:p>
    <w:p>
      <w:pPr>
        <w:ind w:right="1240"/>
        <w:spacing w:after="0" w:line="287" w:lineRule="auto"/>
        <w:rPr>
          <w:sz w:val="20"/>
          <w:szCs w:val="20"/>
          <w:color w:val="auto"/>
        </w:rPr>
      </w:pPr>
      <w:r>
        <w:rPr>
          <w:rFonts w:ascii="Arial" w:cs="Arial" w:eastAsia="Arial" w:hAnsi="Arial"/>
          <w:sz w:val="18"/>
          <w:szCs w:val="18"/>
          <w:b w:val="1"/>
          <w:bCs w:val="1"/>
          <w:i w:val="1"/>
          <w:iCs w:val="1"/>
          <w:color w:val="auto"/>
        </w:rPr>
        <w:t>Our license agreements obligate us to make certain milestone payments, some of which will be triggered prior to our commercialization of any of our product candidates.</w:t>
      </w:r>
    </w:p>
    <w:p>
      <w:pPr>
        <w:spacing w:after="0" w:line="6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Certain of the milestone payments payable by us to AstraZeneca and Hengrui, are due upon events that will occur prior to our planned commercialization of the applicable product candidates. Accordingly, we will be required to make such payments prior to the time at which we are able to generate revenue, if any, from sales of any of our product candidates, if approved.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For example, upon regulatory approval from the FDA to commercialize roflumilast cream in the United States, but prior to commencement of commercialization or sales of roflumilast cream, we will be required to make certain milestone payments to AstraZeneca. We paid AstraZeneca the first milestone cash payment of $2.0 million upon the completion of a Phase 2b study of roflumilast cream in plaque psoriasis in August 2019 for the achievement of positive Phase 2 data for an AZ-Licensed Product (as defined below). We have agreed to make additional cash payments to AstraZeneca of up to an aggregate of $ 12.5 million upon the achievement of specified regulatory approval milestones with respect to products containing roflumilast in topical forms, as well as delivery systems sold with or for the administration of roflumilast, or collectively, AZ-Licensed Products, and payments up to an additional aggregate amount of $15.0 million upon the achievement of certain aggregate worldwide net sales milestones. With respect to any AZ-Licensed Products we commercialize under the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21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connection with the exercise of our exclusive option with Hengrui in December 2019, we made a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$200.0 million in sales-based milestones based on achieving certain aggregate annual net sales volumes with respect to a licensed product. With respect to any products we commercialize under the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the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210"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There can be no assurance that we will have the funds necessary to make such payments, or be able to raise such funds when needed, on terms acceptable to us, or at all. Furthermore, if we are forced to raise additional funds, we may be required to delay, limit, reduce or terminate our product development or future commercialization efforts, or grant rights to develop and market product candidates that we would otherwise develop and market ourselves. If we are unable to raise additional funds or maintain sufficient liquidity to make our payment obligations if and when they become due, including payment obligations under the license agreement with AstraZeneca and under the option and license agreement with Hengrui, we may be in material breach of our agreements and our counterparties may seek legal action or remedies against us (including by seeking to terminate the relevant agreements), which would harm our business, financial condition, results of operations and prospects.</w:t>
      </w:r>
    </w:p>
    <w:p>
      <w:pPr>
        <w:spacing w:after="0" w:line="29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targeting medical dermatological indications, and our operating results will suffer if we fail to compete effectively.</w:t>
      </w:r>
    </w:p>
    <w:p>
      <w:pPr>
        <w:spacing w:after="0" w:line="6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markets for dermatological therapies are competitive and are characterized by significant technological development and new product introduction. For example, there are several large and small pharmaceutical companies focused on delivering therapeutics for our targeted inflammatory and medical dermatological indications. We anticipate that, if we obtain regulatory approval of our product candidates, we will face significant competition from other approved therapies or drugs that become available in the future for the treatment of our target indications. If approved, our product candidates may also compete with unregulated, unapproved and off-label treatments. Even if another branded or generic product or OTC product is less effective than our product candidates, a less effective branded, generic or OTC product may be more quickly adopted by physicians and patients than our competing product candidates based upon cost or convenience.</w:t>
      </w:r>
    </w:p>
    <w:p>
      <w:pPr>
        <w:spacing w:after="0" w:line="207"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Certain of our product candidates, if approved, will have to compete with existing therapies, some of which are widely known and accepted by physicians and patients. To compete successfully in this market, we will have to demonstrate that the relative cost, safety and efficacy of our approved products, if any, provide an attractive alternative to existing and other new therapies to gain a share of some patients’ discretionary budgets and for</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physicians’ attention within their clinical practices. Some of the companies that offer competing products also have a broad range of other product offerings, large direct sales forces and long-term customer relationships with our target physicians, which could inhibit our market penetration efforts. Such competition could lead to reduced market share for our product candidates and contribute to downward pressure on the pricing of our product candidates, which could harm our business, financial condition, operating results and prospects.</w:t>
      </w:r>
    </w:p>
    <w:p>
      <w:pPr>
        <w:spacing w:after="0" w:line="204"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We are aware of several companies that are working to develop drugs that would compete against our product candidates for the treatment of psoriasis, atopic dermatitis, hand eczema, vitiligo and alopecia areata.</w:t>
      </w:r>
    </w:p>
    <w:p>
      <w:pPr>
        <w:spacing w:after="0" w:line="90" w:lineRule="exact"/>
        <w:rPr>
          <w:sz w:val="20"/>
          <w:szCs w:val="20"/>
          <w:color w:val="auto"/>
        </w:rPr>
      </w:pPr>
    </w:p>
    <w:p>
      <w:pPr>
        <w:ind w:right="240" w:firstLine="648"/>
        <w:spacing w:after="0" w:line="237" w:lineRule="auto"/>
        <w:rPr>
          <w:sz w:val="20"/>
          <w:szCs w:val="20"/>
          <w:color w:val="auto"/>
        </w:rPr>
      </w:pPr>
      <w:r>
        <w:rPr>
          <w:rFonts w:ascii="Arial" w:cs="Arial" w:eastAsia="Arial" w:hAnsi="Arial"/>
          <w:sz w:val="18"/>
          <w:szCs w:val="18"/>
          <w:color w:val="auto"/>
        </w:rPr>
        <w:t>For psoriasis, our primary competitors include injected biologic therapies such as Humira, marketed by AbbVie Inc. and Eisai Co., Ltd., and Enbrel, marketed by Amgen Inc. and Pfizer Inc.; non-injectable systemic therapies used to treat plaque psoriasis such as Otezla, marketed by Amgen Inc.; topical therapies such as branded and generic versions of clobetasol, such as Clobex, marketed by Galderma Laboratories, LP, generic versions of calcipotriene and the combination of betamethasone dipropionate/calcipotriene; and other treatments including various lasers and ultraviolet light-based therapies. In addition, there are several prescription product candidates under development that could potentially be used to treat psoriasis and compete with roflumilast cream, including topical tapinarof, under development by Dermavant Sciences, Inc., and PF-06700841, an oral Tyk2/JAK1 inhibitor under development by Pfizer, Inc.</w:t>
      </w:r>
    </w:p>
    <w:p>
      <w:pPr>
        <w:spacing w:after="0" w:line="230"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For atopic dermatitis, our primary competitors include topical therapies such as Eucrisa, marketed by Pfizer Inc., and generic and branded versions of low to mid-potency steroids such as hydrocortisone and betamethasone; and the injected biologic therapy Dupixent, marketed by Regeneron Pharmaceuticals, Inc. In addition, there are several prescription product candidates under development that could potentially be used to treat atopic dermatitis and compete with roflumilast cream, including but not limited to: topical tapinarof and topical cerdulatinib, both under development by Dermavant Sciences, Inc., topical ruxolitinib, under development by Incyte Corporation, topical delgocitinib, under development by LEO Pharma A/S and Japan Tobacco, Inc., topical PF-06700841, a Tyk2/JAK1 inhibitor under development by Pfizer, Inc., topical difamilast ointment, under development by Medimetriks/Otsuka Pharma, oral PF-04965842, under development by Pfizer Inc., oral upatacitinib, under development by AbbVie, Inc., and injectable lebrikizumab, under development by Eli Lilly and Company.</w:t>
      </w:r>
    </w:p>
    <w:p>
      <w:pPr>
        <w:spacing w:after="0" w:line="20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For hand eczema, our primary competitors include topical therapies such as branded and generic versions of clobetasol, such as Clobex, and generic versions of betamethasone dipropionate. The only other prescription product candidate we are aware of under development for the treatment of hand eczema that would compete with ARQ-252 is delgocitinib, which recently showed proof-of-concept in a Phase 2a trial and has been approved in a different formulation in Japan (Corectim).</w:t>
      </w:r>
    </w:p>
    <w:p>
      <w:pPr>
        <w:spacing w:after="0" w:line="20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vitiligo, our primary competitors include topical therapies such as generic and branded versions of calcineurin inhibitors, including Elidel, marketed by Bausch Health; branded and generic versions of high potency steroids, including Clobex, marketed by Galderma Laboratories, LP; and other treatments including various lasers and ultraviolet light-based therapies. In addition, there are several prescription product candidates under development that could potentially be used to treat vitiligo and compete with ARQ-252, including but not limited to: topical cerdulatinib, under development by Dermavant Sciences, Inc., topical ruxolitinib, under development by Incyte Corporation, and both oral PF-06651600 and oral PF-06700841, under development by Pfizer Inc.</w:t>
      </w:r>
    </w:p>
    <w:p>
      <w:pPr>
        <w:spacing w:after="0" w:line="20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alopecia areata, our primary competitors include topical therapies such as branded and generic versions of high potency steroids, including Clobex, marketed by Galderma Laboratories, LP; intralesional corticosteroid injections such as branded and generic versions of triamcinolone, including Kenalog, marketed by Bristol-Myers Squib; and systemic immunosuppressants including generic versions of systemic steroids such as prednisone, branded and generic versions of cyclosporine, including Sandimmune, marketed by Sandoz, and branded systemic JAK inhibitors, including Xeljanz, marketed by Pfizer, Inc. In addition, there are several prescription product candidates under development that could potentially be used to treat alopecia areata and compete with ARQ-255, including but not limited to: topical PF-06700841 and oral PF-06651600, under development by Pfizer, Inc., oral CTP-543, under development by Concert Pharmaceuticals, and oral baricitinib, under development by Eli Lilly and Company.</w:t>
      </w:r>
    </w:p>
    <w:p>
      <w:pPr>
        <w:spacing w:after="0" w:line="20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Many of our current and potential future competitors also have significantly more experience commercializing drugs that have been approved for marketing. Mergers and acquisitions in the pharmaceutical and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biotechnology industries could result in even more resources being concentrated among a smaller number of our competitors. Competition may reduce the number and types of patients available to us to participate in clinical trials, because some patients who might have opted to enroll in our trials may instead opt to enroll in a trial being conducted by one of our competitors.</w:t>
      </w:r>
    </w:p>
    <w:p>
      <w:pPr>
        <w:spacing w:after="0" w:line="20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Due to less stringent regulatory requirements in certain foreign countries, there are many more dermatological products and procedures available for use in those international markets than are approved for use in the United States. In certain international markets, there are also fewer limitations on the claims that our competitors can make about the effectiveness of their products and the manner in which they can market their products. As a result, we expect to face more competition in these markets than in the United States.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compete successfully will depend largely on our ability to:</w:t>
      </w:r>
    </w:p>
    <w:p>
      <w:pPr>
        <w:spacing w:after="0" w:line="117" w:lineRule="exact"/>
        <w:rPr>
          <w:sz w:val="20"/>
          <w:szCs w:val="20"/>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commercialize therapies that are superior to other products in the market;</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technologies and product;</w:t>
      </w:r>
    </w:p>
    <w:p>
      <w:pPr>
        <w:spacing w:after="0" w:line="117"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required regulatory approvals, including approvals to market our product candidates in ways that are differentiated from existing and future therapies and OTC products and treatments;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commercialize our product candidates, if approved;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collaborate with pharmaceutical companies in the discovery, development and commercialization of new therapies.</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develop. The inability to compete with existing or subsequently introduced drugs or OTC treatments would have an adverse impact on our business, financial condition and prospects.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executing our growth strategy and managing any growth.</w:t>
      </w:r>
    </w:p>
    <w:p>
      <w:pPr>
        <w:spacing w:after="0" w:line="6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As of September 30, 2020, we had 53 full-time employees. We will need to continue to expand our managerial, operational, finance and other resources in order to manage our operations and clinical trials, continue our development activities and commercialize our lead product candidates or any future product candidates.</w:t>
      </w:r>
    </w:p>
    <w:p>
      <w:pPr>
        <w:spacing w:after="0" w:line="202"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Our management and personnel, systems and facilities currently in place are not adequate to support our future growth. In order to effectively execute our growth strategy, we will need to identify, recruit, retain, incentivize and integrate additional employees in order to expand our ability to:</w:t>
      </w:r>
    </w:p>
    <w:p>
      <w:pPr>
        <w:spacing w:after="0" w:line="94" w:lineRule="exact"/>
        <w:rPr>
          <w:sz w:val="20"/>
          <w:szCs w:val="20"/>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internal development and operational efforts effectively while carrying out our contractual obligations to third parties;</w:t>
      </w:r>
    </w:p>
    <w:p>
      <w:pPr>
        <w:spacing w:after="0" w:line="117" w:lineRule="exact"/>
        <w:rPr>
          <w:rFonts w:ascii="Arial" w:cs="Arial" w:eastAsia="Arial" w:hAnsi="Arial"/>
          <w:sz w:val="18"/>
          <w:szCs w:val="18"/>
          <w:color w:val="auto"/>
        </w:rPr>
      </w:pPr>
    </w:p>
    <w:p>
      <w:pPr>
        <w:ind w:left="820" w:right="64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improve our operational, financial, management and regulatory compliance controls and reporting systems and procedures;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 marketing, sales and distribution capability;</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commercialization activities for our product candidates effectively and in a cost-effective manner;</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and maintain relationships with development and commercialization partners; and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right="40" w:hanging="164"/>
        <w:spacing w:after="0" w:line="26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third-party supply and manufacturing operations effectively and in a cost-effective manner, while increasing production capabilities for our current product candidates to commercial levels.</w:t>
      </w:r>
    </w:p>
    <w:p>
      <w:pPr>
        <w:spacing w:after="0" w:line="198" w:lineRule="exact"/>
        <w:rPr>
          <w:sz w:val="20"/>
          <w:szCs w:val="20"/>
          <w:color w:val="auto"/>
        </w:rPr>
      </w:pPr>
    </w:p>
    <w:p>
      <w:pPr>
        <w:ind w:right="280" w:firstLine="648"/>
        <w:spacing w:after="0" w:line="291" w:lineRule="auto"/>
        <w:rPr>
          <w:sz w:val="20"/>
          <w:szCs w:val="20"/>
          <w:color w:val="auto"/>
        </w:rPr>
      </w:pPr>
      <w:r>
        <w:rPr>
          <w:rFonts w:ascii="Arial" w:cs="Arial" w:eastAsia="Arial" w:hAnsi="Arial"/>
          <w:sz w:val="17"/>
          <w:szCs w:val="17"/>
          <w:color w:val="auto"/>
        </w:rPr>
        <w:t>If we are unable to successfully identify, recruit, retain, incentivize and integrate additional employees and otherwise expand our managerial, operational, finance and other resources, our business and operational performance will be materially and adversely affected.</w:t>
      </w:r>
    </w:p>
    <w:p>
      <w:pPr>
        <w:spacing w:after="0" w:line="26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If we are not successful in acquiring, developing, and commercializing additional product candidates, our ability to expand our business and achieve our strategic objectives would be impaired.</w:t>
      </w:r>
    </w:p>
    <w:p>
      <w:pPr>
        <w:spacing w:after="0" w:line="6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Although a substantial amount of our effort will focus on the continued preclinical and clinical testing and potential approval of our current product candidates, a key element of our strategy is to acquire, develop and commercialize a diverse portfolio of product candidates to serve the dermatology market. We do not currently intend to conduct drug discovery or research and development efforts to discover new product candidates, but rather we intend to acquire or in-license rights to existing molecules to develop for dermatological indications. In addition, while we believe that our strategy allows us to move more rapidly through clinical development and at a potentially lower cost, we may be unable to progress product candidates more quickly or at a lower cost.</w:t>
      </w:r>
    </w:p>
    <w:p>
      <w:pPr>
        <w:spacing w:after="0" w:line="20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In the event we seek to identify and acquire or in-license additional product candidates in the dermatology field, our process for doing so may be slow and may ultimately be unsuccessful for a number of reasons, including those discussed in these risk factors and also:</w:t>
      </w:r>
    </w:p>
    <w:p>
      <w:pPr>
        <w:spacing w:after="0" w:line="90" w:lineRule="exact"/>
        <w:rPr>
          <w:sz w:val="20"/>
          <w:szCs w:val="20"/>
          <w:color w:val="auto"/>
        </w:rPr>
      </w:pPr>
    </w:p>
    <w:p>
      <w:pPr>
        <w:ind w:left="820" w:right="260" w:hanging="164"/>
        <w:spacing w:after="0" w:line="261"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candidates may, upon further study, be shown to have harmful side effects or other characteristics that indicate that they are unlikely to be products that will receive marketing approval and achieve market acceptance;</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w:t>
      </w:r>
    </w:p>
    <w:p>
      <w:pPr>
        <w:spacing w:after="0" w:line="117" w:lineRule="exact"/>
        <w:rPr>
          <w:rFonts w:ascii="Arial" w:cs="Arial" w:eastAsia="Arial" w:hAnsi="Arial"/>
          <w:sz w:val="18"/>
          <w:szCs w:val="18"/>
          <w:color w:val="auto"/>
        </w:rPr>
      </w:pPr>
    </w:p>
    <w:p>
      <w:pPr>
        <w:ind w:left="820" w:right="260" w:hanging="164"/>
        <w:spacing w:after="0" w:line="256"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or in-licensing transactions can entail numerous operational and functional risks, including exposure to unknown liabilities, disruption of our business, or incurrence of substantial debt or dilutive issuances of equity securities to pay transaction consideration or costs, or higher than expected acquisition or integration costs.</w:t>
      </w:r>
    </w:p>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may choose to focus our efforts and resources on an in-licensing or acquiring a potential product candidate that ultimately proves to be unsuccessful. We also cannot be certain that, following an acquisition or in-licensing transaction, we will achieve the revenue or specific net income that justifies such transaction. If we are unable to identify and acquire suitable product candidates for clinical development, this would adversely impact our business strategy, our financial position and share price.</w:t>
      </w:r>
    </w:p>
    <w:p>
      <w:pPr>
        <w:spacing w:after="0" w:line="290"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future product candidates.</w:t>
      </w:r>
    </w:p>
    <w:p>
      <w:pPr>
        <w:spacing w:after="0" w:line="6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may seek collaboration arrangements for the commercialization, or potentially for the development, of certain of our product candidates depending on the merits of retaining commercialization rights for ourselves as compared to entering into collaboration arrangements. We will face, to the extent that we decide to enter into collaboration agreements, significant competition in seeking appropriate collaborators. Moreover, collaboration arrangements are complex and time-consuming to negotiate, document, implement and maintain. We may not be successful in our efforts to establish and implement collaborations or other alternative arrangements should we so chose to enter into such arrangements. The terms of any collaborations or other arrangements that we may establish may not be favorable to us. Any future collaborations that we enter into may not be successful. The success of our collaboration arrangements will depend heavily on the efforts and activities of our collaborators. Collaborations are subject to numerous risks, which may include risks that:</w:t>
      </w:r>
    </w:p>
    <w:p>
      <w:pPr>
        <w:spacing w:after="0" w:line="97" w:lineRule="exact"/>
        <w:rPr>
          <w:sz w:val="20"/>
          <w:szCs w:val="20"/>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17" w:lineRule="exact"/>
        <w:rPr>
          <w:rFonts w:ascii="Arial" w:cs="Arial" w:eastAsia="Arial" w:hAnsi="Arial"/>
          <w:sz w:val="18"/>
          <w:szCs w:val="18"/>
          <w:color w:val="auto"/>
        </w:rPr>
      </w:pPr>
    </w:p>
    <w:p>
      <w:pPr>
        <w:jc w:val="both"/>
        <w:ind w:left="820" w:right="100" w:hanging="164"/>
        <w:spacing w:after="0" w:line="254"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right="10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89" w:lineRule="exact"/>
        <w:rPr>
          <w:rFonts w:ascii="Arial" w:cs="Arial" w:eastAsia="Arial" w:hAnsi="Arial"/>
          <w:sz w:val="18"/>
          <w:szCs w:val="18"/>
          <w:color w:val="auto"/>
        </w:rPr>
      </w:pPr>
    </w:p>
    <w:p>
      <w:pPr>
        <w:ind w:left="820" w:right="62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89" w:lineRule="exact"/>
        <w:rPr>
          <w:rFonts w:ascii="Arial" w:cs="Arial" w:eastAsia="Arial" w:hAnsi="Arial"/>
          <w:sz w:val="18"/>
          <w:szCs w:val="18"/>
          <w:color w:val="auto"/>
        </w:rPr>
      </w:pPr>
    </w:p>
    <w:p>
      <w:pPr>
        <w:ind w:left="820" w:right="56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sales, marketing, manufacturing and distribution rights to one or more products may not commit sufficient resources to or otherwise not perform satisfactorily in carrying out these activities;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3" w:lineRule="exact"/>
        <w:rPr>
          <w:rFonts w:ascii="Arial" w:cs="Arial" w:eastAsia="Arial" w:hAnsi="Arial"/>
          <w:sz w:val="18"/>
          <w:szCs w:val="18"/>
          <w:color w:val="auto"/>
        </w:rPr>
      </w:pPr>
    </w:p>
    <w:p>
      <w:pPr>
        <w:jc w:val="both"/>
        <w:ind w:left="820" w:right="980" w:hanging="164"/>
        <w:spacing w:after="0" w:line="256"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93"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w:t>
      </w:r>
    </w:p>
    <w:p>
      <w:pPr>
        <w:spacing w:after="0" w:line="89"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results from our collaborating with them, and in such cases, we would not have the exclusive right to develop or commercialize such intellectual property;</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 and</w:t>
      </w:r>
    </w:p>
    <w:p>
      <w:pPr>
        <w:spacing w:after="0" w:line="117"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9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Furthermore, we cannot assure you that following any such collaboration, or other strategic transaction, we will achieve the expected synergies to justify the transaction. For example, such transactions may require us to incur non-recurring or other charges, increase our near-and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w:t>
      </w:r>
    </w:p>
    <w:p>
      <w:pPr>
        <w:spacing w:after="0" w:line="29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6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Chief Executive Officer, Todd Franklin Watanabe and our Chief Technical Officer, David W. Osborne, Ph.D, and our Chief Medical Officer, Patrick Burnett, M.D., Ph.D. The loss of the services of any of these individuals could impede, delay or prevent the successful development of our product pipeline, completion of our planned clinical trials, commercialization of our products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that vest over time. The value to employees of stock options and restricted stock units that vest over time will be significantly affected by movements in our stock price that are beyond our control, and may at any time be insufficient to counteract offers from other companies.</w:t>
      </w:r>
    </w:p>
    <w:p>
      <w:pPr>
        <w:spacing w:after="0" w:line="20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might not be able to attract or retain qualified management and other key personnel in the future due to the intense competition for qualified personnel among biotechnology, pharmaceutical and other businesses, particularly in the Northern Los Angeles Area where we are headquartered. We could have difficulty attracting experienced personnel to our company and may be required to expend significant financial resources in our employee recruitment and retention efforts. Many of the other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20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290" w:lineRule="exact"/>
        <w:rPr>
          <w:sz w:val="20"/>
          <w:szCs w:val="20"/>
          <w:color w:val="auto"/>
        </w:rPr>
      </w:pPr>
    </w:p>
    <w:p>
      <w:pPr>
        <w:ind w:right="1440"/>
        <w:spacing w:after="0" w:line="28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or future product candidates.</w:t>
      </w:r>
    </w:p>
    <w:p>
      <w:pPr>
        <w:spacing w:after="0" w:line="67"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warranty.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97" w:lineRule="exact"/>
        <w:rPr>
          <w:sz w:val="20"/>
          <w:szCs w:val="20"/>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current or future product candidates;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our current or any future product candidates.</w:t>
      </w:r>
    </w:p>
    <w:p>
      <w:pPr>
        <w:spacing w:after="0" w:line="22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inability to obtain and maintain sufficient product liability insurance at an acceptable cost and scope of coverage to protect against potential product liability claims could prevent or inhibit the commercialization of our current or any future product candidates we develop. Although we currently carry product liability insurance covering our clinical trials,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 able to obtain, sufficient funds to pay such amounts. Moreover, in the future, we may not be able to maintain insurance coverage at a reasonable cost or in sufficient amounts to protect us against losses. If and when we obtain approval for marketing any of our product candidates, we intend to expand our insurance coverage to include the sale of such product candidate; however, we may be unable to obtain this liability insurance on commercially reasonable terms or at all.</w:t>
      </w:r>
    </w:p>
    <w:p>
      <w:pPr>
        <w:spacing w:after="0" w:line="29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As a new public company, we will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90"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completed our IPO in January 2020 and are subject to public company reporting obligations under the Securities Exchange Act of 1934, as amended, or the Exchange Act, We will incur significant legal, accounting and other expenses as a public company, including costs resulting from such public company reporting obligations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20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Beginning with our next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including, but not limited to, not being required to comply with the auditor attestation requirements of Section 404. Once we are no longer an emerging growth company and otherwise do not meet the definition of a "smaller reporting company" and non-accelerated filer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the last day of our fiscal year following the fifth anniversary of the completion of our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21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addition, we are implementing an enterprise resource planning (ERP) system for our company. An ERP system is intended to combine and streamline the management of our financial, accounting, human resources, sales and marketing and other functions, enabling us to manage operations and track performance more effectively. However, the ERP system is requiring us to complete many processes and procedures for the effective use of the system or to run our business using the system, which may result in substantial costs. Additionally, during the conversion process, we may be limited in our ability to convert any business that we acquire to the ERP. Any disruptions or difficulties in implementing or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20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results, cause investors to lose confidence in our reported financial information and cause the trading price of our stock to fall. In addition, as a public company we will be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to our business.</w:t>
      </w:r>
    </w:p>
    <w:p>
      <w:pPr>
        <w:spacing w:after="0" w:line="290"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6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A global financial crisis or a global or regional political disruption could cause extreme volatility in the capital and credit markets. For example, outbreaks of epidemic, pandemic, or contagious diseases, such as the recent COVID-19 outbreak, could disrupt our business. Business disruptions could include disruptions to the enrollment, clinical site availability, patient accessibility and conduct of our clinical trials, as well as temporary closures of the facilities of suppliers or contract manufacturers in the biotechnology supply chain. In addition, the COVID-19 outbreak may result in a severe economic downturn and has already significantly affected the financial markets of many countries. A severe or prolonged economic downturn or political disruption could result in a variety of risks to our business, including our ability to raise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29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Our corporate headquarters and other facilities are located in the Northern Los Angeles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If a natural disaster, power outage or other event occurred, including an epidemic, pandemic or contagious disease outbreak such as COVID-19 that disrupted operations, we may experience difficulties in operating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9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Furthermore, our third-party manufacturers or suppliers are similarly vulnerable to natural disasters or other sudden, unforeseen and severe adverse events. If such an event were to affect our supply chain, it could have a material adverse effect on our business.</w:t>
      </w:r>
    </w:p>
    <w:p>
      <w:pPr>
        <w:spacing w:after="0" w:line="28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or those of our CROs or other contractors or consultants we may utilize, could harm our business. Security breaches, cyber-attacks, loss of data, and other disruptions could compromise sensitive information related to our business or prevent us from accessing critical information and expose us to liability, which could adversely affect our business, results of operations, financial condition and prospects.</w:t>
      </w:r>
    </w:p>
    <w:p>
      <w:pPr>
        <w:spacing w:after="0" w:line="9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204"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if applicable, including the Health Insurance Portability and Accountability Act of 1996 (HIPAA), as amended by the Health Information Technology for Clinical Health Act of 2009 (HITECH), and its implementing rules and regulations, as well as regulations promulgated by the Federal Trade Commission and state breach notification laws. By way of example, on June 28, 2018, California enacted the California Consumer Privacy Act (CCPA), which took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similar laws have been proposed at the federal level and in other states as well as in non-U.S. jurisdictions. We would also be exposed to a risk of loss or litigation and potential liability, which could materially adversely affect our business, results of operations and financial condition.</w:t>
      </w:r>
    </w:p>
    <w:p>
      <w:pPr>
        <w:spacing w:after="0" w:line="311"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b w:val="1"/>
          <w:bCs w:val="1"/>
          <w:i w:val="1"/>
          <w:iCs w:val="1"/>
          <w:color w:val="auto"/>
        </w:rPr>
        <w:t>Our future commercial partners, as well as our employees and independent contractors, including principal investigators, consultants, suppliers, service providers and other vendors may engage in misconduct or other improper activities, including noncompliance with regulatory standards and requirements, which could have an adverse effect on our results of operations</w:t>
      </w:r>
    </w:p>
    <w:p>
      <w:pPr>
        <w:spacing w:after="0" w:line="6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are exposed to the risk that our future commercial partners, as well as our employees and independent contractors, including principal investigators,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6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owned by us, including the components of our product and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We currently rely on single source third-party manufacturers to manufacture preclinical and clinical supplies of our product candidates and we intend to rely on third parties to produce commercial supplies of any approved product candidate. The loss of these manufacturers, or their failure to provide us with sufficient quantities at acceptable quality levels or prices, or at all, would materially and adversely affect our business.</w:t>
      </w:r>
    </w:p>
    <w:p>
      <w:pPr>
        <w:spacing w:after="0" w:line="9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do not currently have nor do we plan to build or acquire the infrastructure or capability internally to manufacture supplies of our product candidates or the materials necessary to produce our product candidates for use in the conduct of our preclinical studies or clinical trials, and we lack the internal resources and the capability to manufacture any of our product candidates on a preclinical, clinical or commercial scale. Instead, we currently rely on single source third-party manufacturers to manufacture preclinical and clinical supplies of our product candidates and we intend to rely on third parties to produce commercial supplies of any approved product candidate. In the fourth quarter of 2019, we received a batch of our product candidate that we believe is representative of our anticipated early commercial batch requirements. However, as a late-stage company with no prior history of product sales or commercialization of products, representative batches of our product candidate received to date may not represent what will be required to meet our future commercial requirements or be manufactured at scale.</w:t>
      </w:r>
    </w:p>
    <w:p>
      <w:pPr>
        <w:spacing w:after="0" w:line="21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and the manufacturers of our products rely on suppliers of raw materials used in the production of our products. Some of these materials are available from only one source. Additionally, we have not yet engaged any manufacturer for the commercial supply of our product candidates. Although we intend to enter into such agreements prior to commercial launch of any of our product candidates, we may be unable to enter into any such agreement or do so on commercially reasonable terms, which could have a material adverse impact upon our business. Moreover, if there is a disruption to one or more of our third-party suppliers’ relevant operations, or if we are unable to enter into arrangements for the commercial manufacture of our product candidates, we will have no other means of producing our lead product candidates until they restore the affected facilities or we or they procure alternative manufacturing facilities or sources of supply. Our ability to progress our preclinical and clinical programs could be materially and adversely impacted if any of the third-party suppliers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third-party manufacturer’s facilities or equipment may significantly impair our ability to manufacture our product candidates on a timely basis.</w:t>
      </w:r>
    </w:p>
    <w:p>
      <w:pPr>
        <w:spacing w:after="0" w:line="210"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Furthermore, there are a limited number of suppliers for materials we use in our product candidates, which exposes us to the risk of disruption in the supply of the materials necessary to manufacture our product candidates for our preclinical studies and clinical trials, and if approved, ultimately for commercial sale. In the case of ARQ-252</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and ARQ-255, we have an agreement with Hengrui for the supply of SHR0302 API for preclinical studies and clinical trials. We do not have any control over the process or timing of the acquisition or manufacture of materials by our manufacturers. In addition, any significant delay in, or quality control problems with respect to, the supply of a product candidate, or the raw material components thereof, for an ongoing study or trial could considerably delay completion of our preclinical studies or clinical trials, product testing and potential regulatory approval of our product candidates.</w:t>
      </w:r>
    </w:p>
    <w:p>
      <w:pPr>
        <w:spacing w:after="0" w:line="20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addition, to manufacture our product candidates in the quantities that we believe would be required to meet anticipated market demand, our third-party manufacturers may need to increase manufacturing capacity and, in some cases, we plan to secure alternative sources of commercial supply, which could involve significant challenges and may require additional regulatory approvals Neither we nor our third-party manufacturers may successfully complete any required increase to existing manufacturing capacity in a timely manner, or at all. If our manufacturers or we are unable to purchase the raw materials necessary for the manufacture of our product candidates on acceptable terms, at sufficient quality levels, or in adequate quantities, if at all, the commercial launch of our lead product candidates or any future product candidates would be delayed or there would be a shortage in supply, which would impair our ability to generate revenues from the sale of such product candidates, if approved.</w:t>
      </w:r>
    </w:p>
    <w:p>
      <w:pPr>
        <w:spacing w:after="0" w:line="20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loss of these suppliers, or their failure to comply with applicable regulatory requirements or to provide us with sufficient quantities at acceptable quality levels or prices, or at all, would materially and adversely affect our business.</w:t>
      </w:r>
    </w:p>
    <w:p>
      <w:pPr>
        <w:spacing w:after="0" w:line="2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our third-party manufacturers fail to comply with manufacturing or other regulations, our financial results and financial condition will be adversely affected.</w:t>
      </w:r>
    </w:p>
    <w:p>
      <w:pPr>
        <w:spacing w:after="0" w:line="67"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comparable regulatory authorities in foreign jurisdictions, we may not be able to rely on their manufacturing facilities for the manufacture or our product candidates.</w:t>
      </w:r>
    </w:p>
    <w:p>
      <w:pPr>
        <w:spacing w:after="0" w:line="202"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Before beginning commercial manufacture of roflumilast cream, roflumilast foam, ARQ-252 or ARQ-255, the process and systems used in the manufacture of roflumilast cream, roflumilast foam, ARQ-252 or ARQ-255 must be approved and each facility must have a compliance status that is acceptable to the FDA and other regulatory authorities.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Furthermore, although we do not have day-to-day control over the operations of our contract manufacturers, we are responsible for ensuring compliance with applicable laws and regulations, including cGMPs.</w:t>
      </w:r>
    </w:p>
    <w:p>
      <w:pPr>
        <w:spacing w:after="0" w:line="205"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If a third-party manufacturer with whom we contract is unable to comply with applicable laws and regulations, including cGMPs, roflumilast cream, roflumilast foam, ARQ-252 or ARQ-255 may not be approved, or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2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8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do not have the ability to independently conduct non-clinical studies and clinical trials. We rely on third parties, such as CROs, to conduct preclinical studies and clinical trials of roflumilast cream, roflumilast foam, ARQ-252 and ARQ-255. The third parties with whom we contract for execution of our preclinical studies and clinical trials play a significant role in the conduct of these studies and trials and the subsequent collection and analysis of data. However, these third parties are not our employees, and except for contractual duties and obligations, we have limited ability to control the amount or timing of resources that they devote to our programs. These third parties may also have relationships with other commercial entities, some of which may compete with us. In some cases, these third parties could terminate their agreements with us without cause. Furthermore, external events such as the COVID-19 pandemic could interfere with some operations of these CROs.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Although we rely on third parties to conduct our preclinical studies and clinical trials, we remain responsible for ensuring that each of our preclinical studies and clinical trials is conducted in accordance with its investigational plan and protocol. Moreover, the FDA and foreign regulatory authorities require us to comply with regulations and standards, including some regulations commonly referred to as good clinical practices, or GCPs, for conducting, monitoring, recording and reporting the results of clinical trials to ensure that the data and results are scientifically credible and accurate, and that appropriate human subjects protections are in place, including that the trial subjects are adequately informed of the potential risks and other consequences of participating in clinical trials.</w:t>
      </w:r>
    </w:p>
    <w:p>
      <w:pPr>
        <w:spacing w:after="0" w:line="20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the execution of non-clinical studies and clinical trials, and the subsequent compilation and analysis of the data produced, requires coordination among various parties. In order for these functions to be carried out effectively and efficiently, it is imperative that these parties communicate and coordinate with one another. 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enter into new arrangements with alternative third parties, which could be difficult, costly or impossible, and our clinical trials may be extended, delayed or terminated or may need to be repeated, which would have a material adverse effect on our business.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may not be able to obtain, maintain or enforce patent rights or other intellectual property rights that cover our product candidates and technologies that are of sufficient breadth to prevent third parties from competing against us.</w:t>
      </w:r>
    </w:p>
    <w:p>
      <w:pPr>
        <w:spacing w:after="0" w:line="6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Our success with respect to our product candidates and technologies will depend in part on our and our licensors’ ability to obtain and maintain patent protection in both the United States and other countries, to preserve our trade secrets and to prevent third parties from infringing upon our proprietary rights. Our ability to protect any of our product candidates from unauthorized or infringing use by third parties depends in substantial part on our ability to obtain and maintain valid and enforceable patents.</w:t>
      </w:r>
    </w:p>
    <w:p>
      <w:pPr>
        <w:spacing w:after="0" w:line="20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patent portfolio includes patents and patent applications in the United States and foreign jurisdictions where we believe there is a market opportunity for our products. The covered technology and the scope of coverage vary from country to country. For those countries where we do not have granted patents, we may not have any ability to prevent the unauthorized use of our technologies. Any patents that we may obtain may be narrow in scope and thus easily circumvented by competitors. Further, in countries where we do not have granted patents, third parties may be able to make, use or sell products identical to or substantially similar to, our product candidates.</w:t>
      </w:r>
    </w:p>
    <w:p>
      <w:pPr>
        <w:spacing w:after="0" w:line="20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The patent application process, also known as patent prosecution, is expensive and time-consuming, and we and our current licensors, or any future licensors or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our patents and applications may not be prosecuted, and as a result may not be able to be enforced in a manner consistent with the best interests of our business.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to our processes, methods, and know-how which we consider our trade secrets. Any of these outcomes could impair our ability to prevent competition from third parties, which may have an adverse impact on our business, financial condition and operating results.</w:t>
      </w:r>
    </w:p>
    <w:p>
      <w:pPr>
        <w:spacing w:after="0" w:line="211"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Due to legal standards relating to patentability, validity, enforceability and claim scope of patents covering pharmaceutical inventions, our and our licensor’s ability to obtain, maintain and enforce patents is uncertain and involves complex legal and factual questions. Accordingly, rights under our existing patents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 In addition, we cannot guarantee that any patents will issue from any pending or future patent applications owned by or licensed to us. Even with respect to our patents that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have issued or will issue, we cannot guarantee that the claims of these patents are or will be held valid or enforceable by the courts or will provide us with any significant protection against competitive products or otherwise be commercially valuable to us.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21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Competitors in the field of dermatologic therapeutics have created a substantial amount of prior art, including scientific publications, patents and patent applications. Our ability to obtain and maintain valid and enforceable patents depends on whether the differences between our technology and the prior art allow our technology to be patentable over the prior art. Although we believe that our technology includes certain inventions that are unique and not duplicative of any prior art, we do not have outstanding issued patents covering all of the recent developments in our technology and we are unsure of the patent protection that we will be successful in obtaining, if any, over such aspects of our technology. Even if patents do successfully issue covering such aspects of our technology, third parties may design around or challenge the validity, enforceability or scope of such issued patents or any other issued patents we own or license, which may result in such patents being narrowed, invalidated or held unenforceable. If the breadth or strength of protection provided by the patents we own or license with respect to our product candidates is challenged, it could dissuade companies from collaborating with us to develop, or threaten our ability to commercialize, our product candidates. Even if the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21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laws of some foreign jurisdictions do not provide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in foreign jurisdictions, our business prospects could be substantially harmed. The patent positions of pharmaceutical and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Accordingly, we cannot predict the breadth of claims that may be allowed or enforced in our patents or in third-party patents.</w:t>
      </w:r>
    </w:p>
    <w:p>
      <w:pPr>
        <w:spacing w:after="0" w:line="207"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90" w:lineRule="exact"/>
        <w:rPr>
          <w:sz w:val="20"/>
          <w:szCs w:val="20"/>
          <w:color w:val="auto"/>
        </w:rPr>
      </w:pPr>
    </w:p>
    <w:p>
      <w:pPr>
        <w:ind w:left="820" w:right="160" w:hanging="164"/>
        <w:spacing w:after="0" w:line="261"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invent or the first to file the inventions covered by each of our pending patent applications and issued patents;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7"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patents we obtain or our licensors’ issued patents may not encompass commercially viable products, may not provide us with any competitive advantages or may be challenged by third parties;</w:t>
      </w:r>
    </w:p>
    <w:p>
      <w:pPr>
        <w:spacing w:after="0" w:line="89" w:lineRule="exact"/>
        <w:rPr>
          <w:rFonts w:ascii="Arial" w:cs="Arial" w:eastAsia="Arial" w:hAnsi="Arial"/>
          <w:sz w:val="18"/>
          <w:szCs w:val="18"/>
          <w:color w:val="auto"/>
        </w:rPr>
      </w:pPr>
    </w:p>
    <w:p>
      <w:pPr>
        <w:ind w:left="820" w:right="20" w:hanging="164"/>
        <w:spacing w:after="0" w:line="256"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some product candidates, we expect that composition of matter patent protection for the active pharmaceutical ingredient will not be available at the time we expect to commercialize, and we will therefore need to rely on formulation, method of use and other forms of claims for patent protection;</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the extensive period of time between patent filing and regulatory approval for a product candidate limits the time during which we can market a product candidate under patent protection, which may particularly affect the profitability of our early-stage product candidates. Our issued U.S. patents relating to roflumilast cream and roflumilast foam with claims directed to, among other things, formulating roflumilast in combination with hexylene glycol are currently projected to expire on June 7, 2037 and the issued U.S. patents which we have exclusive rights to from Hengrui as a result of the exercise of our exclusive option with Hengrui in December 2019 for the amount of $1.5 million cash, related to the composition of matter of the active ingredient in ARQ-252 and ARQ-255 (or bisulfate or crystal forms thereof) are currently projected to expire between January 21, 2033 and October 15, 2035 unless a patent term extension is granted. Proprietary trade secrets and unpatented know-how are also very important to our business. Although we have taken steps to protect our trade secrets and unpatented know-how by entering into confidentiality agreements with third parties, and intellectual property protection agreements with certain employees, consultants and advisors, third parties may still obtain this information or we may be unable to protect our rights. We also have limited control over the protection of trade secrets used by our suppliers, manufacturers and other third parties. There can be no assurance that binding agreements will not be breached, that we would have adequate remedies for any breach or that our trade secrets and unpatented know-how will not otherwise become known or be independently discovered by our competitors. If trade secrets are independently discovered, we would not be able to prevent their use. Enforcing a claim that a third party illegally obtained and is using our trade secrets or unpatented know-how is expensive and time-consuming, and the outcome is unpredictable. In addition, courts outside the United States may be less willing to protect trade secret information.</w:t>
      </w:r>
    </w:p>
    <w:p>
      <w:pPr>
        <w:spacing w:after="0" w:line="29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roflumilast cream, roflumilast foam, ARQ-252, ARQ-255 or any future product candidates.</w:t>
      </w:r>
    </w:p>
    <w:p>
      <w:pPr>
        <w:spacing w:after="0" w:line="67" w:lineRule="exact"/>
        <w:rPr>
          <w:sz w:val="20"/>
          <w:szCs w:val="20"/>
          <w:color w:val="auto"/>
        </w:rPr>
      </w:pPr>
    </w:p>
    <w:p>
      <w:pPr>
        <w:ind w:right="120" w:firstLine="648"/>
        <w:spacing w:after="0" w:line="265" w:lineRule="auto"/>
        <w:rPr>
          <w:sz w:val="20"/>
          <w:szCs w:val="20"/>
          <w:color w:val="auto"/>
        </w:rPr>
      </w:pPr>
      <w:r>
        <w:rPr>
          <w:rFonts w:ascii="Arial" w:cs="Arial" w:eastAsia="Arial" w:hAnsi="Arial"/>
          <w:sz w:val="17"/>
          <w:szCs w:val="17"/>
          <w:color w:val="auto"/>
        </w:rPr>
        <w:t>There have been many lawsuits and other proceedings asserting patents and other intellectual property rights in the pharmaceutical and biotechnology industries. We cannot assure you that our exploitation of roflumilast cream, roflumilast foam, ARQ-252 or ARQ-255 will not infringe existing or future third-party patents. Because patent applications can take many years to issue and may be confidential for</w:t>
      </w:r>
    </w:p>
    <w:p>
      <w:pPr>
        <w:spacing w:after="0" w:line="253" w:lineRule="auto"/>
        <w:rPr>
          <w:sz w:val="20"/>
          <w:szCs w:val="20"/>
          <w:color w:val="auto"/>
        </w:rPr>
      </w:pPr>
      <w:r>
        <w:rPr>
          <w:rFonts w:ascii="Arial" w:cs="Arial" w:eastAsia="Arial" w:hAnsi="Arial"/>
          <w:sz w:val="18"/>
          <w:szCs w:val="18"/>
          <w:color w:val="auto"/>
        </w:rPr>
        <w:t>18 months or more after filing, there may be applications now pending of which we are unaware and which may later result in issued patents that we may infringe by commercializing roflumilast cream, roflumilast foam, ARQ-252 or ARQ-255. Moreover, we may face claims from non-practicing entities that have no relevant product revenue and against whom our own patent portfolio may thus have no deterrent effect. We may be unaware of one or more issued patents that would be infringed by the manufacture, sale or use of roflumilast cream, roflumilast foam, ARQ-252 or ARQ-255.</w:t>
      </w:r>
    </w:p>
    <w:p>
      <w:pPr>
        <w:spacing w:after="0" w:line="20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may be subject to third-party claims in the future against us or our collaborators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collaborators against such claims. If a patent infringement suit were brought against us or our future collaborators, we or they could be forced to stop or delay research, development, manufacturing or sales of the product or product candidate that is the subject of the suit. As a result of patent infringement claims, or in order to avoid potential claims, we or our collaborators may choose to seek, or be required to seek, a license from the third-party and would most likely be required to pay license fees or royalties or both. These licenses may not be available on acceptable terms, or at all. Even if we or our future collaborators were able to obtain a license, the rights obtained may be nonexclusive, which would not confer a competitive advantage to us from an exclusivity perspective. Ultimately, we could be prevented from commercializing a product, or forced to redesign it, or to cease some aspect of our business operations if, as a result of actual or threatened patent infringement claims, we or our collaborators are unable to enter into licenses on acceptable terms to necessary third party patent rights.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10" w:lineRule="exact"/>
        <w:rPr>
          <w:sz w:val="20"/>
          <w:szCs w:val="20"/>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(USPTO), to determine which party 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290" w:lineRule="exact"/>
        <w:rPr>
          <w:sz w:val="20"/>
          <w:szCs w:val="20"/>
          <w:color w:val="auto"/>
        </w:rPr>
      </w:pPr>
    </w:p>
    <w:p>
      <w:pPr>
        <w:ind w:right="780"/>
        <w:spacing w:after="0" w:line="31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or our licensors have misappropriated their intellectual property, including trade secrets, or claiming ownership of what we regard as our own intellectual property.</w:t>
      </w:r>
    </w:p>
    <w:p>
      <w:pPr>
        <w:spacing w:after="0" w:line="44"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Many of our employees and our licensor’s employees were previously employed at other biotechnology or pharmaceutical companies. Although we and our licensors try to ensure that our employees and our licensor’s employees do not use the proprietary information or know-how of others in their work for us, including by contract, we or our licensors may be subject to claims that these employees, our licensors or we have used or disclosed intellectual property, including trade secrets or other proprietary information, of any such employee’s former employer. Litigation may be necessary to defend against these claims.</w:t>
      </w:r>
    </w:p>
    <w:p>
      <w:pPr>
        <w:spacing w:after="0" w:line="20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in the future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05"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If we or our licensor fail in prosecuting or defending any such claims, in addition to paying monetary damages, we may lose valuable intellectual property rights or personnel. Even if we and our licensor are successful in prosecuting or defending against such claims, litigation could result in substantial costs.</w:t>
      </w:r>
    </w:p>
    <w:p>
      <w:pPr>
        <w:spacing w:after="0" w:line="28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roflumilast cream, roflumilast foam, ARQ-252 or ARQ-255 can be challenged by competitors.</w:t>
      </w:r>
    </w:p>
    <w:p>
      <w:pPr>
        <w:spacing w:after="0" w:line="67"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If roflumilast cream, roflumilast foam, ARQ-252 or ARQ-255 is approved by the FDA, one or more third parties may challenge the patents covering roflumilast cream, roflumilast foam, ARQ-252 or ARQ-255, which could result in the invalidation of, or render unenforceable, some or all of the relevant patent claims or a finding of non-infringement. For example, if a third party files an abbreviated new drug application, or ANDA, for a generic drug bioequivalent to roflumilast cream, roflumilast foam, ARQ-252 or ARQ-255, and relies in whole or in part on studies conducted by or for us, the third 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w:t>
      </w:r>
    </w:p>
    <w:p>
      <w:pPr>
        <w:spacing w:after="0" w:line="3" w:lineRule="exact"/>
        <w:rPr>
          <w:sz w:val="20"/>
          <w:szCs w:val="20"/>
          <w:color w:val="auto"/>
        </w:rPr>
      </w:pPr>
    </w:p>
    <w:p>
      <w:pPr>
        <w:ind w:firstLine="8"/>
        <w:spacing w:after="0" w:line="251"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listed patents are invalid or will not be infringed by the manufacture, use or sale of the third party’s generic drug. A certification that the new drug will not infringe the Orange Book-listed patents for the applicable approved drug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spacing w:after="0" w:line="29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product candidates, our business may be materially harmed.</w:t>
      </w:r>
    </w:p>
    <w:p>
      <w:pPr>
        <w:spacing w:after="0" w:line="6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commercial success will largely depend on our ability to obtain and maintain patent and other intellectual property in the United States and other countries with respect to our proprietary technology, product candidates and our target indications. Our issued U.S. patents, with claims directed to roflumilast formulations with reduced crystal growth, encompassing roflumilast cream, are currently projected to expire on June 7, 2037. Certain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issued U.S. patents that we have licensed from Hengrui relating to, among other things, treatment of several diseases or disorders, including various cancers, allograft rejection, graft versus host disease, rheumatoid arthritis, atopic dermatitis, and psoriasis with SHR0302, or bisulfate and crystal forms thereof, are currently projected to expire beginning in 2033.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20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the U.S. patents covering our product candidates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211"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28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8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29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6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Additional third parties, apart from our current licensors, may hold intellectual property, including patent rights, that are important or necessary to the development of our product candidates. It may be necessary for us to use the patented or proprietary technology of these third parties to commercialize our product candidates, in which case we would be required to obtain a license from these third parties on commercially reasonable terms. Such a license may not be available, or it may not be available on commercially reasonable terms, in which case our business would be harmed. The risks described elsewhere pertaining to our intellectual property rights also apply to the intellectual property rights that we in-license, and any failure by us or our licensors to obtain, maintain, defend and enforce these rights could harm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3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Filing, prosecuting and defending patents on product candidates, including all of the licensed rights under our exclusive supply and license agreements with AstraZeneca and Hengrui, in all countries throughout the world would be prohibitively expensive, and our intellectual property rights in some countries outside the United States can be less extensive than those in the United States. In addition, the laws of some foreign countries do not protect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208" w:lineRule="exact"/>
        <w:rPr>
          <w:sz w:val="20"/>
          <w:szCs w:val="20"/>
          <w:color w:val="auto"/>
        </w:rPr>
      </w:pPr>
    </w:p>
    <w:p>
      <w:pPr>
        <w:ind w:right="200" w:firstLine="648"/>
        <w:spacing w:after="0" w:line="251"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67"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The United States has enacted and implemented wide-ranging patent reform legislation, and that legislation could increase the uncertainties and costs surrounding the prosecution of our patent applications and the enforcement or defense of our issued patents. On September 16, 2011, the Leahy-Smith America Invents Act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In addition, patent reform legislation may pass in the future that could lead to additional uncertainties and increased costs surrounding the prosecution, enforcement and defense of our patents and pending patent applications.</w:t>
      </w:r>
    </w:p>
    <w:p>
      <w:pPr>
        <w:spacing w:after="0" w:line="21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21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Having a mandatory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non-exclusive license grant may diminish the value of our patents as well as making it more difficult to protect our products.</w:t>
      </w:r>
    </w:p>
    <w:p>
      <w:pPr>
        <w:spacing w:after="0" w:line="31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any of our product candidates, our competitors might be able to enter the market earlier than anticipated, which would harm our business.</w:t>
      </w:r>
    </w:p>
    <w:p>
      <w:pPr>
        <w:spacing w:after="0" w:line="29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In addition, third parties may file first for our trademarks in certain countries. If they succeeded in registering such trademarks, and if we were not successful in challenging such third-party rights, we may not be able to use these trademarks to market our products in those countries. In such cases, over the long term, if we are unable to establish name recognition based on our trademarks and trade names, then our marketing abilities may be impacted.</w:t>
      </w:r>
    </w:p>
    <w:p>
      <w:pPr>
        <w:spacing w:after="0" w:line="294"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our lead candidates in the United States or foreign jurisdictions and failure to secure such registrations could adversely affect our business.</w:t>
      </w:r>
    </w:p>
    <w:p>
      <w:pPr>
        <w:spacing w:after="0" w:line="67" w:lineRule="exact"/>
        <w:rPr>
          <w:sz w:val="20"/>
          <w:szCs w:val="20"/>
          <w:color w:val="auto"/>
        </w:rPr>
      </w:pPr>
    </w:p>
    <w:p>
      <w:pPr>
        <w:ind w:right="160" w:firstLine="648"/>
        <w:spacing w:after="0" w:line="251" w:lineRule="auto"/>
        <w:rPr>
          <w:sz w:val="20"/>
          <w:szCs w:val="20"/>
          <w:color w:val="auto"/>
        </w:rPr>
      </w:pPr>
      <w:r>
        <w:rPr>
          <w:rFonts w:ascii="Arial" w:cs="Arial" w:eastAsia="Arial" w:hAnsi="Arial"/>
          <w:sz w:val="18"/>
          <w:szCs w:val="18"/>
          <w:color w:val="auto"/>
        </w:rPr>
        <w:t>We have not yet registered trademarks for a commercial trade name for our lead product candidates in the United States or any foreign jurisdiction. During trademark registration proceedings, we may receive rejections.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7"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may not be able to protect our proprietary information and technology adequately. Although we use reasonable efforts to protect our proprietary information, technology, and know-how, our employees, consultants, contractors, outside scientific advisors, licensors or licensees may unintentionally or willfully disclose our information to competitors. Enforcing a claim that a third party illegally obtained and is using any of our proprietary information, technology or know-how is expensive and time consuming, and the outcome is unpredictable. In addition, courts outside the United States are sometimes less willing to protect proprietary information, technology, and know-how. We rely, in part, on non-disclosure and confidentiality agreements with our employees, consultants and other parties to protect our proprietary information, technology, and know-how. These agreements may be breached and we may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not have adequate remedies for any breach. Moreover, others may independently develop similar or equivalent proprietary information, and third parties may otherwise gain access to our proprietary knowledge.</w:t>
      </w:r>
    </w:p>
    <w:p>
      <w:pPr>
        <w:spacing w:after="0" w:line="2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6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8"/>
          <w:szCs w:val="18"/>
          <w:color w:val="auto"/>
        </w:rPr>
        <w:t>We have licensed or acquired certain intellectual property rights covering our current product candidates from third parties, including AstraZeneca and Hengrui. We are heavily dependent on our agreements with such third parties for our current product candidates. If, for any reason, one or more of our agreements with such third parties is terminated or we otherwise lose those rights, it could harm our business.</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license and other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29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or the patents of our licensors, which could be expensive and time-consuming.</w:t>
      </w:r>
    </w:p>
    <w:p>
      <w:pPr>
        <w:spacing w:after="0" w:line="6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Competitors may infringe our intellectual property, including our patents or the patents of our licensors. As a result, we may be required to file infringement claims or inform and cooperate with our licensors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Interference, derivation or other proceedings brought at the USPTO may be necessary to determine the priority or patentability of inventions with respect to our patent applications or those of our licensors or potential partners. Litigation or USPTO proceedings brought by us may fail or may be invoked against us by third parties. Even if we are successful, domestic or foreign litigation or USPTO or foreign patent office proceedings may result in substantial costs. We may not be able, alone or with our licensors or potential partners, to prevent misappropriation of our proprietary rights, particularly in countries where the laws may not protect such rights as fully as in the United States.</w:t>
      </w:r>
    </w:p>
    <w:p>
      <w:pPr>
        <w:spacing w:after="0" w:line="20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9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product candidates.</w:t>
      </w:r>
    </w:p>
    <w:p>
      <w:pPr>
        <w:spacing w:after="0" w:line="67"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Our commercial success depends in part on our and our licensors avoiding infringement and other violations of the patents and proprietary rights of third parties. However, our research, development and commercialization activities may be subject to claims that we infringe or otherwise violate patents or other intellectual property rights owned or controlled by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20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209"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Claims that we have misappropriated the confidential information or trade secrets of third parties could have a similar negative impact on our business.</w:t>
      </w:r>
    </w:p>
    <w:p>
      <w:pPr>
        <w:spacing w:after="0" w:line="20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adversely impact our ability to raise additional funds or otherwise harm our business, results of operation, financial condition or cash flows.</w:t>
      </w:r>
    </w:p>
    <w:p>
      <w:pPr>
        <w:spacing w:after="0" w:line="19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 If securities analysts or investors perceive these results to be negative, it could adversely impact the price of our common shares. The occurrence of any of these events may harm our business, results of operation, financial condition or cash flows.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drugs or product candidates, resulting in either an injunction prohibiting our sales, or, with respect to our sales, an obligation on our part to pay royalties or other forms of compensation to third parties.</w:t>
      </w:r>
    </w:p>
    <w:p>
      <w:pPr>
        <w:spacing w:after="0" w:line="288"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 and have a harmful effect on the success of our business.</w:t>
      </w:r>
    </w:p>
    <w:p>
      <w:pPr>
        <w:spacing w:after="0" w:line="6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Accordingly, despite our efforts, we may not be able to prevent third parties from infringing upon or misappropriating our intellectual property. In addition, the uncertainties associated with litigation could compromise our ability to raise the funds necessary to continue our clinical trials and internal research programs, or in-license needed technology or other product candidates.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b w:val="1"/>
          <w:bCs w:val="1"/>
          <w:i w:val="1"/>
          <w:iCs w:val="1"/>
          <w:color w:val="auto"/>
        </w:rPr>
        <w:t>Even if we receive regulatory approval of our product candidates, we will be subject to extensive and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Any regulatory approvals or other marketing authorizations we obtain for our product candidates may be subject to limitations on the indicated uses for which the product may be marketed or the conditions of approval or marketing authorization, or contain requirements for potentially costly post-market testing and surveillance to monitor the safety and efficacy of the product candidate. The FDA may also require a REMS as a condition of approval of our drug product candidates, such as roflumilast cream, roflumilast foam, ARQ-252 and ARQ-255, which could include requirements for a medication guide, physician communication plans or additional elements to assure safe use, such as restricted distribution methods, patient registries and other risk minimization tools. In addition, if the FDA or a comparable foreign regulatory authority authorizes our product candidates for marketing,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02" w:lineRule="exact"/>
        <w:rPr>
          <w:sz w:val="20"/>
          <w:szCs w:val="20"/>
          <w:color w:val="auto"/>
        </w:rPr>
      </w:pPr>
    </w:p>
    <w:p>
      <w:pPr>
        <w:ind w:left="820" w:hanging="164"/>
        <w:spacing w:after="0" w:line="261"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820" w:right="100" w:hanging="164"/>
        <w:spacing w:after="0" w:line="291" w:lineRule="auto"/>
        <w:tabs>
          <w:tab w:leader="none" w:pos="8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refusal by the FDA to accept new marketing applications or supplements, approve or otherwise authorize for marketing pending applications or supplements to applications filed by us or suspension or revocation of approvals or other marketing authorizations;</w:t>
      </w:r>
    </w:p>
    <w:p>
      <w:pPr>
        <w:spacing w:after="0" w:line="65" w:lineRule="exact"/>
        <w:rPr>
          <w:rFonts w:ascii="Arial" w:cs="Arial" w:eastAsia="Arial" w:hAnsi="Arial"/>
          <w:sz w:val="17"/>
          <w:szCs w:val="17"/>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205"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In addition, we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91"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85" w:lineRule="exact"/>
        <w:rPr>
          <w:sz w:val="20"/>
          <w:szCs w:val="20"/>
          <w:color w:val="auto"/>
        </w:rPr>
      </w:pPr>
    </w:p>
    <w:p>
      <w:pPr>
        <w:jc w:val="both"/>
        <w:ind w:right="120" w:firstLine="648"/>
        <w:spacing w:after="0" w:line="25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other government agencies that fund research and development activities is subject to the political process, which is inherently fluid and unpredictable.</w:t>
      </w:r>
    </w:p>
    <w:p>
      <w:pPr>
        <w:spacing w:after="0" w:line="2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harm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harm our business.</w:t>
      </w:r>
    </w:p>
    <w:p>
      <w:pPr>
        <w:spacing w:after="0" w:line="2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product candidates, if authorized for marketing,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 candidates, or a recall of our products either voluntarily or at the direction of the FDA or another governmental authority, if such products are marketed, could have a negative impact on us.</w:t>
      </w:r>
    </w:p>
    <w:p>
      <w:pPr>
        <w:spacing w:after="0" w:line="9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With respect to any of our product candidates in clinical testing or approved by FDA, we will be subject to the FDA’s safety reporting requirements.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approval or delay in approval of future products.</w:t>
      </w:r>
    </w:p>
    <w:p>
      <w:pPr>
        <w:spacing w:after="0" w:line="20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may choose to voluntarily recall a product if any material deficiency is found. A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Recalls involving our product candidates, if and when they are approved or otherwise authorized for marketing, could be particularly harmful to our business, financial condition and results of operations.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67"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customers and patients, may expose us to broadly applicable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96" w:lineRule="exact"/>
        <w:rPr>
          <w:sz w:val="20"/>
          <w:szCs w:val="20"/>
          <w:color w:val="auto"/>
        </w:rPr>
      </w:pPr>
    </w:p>
    <w:p>
      <w:pPr>
        <w:ind w:left="820" w:right="20" w:hanging="164"/>
        <w:spacing w:after="0" w:line="252"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98" w:lineRule="exact"/>
        <w:rPr>
          <w:rFonts w:ascii="Arial" w:cs="Arial" w:eastAsia="Arial" w:hAnsi="Arial"/>
          <w:sz w:val="18"/>
          <w:szCs w:val="18"/>
          <w:color w:val="auto"/>
        </w:rPr>
      </w:pPr>
    </w:p>
    <w:p>
      <w:pPr>
        <w:ind w:left="820" w:right="80" w:hanging="164"/>
        <w:spacing w:after="0" w:line="252"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00" w:lineRule="exact"/>
        <w:rPr>
          <w:rFonts w:ascii="Arial" w:cs="Arial" w:eastAsia="Arial" w:hAnsi="Arial"/>
          <w:sz w:val="18"/>
          <w:szCs w:val="18"/>
          <w:color w:val="auto"/>
        </w:rPr>
      </w:pPr>
    </w:p>
    <w:p>
      <w:pPr>
        <w:ind w:left="820" w:right="80" w:hanging="164"/>
        <w:spacing w:after="0" w:line="252"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00" w:lineRule="exact"/>
        <w:rPr>
          <w:rFonts w:ascii="Arial" w:cs="Arial" w:eastAsia="Arial" w:hAnsi="Arial"/>
          <w:sz w:val="18"/>
          <w:szCs w:val="18"/>
          <w:color w:val="auto"/>
        </w:rPr>
      </w:pPr>
    </w:p>
    <w:p>
      <w:pPr>
        <w:ind w:left="820" w:right="140" w:hanging="164"/>
        <w:spacing w:after="0" w:line="253"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97" w:lineRule="exact"/>
        <w:rPr>
          <w:rFonts w:ascii="Arial" w:cs="Arial" w:eastAsia="Arial" w:hAnsi="Arial"/>
          <w:sz w:val="18"/>
          <w:szCs w:val="18"/>
          <w:color w:val="auto"/>
        </w:rPr>
      </w:pPr>
    </w:p>
    <w:p>
      <w:pPr>
        <w:ind w:left="820" w:hanging="164"/>
        <w:spacing w:after="0" w:line="270" w:lineRule="auto"/>
        <w:tabs>
          <w:tab w:leader="none" w:pos="8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(as well as certain other healthcare professionals beginning in 2022) and requires applicable manufacturers and group purchasing organizations to report annually to the government ownership and investment interests held by the physicians described above and their immediate family members;</w:t>
      </w:r>
    </w:p>
    <w:p>
      <w:pPr>
        <w:spacing w:after="0" w:line="84" w:lineRule="exact"/>
        <w:rPr>
          <w:rFonts w:ascii="Arial" w:cs="Arial" w:eastAsia="Arial" w:hAnsi="Arial"/>
          <w:sz w:val="17"/>
          <w:szCs w:val="17"/>
          <w:color w:val="auto"/>
        </w:rPr>
      </w:pPr>
    </w:p>
    <w:p>
      <w:pPr>
        <w:ind w:left="820" w:right="20" w:hanging="164"/>
        <w:spacing w:after="0" w:line="252"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 privacy laws and regulations, such as those of California, that impose restrictive requirements regulating the use and disclosure of health information and other personally identifiable information (for example, in June 2018, California enacted the California Consumer Privacy Act (which went into effect on January 1, 2020) that gives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resulting in increased compliance costs and potential liability);</w:t>
      </w:r>
    </w:p>
    <w:p>
      <w:pPr>
        <w:spacing w:after="0" w:line="99" w:lineRule="exact"/>
        <w:rPr>
          <w:rFonts w:ascii="Arial" w:cs="Arial" w:eastAsia="Arial" w:hAnsi="Arial"/>
          <w:sz w:val="18"/>
          <w:szCs w:val="18"/>
          <w:color w:val="auto"/>
        </w:rPr>
      </w:pPr>
    </w:p>
    <w:p>
      <w:pPr>
        <w:ind w:left="820" w:right="580" w:hanging="164"/>
        <w:spacing w:after="0" w:line="261"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from authorizing, promising, offering, or providing, directly or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20" w:right="80"/>
        <w:spacing w:after="0" w:line="256" w:lineRule="auto"/>
        <w:rPr>
          <w:sz w:val="20"/>
          <w:szCs w:val="20"/>
          <w:color w:val="auto"/>
        </w:rPr>
      </w:pPr>
      <w:r>
        <w:rPr>
          <w:rFonts w:ascii="Arial" w:cs="Arial" w:eastAsia="Arial" w:hAnsi="Arial"/>
          <w:sz w:val="18"/>
          <w:szCs w:val="18"/>
          <w:color w:val="auto"/>
        </w:rPr>
        <w:t>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94" w:lineRule="exact"/>
        <w:rPr>
          <w:sz w:val="20"/>
          <w:szCs w:val="20"/>
          <w:color w:val="auto"/>
        </w:rPr>
      </w:pPr>
    </w:p>
    <w:p>
      <w:pPr>
        <w:ind w:left="820" w:right="860" w:hanging="164"/>
        <w:spacing w:after="0" w:line="261"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89" w:lineRule="exact"/>
        <w:rPr>
          <w:rFonts w:ascii="Arial" w:cs="Arial" w:eastAsia="Arial" w:hAnsi="Arial"/>
          <w:sz w:val="18"/>
          <w:szCs w:val="18"/>
          <w:color w:val="auto"/>
        </w:rPr>
      </w:pPr>
    </w:p>
    <w:p>
      <w:pPr>
        <w:ind w:left="820" w:hanging="164"/>
        <w:spacing w:after="0" w:line="251" w:lineRule="auto"/>
        <w:tabs>
          <w:tab w:leader="none" w:pos="8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pharmaceutical and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21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consulting arrangements with and/or ownership interests by physicians and other healthcare providers,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healthcare programs,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adversely affect our ability to operate our business and our results of operations.</w:t>
      </w:r>
    </w:p>
    <w:p>
      <w:pPr>
        <w:spacing w:after="0" w:line="29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our product candidates outside the United States and the FDA and applicable foreign regulatory authorities may not accept data from such trials.</w:t>
      </w:r>
    </w:p>
    <w:p>
      <w:pPr>
        <w:spacing w:after="0" w:line="67"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have conducted and may in the future choose to conduct one or more of our clinical trials outside the United States, including in Canada and Europe. Although the FDA or applicable foreign regulatory authority may accept data from clinical trials conducted outside the United States or the applicable jurisdiction, acceptance of such study data by the FDA or applicable foreign regulatory authority may be subject to certain conditions. Where data from foreign clinical trials are intended to serve as the basis for marketing approval in the United States,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foreign regulatory authorities have similar requirements. In addition, such foreign studies would be subject to the applicable local laws of the foreign jurisdictions where the studies are conducted. There can be no assurance the FDA or applicable foreign regulatory authority will accept data from trials conducted outside of the United States or the applicable jurisdiction. If the FDA or applicable foreign regulatory authority does not accept such data, it would likely result in the need for additional trials, which would be costly and time-consuming and delay aspects of our business plan.</w:t>
      </w:r>
    </w:p>
    <w:p>
      <w:pPr>
        <w:spacing w:after="0" w:line="296"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7" w:lineRule="exact"/>
        <w:rPr>
          <w:sz w:val="20"/>
          <w:szCs w:val="20"/>
          <w:color w:val="auto"/>
        </w:rPr>
      </w:pPr>
    </w:p>
    <w:p>
      <w:pPr>
        <w:ind w:right="760" w:firstLine="648"/>
        <w:spacing w:after="0" w:line="261" w:lineRule="auto"/>
        <w:rPr>
          <w:sz w:val="20"/>
          <w:szCs w:val="20"/>
          <w:color w:val="auto"/>
        </w:rPr>
      </w:pPr>
      <w:r>
        <w:rPr>
          <w:rFonts w:ascii="Arial" w:cs="Arial" w:eastAsia="Arial" w:hAnsi="Arial"/>
          <w:sz w:val="18"/>
          <w:szCs w:val="18"/>
          <w:color w:val="auto"/>
        </w:rPr>
        <w:t>In the United States and some non-U.S. jurisdictions, there have been, and we expect there will continue to be, a number of legislative and regulatory changes and proposed changes regarding the healthcare system that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could, among other things, prevent or delay marketing approval of our product candidates, restrict or regulate post-approval activities and affect our ability to profitably sell any product candidates for which we obtain marketing approval.</w:t>
      </w:r>
    </w:p>
    <w:p>
      <w:pPr>
        <w:spacing w:after="0" w:line="198"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collectively the Affordable Care Act (ACA), was enacted in the United States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law has continued the downward pressure on the pricing of medical items and services, especially under the Medicare program, and increased the industry’s regulatory burdens and operating costs. Among the provisions of the ACA of importance to our potential product candidates are the following:</w:t>
      </w:r>
    </w:p>
    <w:p>
      <w:pPr>
        <w:spacing w:after="0" w:line="99" w:lineRule="exact"/>
        <w:rPr>
          <w:sz w:val="20"/>
          <w:szCs w:val="20"/>
          <w:color w:val="auto"/>
        </w:rPr>
      </w:pPr>
    </w:p>
    <w:p>
      <w:pPr>
        <w:ind w:left="820" w:right="6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820" w:right="20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89" w:lineRule="exact"/>
        <w:rPr>
          <w:rFonts w:ascii="Arial" w:cs="Arial" w:eastAsia="Arial" w:hAnsi="Arial"/>
          <w:sz w:val="18"/>
          <w:szCs w:val="18"/>
          <w:color w:val="auto"/>
        </w:rPr>
      </w:pPr>
    </w:p>
    <w:p>
      <w:pPr>
        <w:ind w:left="820" w:right="220" w:hanging="164"/>
        <w:spacing w:after="0" w:line="256"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117" w:lineRule="exact"/>
        <w:rPr>
          <w:rFonts w:ascii="Arial" w:cs="Arial" w:eastAsia="Arial" w:hAnsi="Arial"/>
          <w:sz w:val="18"/>
          <w:szCs w:val="18"/>
          <w:color w:val="auto"/>
        </w:rPr>
      </w:pPr>
    </w:p>
    <w:p>
      <w:pPr>
        <w:ind w:left="820" w:right="96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9" w:lineRule="exact"/>
        <w:rPr>
          <w:rFonts w:ascii="Arial" w:cs="Arial" w:eastAsia="Arial" w:hAnsi="Arial"/>
          <w:sz w:val="18"/>
          <w:szCs w:val="18"/>
          <w:color w:val="auto"/>
        </w:rPr>
      </w:pPr>
    </w:p>
    <w:p>
      <w:pPr>
        <w:ind w:left="820" w:right="16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independent payment advisory board that will submit recommendations to Congress to reduce Medicare spending if projected Medicare spending exceeds a specified growth rate.</w:t>
      </w:r>
    </w:p>
    <w:p>
      <w:pPr>
        <w:spacing w:after="0" w:line="19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The current presidential administration and U.S. Congress have sought and will likely continue to seek to modify, repeal, or otherwise invalidate all, or certain provisions of, the ACA. For example, the Tax Cuts and Jobs Act of 2017 (TCJA) was enacted, which includes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TCJA, the remaining provisions of the ACA are invalid as well. While the Trump administration and CMS have both stated that the ruling will have no immediate effect, it is unclear how this decision, subsequent appeals, if any, and other efforts to repeal and replace the ACA will impact the ACA and our business. It is uncertain the extent to which any such changes may impact our business or financial condition.</w:t>
      </w:r>
    </w:p>
    <w:p>
      <w:pPr>
        <w:spacing w:after="0" w:line="211"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 the Budget Control Act of 2011, which, among other things, resulted in reductions to Medicare payments to providers of 2% per fiscal year and will remain in effect through 2029; the American Taxpayer Relief Act of 2012, which, among other things, further reduced Medicare payments to several types of providers and increased the statute of limitations period for the government to recover overpayments to providers from three to five years; and the Medicare Access and CHIP Reauthorization Act of 2015, which, among</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other things, ended the use of the sustainable growth rate formula and provides for a 0.5% update to physician payment rates for each calendar year through 2019, after which there will be a 0% annual update each year through 2025. More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208"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to purchase and which suppliers will be included in their prescription drug and other healthcare programs.</w:t>
      </w:r>
    </w:p>
    <w:p>
      <w:pPr>
        <w:spacing w:after="0" w:line="20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are slow or unable to adapt to new requirements or policies, or if we are not able to maintain regulatory compliance, our product candidates may lose any regulatory approval that may have been obtained and we may not achieve or sustain profitability, which would adversely affect our business.</w:t>
      </w:r>
    </w:p>
    <w:p>
      <w:pPr>
        <w:spacing w:after="0" w:line="2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we are found to have improperly promoted off-label uses, or if physicians misuse our products or use our products off-label, we may become subject to prohibitions on the sale or marketing of our products, product liability claims and significant fines, penalties and sanctions, and our brand and reputation could be harmed.</w:t>
      </w:r>
    </w:p>
    <w:p>
      <w:pPr>
        <w:spacing w:after="0" w:line="9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In addition, although we believe our product candidates may exhibit a lower risk of side effects or more favorable tolerability profile or better symptomatic improvement than other products for the indications we are studying, without head-to-head data, we will be unable to make comparative claims for our product candidates, if approved. If we receive regulatory approval for any of our products and are found to have promoted any of our products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w:t>
      </w:r>
    </w:p>
    <w:p>
      <w:pPr>
        <w:spacing w:after="0" w:line="20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cannot, however, prevent a physician from using our product candidates in ways that fall outside the scope of the approved indications, as he or she may deem appropriate in his or her medical judgment. Physicians may also misuse our product candidates or use improper techniques, which may lead to adverse results, side effects or injury and, potentially, subsequent product liability claims. Furthermore, the use of our product candidates for indications other than those approved by the FDA and/or other regulatory authorities may not effectively treat such conditions, which could harm our brand and reputation among both physicians and patients.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stock price of our common stock may be volatile or may decline.</w:t>
      </w:r>
    </w:p>
    <w:p>
      <w:pPr>
        <w:spacing w:after="0" w:line="247"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90" w:lineRule="exact"/>
        <w:rPr>
          <w:sz w:val="20"/>
          <w:szCs w:val="20"/>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limited daily trading volume resulting in the lack of a liquid market;</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whether any of our product candidates receive regulatory approval;</w:t>
      </w:r>
    </w:p>
    <w:p>
      <w:pPr>
        <w:spacing w:after="0" w:line="117" w:lineRule="exact"/>
        <w:rPr>
          <w:rFonts w:ascii="Arial" w:cs="Arial" w:eastAsia="Arial" w:hAnsi="Arial"/>
          <w:sz w:val="18"/>
          <w:szCs w:val="18"/>
          <w:color w:val="auto"/>
        </w:rPr>
      </w:pPr>
    </w:p>
    <w:p>
      <w:pPr>
        <w:ind w:left="820" w:right="8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performance of third parties on whom we rely for clinical trials, manufacturing, marketing, sales and distribution, including their ability to comply with regulatory requirements;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legal or political developments in the United States and foreign countries;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results of our competitors or potential competitors;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execution of our partnering and manufacturing arrangements;</w:t>
      </w:r>
    </w:p>
    <w:p>
      <w:pPr>
        <w:spacing w:after="0" w:line="117"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execution of collaboration, co-promotion, licensing or other arrangements, and the timing of payments we may make or receive under these arrangements;</w:t>
      </w:r>
    </w:p>
    <w:p>
      <w:pPr>
        <w:spacing w:after="0" w:line="89" w:lineRule="exact"/>
        <w:rPr>
          <w:rFonts w:ascii="Arial" w:cs="Arial" w:eastAsia="Arial" w:hAnsi="Arial"/>
          <w:sz w:val="18"/>
          <w:szCs w:val="18"/>
          <w:color w:val="auto"/>
        </w:rPr>
      </w:pPr>
    </w:p>
    <w:p>
      <w:pPr>
        <w:ind w:left="820" w:right="22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preclinical and clinical development programs, including relating to the timing of invoices from, and other billing practices of, our CROs and clinical trial sites;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commercialization activities, if any product candidates are approved;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and fluctuations in, the commercial sales any product candidates approved for commercialization in the future;</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pharmaceutical companies;</w:t>
      </w:r>
    </w:p>
    <w:p>
      <w:pPr>
        <w:spacing w:after="0" w:line="117" w:lineRule="exact"/>
        <w:rPr>
          <w:rFonts w:ascii="Arial" w:cs="Arial" w:eastAsia="Arial" w:hAnsi="Arial"/>
          <w:sz w:val="18"/>
          <w:szCs w:val="18"/>
          <w:color w:val="auto"/>
        </w:rPr>
      </w:pPr>
    </w:p>
    <w:p>
      <w:pPr>
        <w:ind w:left="820" w:right="320" w:hanging="164"/>
        <w:spacing w:after="0" w:line="246"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 including as a result of market volatility related to global health concerns and, in particular, the extreme volatility experienced during the ongoing COVID-19 pandemic;</w:t>
      </w:r>
    </w:p>
    <w:p>
      <w:pPr>
        <w:spacing w:after="0" w:line="88" w:lineRule="exact"/>
        <w:rPr>
          <w:rFonts w:ascii="Arial" w:cs="Arial" w:eastAsia="Arial" w:hAnsi="Arial"/>
          <w:sz w:val="18"/>
          <w:szCs w:val="18"/>
          <w:color w:val="auto"/>
        </w:rPr>
      </w:pPr>
    </w:p>
    <w:p>
      <w:pPr>
        <w:ind w:left="820" w:right="300" w:hanging="164"/>
        <w:spacing w:after="0" w:line="256"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acquisitions, strategic transactions, licenses, joint ventures, capital commitments, intellectual property, litigation or other disputes impacting us or our business;</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FDA or foreign regulatory actions affecting us or our industry;</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820" w:right="40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financial estimates by any securities analysts who follow our common stock, our failure to meet these estimates or failure of those analysts to initiate or maintain coverage of our common stock;</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ratings downgrades by any securities analysts who follow our common stock;</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of our market float;</w:t>
      </w:r>
    </w:p>
    <w:p>
      <w:pPr>
        <w:spacing w:after="0" w:line="117"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future sales of our common stock by our officers, directors and significant stockholders;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820" w:right="240" w:hanging="164"/>
        <w:spacing w:after="0" w:line="261"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natural disasters or responses to these events; and</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factors discussed in this Quarterly Report on Form 10-Q.</w:t>
      </w:r>
    </w:p>
    <w:p>
      <w:pPr>
        <w:spacing w:after="0" w:line="225"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pharmaceutical companies. Due to the COVID-19 outbreak, there has been significant stock market exchange volatility, including temporary trading halts. Stock prices of many 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market for our common stock may not develop.</w:t>
      </w:r>
    </w:p>
    <w:p>
      <w:pPr>
        <w:spacing w:after="0" w:line="27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Prior to our IPO, there had been no public market for shares of our common stock, and an active public market for our shares may not develop or be sustained. The lack of an active market may impair the ability to sell our shares at the time you wish to sell them or at a price that you consider reasonable. An inactive market may also impair our ability to raise capital by selling shares and may impair our ability to acquire other businesses, applications, or technologies using our shares as consideration.</w:t>
      </w:r>
    </w:p>
    <w:p>
      <w:pPr>
        <w:spacing w:after="0" w:line="20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202"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only recently completed our IPO and just recently obtained research coverage by securities and industry analysts. If only a limited number of securities or industry analysts commence coverage of us or the few analysts that have initiated coverage, drop coverage, the trading price for our stock would be negatively impacted. If any of the analysts who cover us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qualify as an “emerging growth company” as defined in the JOBS Act and we have decided to avail ourselves of reduced disclosure requirements applicable to emerging growth companies, including delaying adopting new or revised accounting standards, which could make our common stock less attractive to investors.</w:t>
      </w:r>
    </w:p>
    <w:p>
      <w:pPr>
        <w:spacing w:after="0" w:line="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qualify as an “emerging growth company” as defined in the JOBS Act, and we intend to take advantage of certain exemptions from various reporting requirements that are applicable to other public companies that are not “emerging growth companies” including certain reduced financial statement reporting obligations, reduced disclosure obligations about our executive compensation arrangements, exemptions from the requirement that we solicit non-binding advisory votes on executive compensation or golden parachute arrangements and exemption from the auditor’s attestation requirements of Section 404(b) of the Sarbanes-Oxley Act. We may take advantage of these reporting exemptions until we are no longer an “emerging growth company.” We will remain an emerging growth company until the last day of our fiscal year following the fifth anniversary of the completion of the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95"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and that has a different effective date for public and private companies, we will disclose the date on which adoption is required for non-emerging growth companies and the date on which we will adopt the recently issued accounting standard.</w:t>
      </w:r>
    </w:p>
    <w:p>
      <w:pPr>
        <w:spacing w:after="0" w:line="17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w:t>
      </w:r>
    </w:p>
    <w:p>
      <w:pPr>
        <w:spacing w:after="0" w:line="8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Until such time, if ever, that we can generate substantial product revenue, we expect to finance our cash needs through a combination of equity offerings, debt financings, strategic alliances and license and development agreements or other collaborations. To the extent that we raise additional capital by issuing equity securities, our existing shareholders’ ownership may experience substantial dilution, and the terms of these securities may include liquidation or other preferences that could harm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w:t>
      </w:r>
    </w:p>
    <w:p>
      <w:pPr>
        <w:spacing w:after="0" w:line="20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29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of September 30, 2020, our executive officers, directors, holders of 5% or more of our capital stock and their respective affiliates beneficially owned approximately 48% of our voting stock. Therefore, these stockholders will have the ability to influence us through this ownership position, including the ability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9"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approximately 25.8 million shares of our common stock (including 1.4 million shares issued and sold pursuant to the private placement of shares in connection with our follow-on financing)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20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w:t>
      </w:r>
    </w:p>
    <w:p>
      <w:pPr>
        <w:spacing w:after="0" w:line="20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diluted. These sales, or the perception in the market that the holders of a large number of shares intend to sell shares, could reduce the market price of our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NOL carryforwards and research and development income tax credit carryforwards may be limited.</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of December 31, 2019, we had NOL carryforwards available to reduce future taxable income, if any, for federal and California income tax purposes of $54.6 million and $55.1 million, respectively. If not utilized, California NOL carryforwards will expire beginning in 2036. Of the federal NOL, $3.5 million originated before the 2019 tax year and will expire beginning in 2036. Under the Tax Act, the remaining $51.0 million of federal NOL carryforwards generated after December 31, 2017 will carryforward indefinitely with utilization limited to 80% of taxable income. As of December 31, 2019, we had federal and California research and development tax credit carryforwards of $2.0 million and $0.7 million, respectively. If not utilized, the federal research and development tax credit carryforwards will begin to expire in 2037. The California research and development tax credit carryforwards are available indefinitely.</w:t>
      </w:r>
    </w:p>
    <w:p>
      <w:pPr>
        <w:spacing w:after="0" w:line="207"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Under Section 382 and 383 of the Internal Revenue Code of 1986, as amended, if a corporation undergoes an “ownership change,” generally defined as a greater than 50% change (by value) in its equity ownership by certain stockholders over a three year period, the corporation’s ability to use its pre-change NOL carryforwards and other pre-change tax attributes (such as research tax credits) to offset its post-change income or taxes may be limited. A formal study has not been completed to determine if a change in ownership, as defined by Section 382, has occurred. We believe that we may undergo an “ownership change” limitation as a result of our IPO (some of which shifts are outside of our control). We may also experience additional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9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85"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changes in control or changes in our management without the consent of our board of directors. These provisions include the following:</w:t>
      </w:r>
    </w:p>
    <w:p>
      <w:pPr>
        <w:spacing w:after="0" w:line="90" w:lineRule="exact"/>
        <w:rPr>
          <w:sz w:val="20"/>
          <w:szCs w:val="20"/>
          <w:color w:val="auto"/>
        </w:rPr>
      </w:pPr>
    </w:p>
    <w:p>
      <w:pPr>
        <w:ind w:left="820" w:right="760" w:hanging="164"/>
        <w:spacing w:after="0" w:line="261"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classified board of directors with three year staggered terms, which may delay the ability of stockholders to change the membership of a majority of our board of directors;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820" w:hanging="164"/>
        <w:spacing w:after="0" w:line="256"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93" w:lineRule="exact"/>
        <w:rPr>
          <w:rFonts w:ascii="Arial" w:cs="Arial" w:eastAsia="Arial" w:hAnsi="Arial"/>
          <w:sz w:val="18"/>
          <w:szCs w:val="18"/>
          <w:color w:val="auto"/>
        </w:rPr>
      </w:pPr>
    </w:p>
    <w:p>
      <w:pPr>
        <w:ind w:left="820" w:right="120" w:hanging="164"/>
        <w:spacing w:after="0" w:line="256"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93"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820" w:right="300" w:hanging="164"/>
        <w:spacing w:after="0" w:line="261"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required approval of a super-majority of the shares entitled to vote at an election of directors to adopt, amend or repeal our bylaws or repeal the provisions of our restated certificate of incorporation regarding the election and removal of directors;</w:t>
      </w:r>
    </w:p>
    <w:p>
      <w:pPr>
        <w:spacing w:after="0" w:line="89"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89" w:lineRule="exact"/>
        <w:rPr>
          <w:rFonts w:ascii="Arial" w:cs="Arial" w:eastAsia="Arial" w:hAnsi="Arial"/>
          <w:sz w:val="18"/>
          <w:szCs w:val="18"/>
          <w:color w:val="auto"/>
        </w:rPr>
      </w:pPr>
    </w:p>
    <w:p>
      <w:pPr>
        <w:ind w:left="820" w:right="120" w:hanging="164"/>
        <w:spacing w:after="0" w:line="256"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chief executive officer or the president or the board of directors, which may delay the ability of our stockholders to force consideration of a proposal or to take action, including the removal of directors; and</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right="140" w:hanging="164"/>
        <w:spacing w:after="0" w:line="256"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We are also subject to the anti -takeover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7"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Our restated certificate of incorporation and restated bylaws provide that we will indemnify our directors and officers, in each case to the fullest extent permitted by Delaware law.</w:t>
      </w:r>
    </w:p>
    <w:p>
      <w:pPr>
        <w:spacing w:after="0" w:line="90" w:lineRule="exact"/>
        <w:rPr>
          <w:sz w:val="20"/>
          <w:szCs w:val="20"/>
          <w:color w:val="auto"/>
        </w:rPr>
      </w:pPr>
    </w:p>
    <w:p>
      <w:pPr>
        <w:jc w:val="both"/>
        <w:ind w:right="160" w:firstLine="648"/>
        <w:spacing w:after="0" w:line="261" w:lineRule="auto"/>
        <w:rPr>
          <w:sz w:val="20"/>
          <w:szCs w:val="20"/>
          <w:color w:val="auto"/>
        </w:rPr>
      </w:pPr>
      <w:r>
        <w:rPr>
          <w:rFonts w:ascii="Arial" w:cs="Arial" w:eastAsia="Arial" w:hAnsi="Arial"/>
          <w:sz w:val="18"/>
          <w:szCs w:val="18"/>
          <w:color w:val="auto"/>
        </w:rPr>
        <w:t>In addition, as permitted by Section 145 of the Delaware General Corporation Law, our restated bylaws to be effective immediately prior to the completion of our IPO and our indemnification agreements that we have entered into with our directors and officers provide that:</w:t>
      </w:r>
    </w:p>
    <w:p>
      <w:pPr>
        <w:spacing w:after="0" w:line="90" w:lineRule="exact"/>
        <w:rPr>
          <w:sz w:val="20"/>
          <w:szCs w:val="20"/>
          <w:color w:val="auto"/>
        </w:rPr>
      </w:pPr>
    </w:p>
    <w:p>
      <w:pPr>
        <w:ind w:left="820" w:right="180" w:hanging="164"/>
        <w:spacing w:after="0" w:line="253"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7" w:lineRule="exact"/>
        <w:rPr>
          <w:rFonts w:ascii="Arial" w:cs="Arial" w:eastAsia="Arial" w:hAnsi="Arial"/>
          <w:sz w:val="18"/>
          <w:szCs w:val="18"/>
          <w:color w:val="auto"/>
        </w:rPr>
      </w:pPr>
    </w:p>
    <w:p>
      <w:pPr>
        <w:ind w:left="820" w:right="800" w:hanging="164"/>
        <w:spacing w:after="0" w:line="261"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89"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93" w:lineRule="exact"/>
        <w:rPr>
          <w:rFonts w:ascii="Arial" w:cs="Arial" w:eastAsia="Arial" w:hAnsi="Arial"/>
          <w:sz w:val="18"/>
          <w:szCs w:val="18"/>
          <w:color w:val="auto"/>
        </w:rPr>
      </w:pPr>
    </w:p>
    <w:p>
      <w:pPr>
        <w:jc w:val="both"/>
        <w:ind w:left="820" w:right="100" w:hanging="164"/>
        <w:spacing w:after="0" w:line="256"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not be obligated pursuant to our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93"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conferred in our restated bylaws are not exclusive, and we are authorized to enter into indemnification agreements with our directors, officers, employees and agents and to obtain insurance to indemnify such persons.</w:t>
      </w:r>
    </w:p>
    <w:p>
      <w:pPr>
        <w:spacing w:after="0" w:line="89" w:lineRule="exact"/>
        <w:rPr>
          <w:rFonts w:ascii="Arial" w:cs="Arial" w:eastAsia="Arial" w:hAnsi="Arial"/>
          <w:sz w:val="18"/>
          <w:szCs w:val="18"/>
          <w:color w:val="auto"/>
        </w:rPr>
      </w:pPr>
    </w:p>
    <w:p>
      <w:pPr>
        <w:ind w:left="820" w:right="540" w:hanging="164"/>
        <w:spacing w:after="0" w:line="261"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retroactively amend our restated bylaw provisions to reduce our indemnification obligations to directors, officers, employees and agents.</w:t>
      </w:r>
    </w:p>
    <w:p>
      <w:pPr>
        <w:spacing w:after="0" w:line="28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8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claims under the Securities Act, and our stockholders will not be deemed to have waived our compliance with the federal securities laws and the rules and regulations thereunder.</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29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7"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the related prospectus dated January 30, 2020, filed with the SEC pursuant to Rule 424(b)(4) under the Securities Act of 1933, as amended.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40" w:type="dxa"/>
            <w:vAlign w:val="bottom"/>
            <w:gridSpan w:val="8"/>
            <w:vMerge w:val="restart"/>
          </w:tcPr>
          <w:p>
            <w:pPr>
              <w:ind w:left="1460"/>
              <w:spacing w:after="0"/>
              <w:rPr>
                <w:sz w:val="20"/>
                <w:szCs w:val="20"/>
                <w:color w:val="auto"/>
              </w:rPr>
            </w:pPr>
            <w:r>
              <w:rPr>
                <w:rFonts w:ascii="Arial" w:cs="Arial" w:eastAsia="Arial" w:hAnsi="Arial"/>
                <w:sz w:val="14"/>
                <w:szCs w:val="14"/>
                <w:b w:val="1"/>
                <w:bCs w:val="1"/>
                <w:color w:val="auto"/>
              </w:rPr>
              <w:t>Description of Document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Incorporated by</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6"/>
        </w:trPr>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140" w:type="dxa"/>
            <w:vAlign w:val="bottom"/>
            <w:gridSpan w:val="8"/>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Reference Form</w:t>
            </w:r>
          </w:p>
        </w:tc>
        <w:tc>
          <w:tcPr>
            <w:tcW w:w="9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23"/>
        </w:trPr>
        <w:tc>
          <w:tcPr>
            <w:tcW w:w="1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580" w:type="dxa"/>
            <w:vAlign w:val="bottom"/>
            <w:tcBorders>
              <w:top w:val="single" w:sz="8" w:color="auto"/>
            </w:tcBorders>
            <w:gridSpan w:val="9"/>
          </w:tcPr>
          <w:p>
            <w:pPr>
              <w:spacing w:after="0"/>
              <w:rPr>
                <w:rFonts w:ascii="Arial" w:cs="Arial" w:eastAsia="Arial" w:hAnsi="Arial"/>
                <w:sz w:val="18"/>
                <w:szCs w:val="18"/>
                <w:color w:val="0000FF"/>
              </w:rPr>
            </w:pPr>
            <w:hyperlink r:id="rId92">
              <w:r>
                <w:rPr>
                  <w:rFonts w:ascii="Arial" w:cs="Arial" w:eastAsia="Arial" w:hAnsi="Arial"/>
                  <w:sz w:val="18"/>
                  <w:szCs w:val="18"/>
                  <w:u w:val="single" w:color="auto"/>
                  <w:color w:val="0000FF"/>
                </w:rPr>
                <w:t>Restated Certificate of Incorporation</w:t>
              </w:r>
              <w:r>
                <w:rPr>
                  <w:rFonts w:ascii="Arial" w:cs="Arial" w:eastAsia="Arial" w:hAnsi="Arial"/>
                  <w:sz w:val="18"/>
                  <w:szCs w:val="18"/>
                  <w:color w:val="0000FF"/>
                </w:rPr>
                <w:t>.</w:t>
              </w:r>
            </w:hyperlink>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10-Q</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5/12/20</w:t>
            </w: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3.1</w:t>
            </w:r>
          </w:p>
        </w:tc>
        <w:tc>
          <w:tcPr>
            <w:tcW w:w="1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gridSpan w:val="9"/>
          </w:tcPr>
          <w:p>
            <w:pPr>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Restated Bylaws.</w:t>
              </w:r>
            </w:hyperlink>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5/12/20</w:t>
            </w:r>
          </w:p>
        </w:tc>
        <w:tc>
          <w:tcPr>
            <w:tcW w:w="860" w:type="dxa"/>
            <w:vAlign w:val="bottom"/>
          </w:tcPr>
          <w:p>
            <w:pPr>
              <w:jc w:val="center"/>
              <w:spacing w:after="0"/>
              <w:rPr>
                <w:sz w:val="20"/>
                <w:szCs w:val="20"/>
                <w:color w:val="auto"/>
              </w:rPr>
            </w:pPr>
            <w:r>
              <w:rPr>
                <w:rFonts w:ascii="Arial" w:cs="Arial" w:eastAsia="Arial" w:hAnsi="Arial"/>
                <w:sz w:val="18"/>
                <w:szCs w:val="18"/>
                <w:color w:val="auto"/>
              </w:rPr>
              <w:t>3.2</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gridSpan w:val="9"/>
          </w:tcPr>
          <w:p>
            <w:pPr>
              <w:spacing w:after="0"/>
              <w:rPr>
                <w:rFonts w:ascii="Arial" w:cs="Arial" w:eastAsia="Arial" w:hAnsi="Arial"/>
                <w:sz w:val="18"/>
                <w:szCs w:val="18"/>
                <w:color w:val="0000FF"/>
              </w:rPr>
            </w:pPr>
            <w:hyperlink r:id="rId94">
              <w:r>
                <w:rPr>
                  <w:rFonts w:ascii="Arial" w:cs="Arial" w:eastAsia="Arial" w:hAnsi="Arial"/>
                  <w:sz w:val="18"/>
                  <w:szCs w:val="18"/>
                  <w:u w:val="single" w:color="auto"/>
                  <w:color w:val="0000FF"/>
                </w:rPr>
                <w:t>Form of Common Stock Certificate</w:t>
              </w:r>
              <w:r>
                <w:rPr>
                  <w:rFonts w:ascii="Arial" w:cs="Arial" w:eastAsia="Arial" w:hAnsi="Arial"/>
                  <w:sz w:val="18"/>
                  <w:szCs w:val="18"/>
                  <w:color w:val="0000FF"/>
                </w:rPr>
                <w:t>.</w:t>
              </w:r>
            </w:hyperlink>
          </w:p>
        </w:tc>
        <w:tc>
          <w:tcPr>
            <w:tcW w:w="1360" w:type="dxa"/>
            <w:vAlign w:val="bottom"/>
          </w:tcPr>
          <w:p>
            <w:pPr>
              <w:jc w:val="center"/>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860" w:type="dxa"/>
            <w:vAlign w:val="bottom"/>
          </w:tcPr>
          <w:p>
            <w:pPr>
              <w:jc w:val="center"/>
              <w:spacing w:after="0"/>
              <w:rPr>
                <w:sz w:val="20"/>
                <w:szCs w:val="20"/>
                <w:color w:val="auto"/>
              </w:rPr>
            </w:pPr>
            <w:r>
              <w:rPr>
                <w:rFonts w:ascii="Arial" w:cs="Arial" w:eastAsia="Arial" w:hAnsi="Arial"/>
                <w:sz w:val="18"/>
                <w:szCs w:val="18"/>
                <w:color w:val="auto"/>
              </w:rPr>
              <w:t>4.1</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6"/>
                <w:szCs w:val="16"/>
                <w:color w:val="auto"/>
              </w:rPr>
            </w:pPr>
          </w:p>
        </w:tc>
        <w:tc>
          <w:tcPr>
            <w:tcW w:w="5580" w:type="dxa"/>
            <w:vAlign w:val="bottom"/>
            <w:gridSpan w:val="9"/>
          </w:tcPr>
          <w:p>
            <w:pPr>
              <w:spacing w:after="0" w:line="189" w:lineRule="exact"/>
              <w:rPr>
                <w:rFonts w:ascii="Arial" w:cs="Arial" w:eastAsia="Arial" w:hAnsi="Arial"/>
                <w:sz w:val="18"/>
                <w:szCs w:val="18"/>
                <w:color w:val="0000FF"/>
              </w:rPr>
            </w:pPr>
            <w:hyperlink r:id="rId95">
              <w:r>
                <w:rPr>
                  <w:rFonts w:ascii="Arial" w:cs="Arial" w:eastAsia="Arial" w:hAnsi="Arial"/>
                  <w:sz w:val="18"/>
                  <w:szCs w:val="18"/>
                  <w:color w:val="0000FF"/>
                </w:rPr>
                <w:t>Amended and Restated Investors’ Rights Agreement, dated October</w:t>
              </w:r>
            </w:hyperlink>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rPr>
              <w:t>S-1/A</w:t>
            </w:r>
          </w:p>
        </w:tc>
        <w:tc>
          <w:tcPr>
            <w:tcW w:w="980" w:type="dxa"/>
            <w:vAlign w:val="bottom"/>
          </w:tcPr>
          <w:p>
            <w:pPr>
              <w:jc w:val="center"/>
              <w:spacing w:after="0" w:line="189" w:lineRule="exact"/>
              <w:rPr>
                <w:sz w:val="20"/>
                <w:szCs w:val="20"/>
                <w:color w:val="auto"/>
              </w:rPr>
            </w:pPr>
            <w:r>
              <w:rPr>
                <w:rFonts w:ascii="Arial" w:cs="Arial" w:eastAsia="Arial" w:hAnsi="Arial"/>
                <w:sz w:val="18"/>
                <w:szCs w:val="18"/>
                <w:color w:val="auto"/>
                <w:w w:val="99"/>
              </w:rPr>
              <w:t>1/21/20</w:t>
            </w:r>
          </w:p>
        </w:tc>
        <w:tc>
          <w:tcPr>
            <w:tcW w:w="860" w:type="dxa"/>
            <w:vAlign w:val="bottom"/>
          </w:tcPr>
          <w:p>
            <w:pPr>
              <w:jc w:val="center"/>
              <w:spacing w:after="0" w:line="189" w:lineRule="exact"/>
              <w:rPr>
                <w:sz w:val="20"/>
                <w:szCs w:val="20"/>
                <w:color w:val="auto"/>
              </w:rPr>
            </w:pPr>
            <w:r>
              <w:rPr>
                <w:rFonts w:ascii="Arial" w:cs="Arial" w:eastAsia="Arial" w:hAnsi="Arial"/>
                <w:sz w:val="18"/>
                <w:szCs w:val="18"/>
                <w:color w:val="auto"/>
              </w:rPr>
              <w:t>4.2</w:t>
            </w: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tcBorders>
              <w:top w:val="single" w:sz="8" w:color="0000FF"/>
            </w:tcBorders>
            <w:gridSpan w:val="7"/>
          </w:tcPr>
          <w:p>
            <w:pPr>
              <w:spacing w:after="0"/>
              <w:rPr>
                <w:rFonts w:ascii="Arial" w:cs="Arial" w:eastAsia="Arial" w:hAnsi="Arial"/>
                <w:sz w:val="18"/>
                <w:szCs w:val="18"/>
                <w:u w:val="single" w:color="auto"/>
                <w:color w:val="0000FF"/>
                <w:w w:val="98"/>
              </w:rPr>
            </w:pPr>
            <w:hyperlink r:id="rId95">
              <w:r>
                <w:rPr>
                  <w:rFonts w:ascii="Arial" w:cs="Arial" w:eastAsia="Arial" w:hAnsi="Arial"/>
                  <w:sz w:val="18"/>
                  <w:szCs w:val="18"/>
                  <w:u w:val="single" w:color="auto"/>
                  <w:color w:val="0000FF"/>
                  <w:w w:val="98"/>
                </w:rPr>
                <w:t>8, 2019, by and among the Registrant and certain of its stockholders.</w:t>
              </w:r>
            </w:hyperlink>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80" w:type="dxa"/>
            <w:vAlign w:val="bottom"/>
          </w:tcPr>
          <w:p>
            <w:pPr>
              <w:ind w:left="20"/>
              <w:spacing w:after="0" w:line="17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gridSpan w:val="9"/>
          </w:tcPr>
          <w:p>
            <w:pPr>
              <w:spacing w:after="0" w:line="176" w:lineRule="exact"/>
              <w:rPr>
                <w:rFonts w:ascii="Arial" w:cs="Arial" w:eastAsia="Arial" w:hAnsi="Arial"/>
                <w:sz w:val="18"/>
                <w:szCs w:val="18"/>
                <w:color w:val="0000FF"/>
              </w:rPr>
            </w:pPr>
            <w:hyperlink r:id="rId96">
              <w:r>
                <w:rPr>
                  <w:rFonts w:ascii="Arial" w:cs="Arial" w:eastAsia="Arial" w:hAnsi="Arial"/>
                  <w:sz w:val="18"/>
                  <w:szCs w:val="18"/>
                  <w:color w:val="0000FF"/>
                </w:rPr>
                <w:t>Description of Arcutis Biotherapeutics’ Securities Registered</w:t>
              </w:r>
            </w:hyperlink>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9"/>
              </w:rPr>
              <w:t>3/19/20</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rPr>
              <w:t>4.3</w:t>
            </w: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9"/>
          </w:tcPr>
          <w:p>
            <w:pPr>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Pursuant to Section 12 of the Securities Exchange Act of 1934.</w:t>
              </w:r>
            </w:hyperlink>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80" w:type="dxa"/>
            <w:vAlign w:val="bottom"/>
            <w:gridSpan w:val="9"/>
          </w:tcPr>
          <w:p>
            <w:pPr>
              <w:spacing w:after="0" w:line="190" w:lineRule="exact"/>
              <w:rPr>
                <w:rFonts w:ascii="Arial" w:cs="Arial" w:eastAsia="Arial" w:hAnsi="Arial"/>
                <w:sz w:val="18"/>
                <w:szCs w:val="18"/>
                <w:color w:val="0000FF"/>
              </w:rPr>
            </w:pPr>
            <w:hyperlink w:anchor="page84">
              <w:r>
                <w:rPr>
                  <w:rFonts w:ascii="Arial" w:cs="Arial" w:eastAsia="Arial" w:hAnsi="Arial"/>
                  <w:sz w:val="18"/>
                  <w:szCs w:val="18"/>
                  <w:color w:val="0000FF"/>
                </w:rPr>
                <w:t>Certification of Principal Executive Officer Pursuant to Rules 13a-</w:t>
              </w:r>
            </w:hyperlink>
          </w:p>
        </w:tc>
        <w:tc>
          <w:tcPr>
            <w:tcW w:w="1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w:anchor="page84">
              <w:r>
                <w:rPr>
                  <w:rFonts w:ascii="Arial" w:cs="Arial" w:eastAsia="Arial" w:hAnsi="Arial"/>
                  <w:sz w:val="18"/>
                  <w:szCs w:val="18"/>
                  <w:color w:val="0000FF"/>
                  <w:w w:val="99"/>
                </w:rPr>
                <w:t>14(a) and 15d-14(a) under the Securities and Exchange Act of 1934,</w:t>
              </w:r>
            </w:hyperlink>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gridSpan w:val="9"/>
          </w:tcPr>
          <w:p>
            <w:pPr>
              <w:spacing w:after="0" w:line="182" w:lineRule="exact"/>
              <w:rPr>
                <w:rFonts w:ascii="Arial" w:cs="Arial" w:eastAsia="Arial" w:hAnsi="Arial"/>
                <w:sz w:val="18"/>
                <w:szCs w:val="18"/>
                <w:color w:val="0000FF"/>
              </w:rPr>
            </w:pPr>
            <w:hyperlink w:anchor="page84">
              <w:r>
                <w:rPr>
                  <w:rFonts w:ascii="Arial" w:cs="Arial" w:eastAsia="Arial" w:hAnsi="Arial"/>
                  <w:sz w:val="18"/>
                  <w:szCs w:val="18"/>
                  <w:color w:val="0000FF"/>
                </w:rPr>
                <w:t>as adopted pursuant to Section 302 of the Sarbanes-Oxley Act of</w:t>
              </w:r>
            </w:hyperlink>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ind w:left="20"/>
              <w:spacing w:after="0" w:line="182" w:lineRule="exact"/>
              <w:rPr>
                <w:rFonts w:ascii="Arial" w:cs="Arial" w:eastAsia="Arial" w:hAnsi="Arial"/>
                <w:sz w:val="18"/>
                <w:szCs w:val="18"/>
                <w:color w:val="0000FF"/>
                <w:w w:val="93"/>
              </w:rPr>
            </w:pPr>
            <w:hyperlink w:anchor="page84">
              <w:r>
                <w:rPr>
                  <w:rFonts w:ascii="Arial" w:cs="Arial" w:eastAsia="Arial" w:hAnsi="Arial"/>
                  <w:sz w:val="18"/>
                  <w:szCs w:val="18"/>
                  <w:color w:val="0000FF"/>
                  <w:w w:val="93"/>
                </w:rPr>
                <w:t>2002.</w:t>
              </w:r>
            </w:hyperlink>
          </w:p>
        </w:tc>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80" w:type="dxa"/>
            <w:vAlign w:val="bottom"/>
            <w:gridSpan w:val="9"/>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Certification of Principal Financial Officer Pursuant to Rules 13a-</w:t>
              </w:r>
            </w:hyperlink>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w:anchor="page85">
              <w:r>
                <w:rPr>
                  <w:rFonts w:ascii="Arial" w:cs="Arial" w:eastAsia="Arial" w:hAnsi="Arial"/>
                  <w:sz w:val="18"/>
                  <w:szCs w:val="18"/>
                  <w:color w:val="0000FF"/>
                  <w:w w:val="99"/>
                </w:rPr>
                <w:t>14(a) and 15d-14(a) under the Securities and Exchange Act of 1934,</w:t>
              </w:r>
            </w:hyperlink>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gridSpan w:val="9"/>
          </w:tcPr>
          <w:p>
            <w:pPr>
              <w:spacing w:after="0" w:line="182" w:lineRule="exact"/>
              <w:rPr>
                <w:rFonts w:ascii="Arial" w:cs="Arial" w:eastAsia="Arial" w:hAnsi="Arial"/>
                <w:sz w:val="18"/>
                <w:szCs w:val="18"/>
                <w:color w:val="0000FF"/>
              </w:rPr>
            </w:pPr>
            <w:hyperlink w:anchor="page85">
              <w:r>
                <w:rPr>
                  <w:rFonts w:ascii="Arial" w:cs="Arial" w:eastAsia="Arial" w:hAnsi="Arial"/>
                  <w:sz w:val="18"/>
                  <w:szCs w:val="18"/>
                  <w:color w:val="0000FF"/>
                </w:rPr>
                <w:t>as adopted pursuant to Section 302 of the Sarbanes-Oxley Act of</w:t>
              </w:r>
            </w:hyperlink>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ind w:left="20"/>
              <w:spacing w:after="0" w:line="182" w:lineRule="exact"/>
              <w:rPr>
                <w:rFonts w:ascii="Arial" w:cs="Arial" w:eastAsia="Arial" w:hAnsi="Arial"/>
                <w:sz w:val="18"/>
                <w:szCs w:val="18"/>
                <w:color w:val="0000FF"/>
                <w:w w:val="93"/>
              </w:rPr>
            </w:pPr>
            <w:hyperlink w:anchor="page85">
              <w:r>
                <w:rPr>
                  <w:rFonts w:ascii="Arial" w:cs="Arial" w:eastAsia="Arial" w:hAnsi="Arial"/>
                  <w:sz w:val="18"/>
                  <w:szCs w:val="18"/>
                  <w:color w:val="0000FF"/>
                  <w:w w:val="93"/>
                </w:rPr>
                <w:t>2002.</w:t>
              </w:r>
            </w:hyperlink>
          </w:p>
        </w:tc>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Certification of Principal Executive Officer and Principal Financial</w:t>
              </w:r>
            </w:hyperlink>
          </w:p>
        </w:tc>
        <w:tc>
          <w:tcPr>
            <w:tcW w:w="400" w:type="dxa"/>
            <w:vAlign w:val="bottom"/>
            <w:gridSpan w:val="4"/>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gridSpan w:val="9"/>
          </w:tcPr>
          <w:p>
            <w:pPr>
              <w:spacing w:after="0" w:line="182" w:lineRule="exact"/>
              <w:rPr>
                <w:rFonts w:ascii="Arial" w:cs="Arial" w:eastAsia="Arial" w:hAnsi="Arial"/>
                <w:sz w:val="18"/>
                <w:szCs w:val="18"/>
                <w:color w:val="0000FF"/>
              </w:rPr>
            </w:pPr>
            <w:hyperlink w:anchor="page86">
              <w:r>
                <w:rPr>
                  <w:rFonts w:ascii="Arial" w:cs="Arial" w:eastAsia="Arial" w:hAnsi="Arial"/>
                  <w:sz w:val="18"/>
                  <w:szCs w:val="18"/>
                  <w:color w:val="0000FF"/>
                </w:rPr>
                <w:t>Officer Pursuant to 18 U.S.C. Section 1350, as adopted pursuant to</w:t>
              </w:r>
            </w:hyperlink>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86">
              <w:r>
                <w:rPr>
                  <w:rFonts w:ascii="Arial" w:cs="Arial" w:eastAsia="Arial" w:hAnsi="Arial"/>
                  <w:sz w:val="18"/>
                  <w:szCs w:val="18"/>
                  <w:color w:val="0000FF"/>
                  <w:w w:val="99"/>
                </w:rPr>
                <w:t>Section 906 of the Sarbanes-Oxley Act of 2002.</w:t>
              </w:r>
            </w:hyperlink>
          </w:p>
        </w:tc>
        <w:tc>
          <w:tcPr>
            <w:tcW w:w="1560" w:type="dxa"/>
            <w:vAlign w:val="bottom"/>
            <w:tcBorders>
              <w:top w:val="single" w:sz="8" w:color="0000FF"/>
            </w:tcBorders>
            <w:gridSpan w:val="4"/>
          </w:tcPr>
          <w:p>
            <w:pPr>
              <w:spacing w:after="0"/>
              <w:rPr>
                <w:sz w:val="15"/>
                <w:szCs w:val="15"/>
                <w:color w:val="auto"/>
              </w:rPr>
            </w:pPr>
          </w:p>
        </w:tc>
        <w:tc>
          <w:tcPr>
            <w:tcW w:w="220" w:type="dxa"/>
            <w:vAlign w:val="bottom"/>
            <w:gridSpan w:val="3"/>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1"/>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4"/>
          </w:tcPr>
          <w:p>
            <w:pPr>
              <w:jc w:val="right"/>
              <w:ind w:right="28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5640" w:type="dxa"/>
            <w:vAlign w:val="bottom"/>
          </w:tcPr>
          <w:p>
            <w:pPr>
              <w:ind w:left="220"/>
              <w:spacing w:after="0"/>
              <w:rPr>
                <w:sz w:val="20"/>
                <w:szCs w:val="20"/>
                <w:color w:val="auto"/>
              </w:rPr>
            </w:pPr>
            <w:r>
              <w:rPr>
                <w:rFonts w:ascii="Arial" w:cs="Arial" w:eastAsia="Arial" w:hAnsi="Arial"/>
                <w:sz w:val="18"/>
                <w:szCs w:val="18"/>
                <w:color w:val="auto"/>
              </w:rPr>
              <w:t>Inline XBRL Instance Document - The instance document does not</w:t>
            </w:r>
          </w:p>
        </w:tc>
      </w:tr>
      <w:tr>
        <w:trPr>
          <w:trHeight w:val="203"/>
        </w:trPr>
        <w:tc>
          <w:tcPr>
            <w:tcW w:w="980" w:type="dxa"/>
            <w:vAlign w:val="bottom"/>
          </w:tcPr>
          <w:p>
            <w:pPr>
              <w:spacing w:after="0"/>
              <w:rPr>
                <w:sz w:val="17"/>
                <w:szCs w:val="17"/>
                <w:color w:val="auto"/>
              </w:rPr>
            </w:pPr>
          </w:p>
        </w:tc>
        <w:tc>
          <w:tcPr>
            <w:tcW w:w="5640" w:type="dxa"/>
            <w:vAlign w:val="bottom"/>
          </w:tcPr>
          <w:p>
            <w:pPr>
              <w:ind w:left="220"/>
              <w:spacing w:after="0" w:line="202" w:lineRule="exact"/>
              <w:rPr>
                <w:sz w:val="20"/>
                <w:szCs w:val="20"/>
                <w:color w:val="auto"/>
              </w:rPr>
            </w:pPr>
            <w:r>
              <w:rPr>
                <w:rFonts w:ascii="Arial" w:cs="Arial" w:eastAsia="Arial" w:hAnsi="Arial"/>
                <w:sz w:val="18"/>
                <w:szCs w:val="18"/>
                <w:color w:val="auto"/>
              </w:rPr>
              <w:t>appear in the interactive data file because its XBRL tags are</w:t>
            </w:r>
          </w:p>
        </w:tc>
      </w:tr>
      <w:tr>
        <w:trPr>
          <w:trHeight w:val="217"/>
        </w:trPr>
        <w:tc>
          <w:tcPr>
            <w:tcW w:w="98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5640" w:type="dxa"/>
            <w:vAlign w:val="bottom"/>
          </w:tcPr>
          <w:p>
            <w:pPr>
              <w:ind w:left="220"/>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564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564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564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5640" w:type="dxa"/>
            <w:vAlign w:val="bottom"/>
          </w:tcPr>
          <w:p>
            <w:pPr>
              <w:ind w:left="220"/>
              <w:spacing w:after="0"/>
              <w:rPr>
                <w:sz w:val="20"/>
                <w:szCs w:val="20"/>
                <w:color w:val="auto"/>
              </w:rPr>
            </w:pPr>
            <w:r>
              <w:rPr>
                <w:rFonts w:ascii="Arial" w:cs="Arial" w:eastAsia="Arial" w:hAnsi="Arial"/>
                <w:sz w:val="18"/>
                <w:szCs w:val="18"/>
                <w:color w:val="auto"/>
                <w:w w:val="99"/>
              </w:rPr>
              <w:t>Inline XBRL Taxonomy Extension Presentation Linkbase Document.</w:t>
            </w:r>
          </w:p>
        </w:tc>
      </w:tr>
    </w:tbl>
    <w:p>
      <w:pPr>
        <w:spacing w:after="0" w:line="40" w:lineRule="exact"/>
        <w:rPr>
          <w:sz w:val="20"/>
          <w:szCs w:val="20"/>
          <w:color w:val="auto"/>
        </w:rPr>
      </w:pPr>
    </w:p>
    <w:p>
      <w:pPr>
        <w:ind w:left="1220" w:right="3660" w:hanging="1194"/>
        <w:spacing w:after="0" w:line="246"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9" w:lineRule="exact"/>
        <w:rPr>
          <w:sz w:val="20"/>
          <w:szCs w:val="20"/>
          <w:color w:val="auto"/>
        </w:rPr>
      </w:pPr>
    </w:p>
    <w:p>
      <w:pPr>
        <w:ind w:left="300" w:hanging="29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Registrant has omitted portions of the exhibit as permitted under Item 601(b)(10) of Regulation 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898" w:lineRule="exact"/>
        <w:rPr>
          <w:sz w:val="20"/>
          <w:szCs w:val="20"/>
          <w:color w:val="auto"/>
        </w:rPr>
      </w:pPr>
    </w:p>
    <w:p>
      <w:pPr>
        <w:sectPr>
          <w:pgSz w:w="11900" w:h="16838" w:orient="portrait"/>
          <w:cols w:equalWidth="0" w:num="2">
            <w:col w:w="9940" w:space="720"/>
            <w:col w:w="460"/>
          </w:cols>
          <w:pgMar w:left="320" w:top="125" w:right="459" w:bottom="1440" w:gutter="0" w:footer="0" w:header="0"/>
          <w:type w:val="continuous"/>
        </w:sectPr>
      </w:pPr>
    </w:p>
    <w:p>
      <w:pPr>
        <w:jc w:val="both"/>
        <w:ind w:left="660" w:hanging="652"/>
        <w:spacing w:after="0" w:line="254" w:lineRule="auto"/>
        <w:tabs>
          <w:tab w:leader="none" w:pos="2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Securities and Exchange Commission and are not to be incorporated by reference into any filing of Arcutis Biopharmaceuticals,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82" w:name="page83"/>
    <w:bookmarkEnd w:id="82"/>
    <w:p>
      <w:pPr>
        <w:jc w:val="center"/>
        <w:ind w:left="620"/>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215"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ARCUTIS BIOTHERAPEUTICS, INC.</w:t>
      </w:r>
    </w:p>
    <w:p>
      <w:pPr>
        <w:spacing w:after="0" w:line="315" w:lineRule="exact"/>
        <w:rPr>
          <w:sz w:val="20"/>
          <w:szCs w:val="20"/>
          <w:color w:val="auto"/>
        </w:rPr>
      </w:pPr>
    </w:p>
    <w:p>
      <w:pPr>
        <w:ind w:left="20"/>
        <w:spacing w:after="0"/>
        <w:tabs>
          <w:tab w:leader="none" w:pos="740" w:val="left"/>
          <w:tab w:leader="none" w:pos="598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05,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6350</wp:posOffset>
            </wp:positionV>
            <wp:extent cx="30086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Todd Franklin Watanabe</w:t>
      </w:r>
    </w:p>
    <w:p>
      <w:pPr>
        <w:ind w:left="6460"/>
        <w:spacing w:after="0" w:line="203" w:lineRule="auto"/>
        <w:rPr>
          <w:sz w:val="20"/>
          <w:szCs w:val="20"/>
          <w:color w:val="auto"/>
        </w:rPr>
      </w:pPr>
      <w:r>
        <w:rPr>
          <w:rFonts w:ascii="Arial" w:cs="Arial" w:eastAsia="Arial" w:hAnsi="Arial"/>
          <w:sz w:val="18"/>
          <w:szCs w:val="18"/>
          <w:i w:val="1"/>
          <w:iCs w:val="1"/>
          <w:color w:val="auto"/>
        </w:rPr>
        <w:t>President, Chief Executive Officer and Director</w:t>
      </w:r>
    </w:p>
    <w:p>
      <w:pPr>
        <w:ind w:left="64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740" w:val="left"/>
          <w:tab w:leader="none" w:pos="598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05,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6350</wp:posOffset>
            </wp:positionV>
            <wp:extent cx="30086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John W. Smither</w:t>
      </w:r>
    </w:p>
    <w:p>
      <w:pPr>
        <w:ind w:left="6460"/>
        <w:spacing w:after="0" w:line="203" w:lineRule="auto"/>
        <w:rPr>
          <w:sz w:val="20"/>
          <w:szCs w:val="20"/>
          <w:color w:val="auto"/>
        </w:rPr>
      </w:pPr>
      <w:r>
        <w:rPr>
          <w:rFonts w:ascii="Arial" w:cs="Arial" w:eastAsia="Arial" w:hAnsi="Arial"/>
          <w:sz w:val="18"/>
          <w:szCs w:val="18"/>
          <w:i w:val="1"/>
          <w:iCs w:val="1"/>
          <w:color w:val="auto"/>
        </w:rPr>
        <w:t>Chief Financial Officer</w:t>
      </w:r>
    </w:p>
    <w:p>
      <w:pPr>
        <w:ind w:left="64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0900"/>
          </w:cols>
          <w:pgMar w:left="320" w:top="1210" w:right="67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Todd Franklin Watanabe, certify that:</w:t>
      </w:r>
    </w:p>
    <w:p>
      <w:pPr>
        <w:spacing w:after="0" w:line="252"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Arcutis Biotherapeutics, Inc;</w:t>
      </w:r>
    </w:p>
    <w:p>
      <w:pPr>
        <w:spacing w:after="0" w:line="15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340" w:right="66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1300" w:right="100" w:hanging="320"/>
        <w:spacing w:after="0" w:line="263" w:lineRule="auto"/>
        <w:tabs>
          <w:tab w:leader="none" w:pos="1297" w:val="left"/>
        </w:tabs>
        <w:numPr>
          <w:ilvl w:val="2"/>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2"/>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right="240" w:hanging="320"/>
        <w:spacing w:after="0" w:line="263" w:lineRule="auto"/>
        <w:tabs>
          <w:tab w:leader="none" w:pos="1297" w:val="left"/>
        </w:tabs>
        <w:numPr>
          <w:ilvl w:val="2"/>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right="460" w:hanging="320"/>
        <w:spacing w:after="0" w:line="342" w:lineRule="auto"/>
        <w:tabs>
          <w:tab w:leader="none" w:pos="1297" w:val="left"/>
        </w:tabs>
        <w:numPr>
          <w:ilvl w:val="2"/>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300" w:right="160" w:hanging="320"/>
        <w:spacing w:after="0" w:line="277" w:lineRule="auto"/>
        <w:tabs>
          <w:tab w:leader="none" w:pos="1294"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4660" w:val="left"/>
          <w:tab w:leader="none" w:pos="624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29146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Todd Franklin Watanabe</w:t>
      </w:r>
    </w:p>
    <w:p>
      <w:pPr>
        <w:spacing w:after="0" w:line="27"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93"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John W. Smither, certify that:</w:t>
      </w:r>
    </w:p>
    <w:p>
      <w:pPr>
        <w:spacing w:after="0" w:line="25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Arcutis Biotherapeutics, Inc.;</w:t>
      </w:r>
    </w:p>
    <w:p>
      <w:pPr>
        <w:spacing w:after="0" w:line="15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340" w:right="66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1300" w:right="100" w:hanging="320"/>
        <w:spacing w:after="0" w:line="263" w:lineRule="auto"/>
        <w:tabs>
          <w:tab w:leader="none" w:pos="1297" w:val="left"/>
        </w:tabs>
        <w:numPr>
          <w:ilvl w:val="2"/>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2"/>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right="240" w:hanging="320"/>
        <w:spacing w:after="0" w:line="263" w:lineRule="auto"/>
        <w:tabs>
          <w:tab w:leader="none" w:pos="1297" w:val="left"/>
        </w:tabs>
        <w:numPr>
          <w:ilvl w:val="2"/>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right="460" w:hanging="320"/>
        <w:spacing w:after="0" w:line="342" w:lineRule="auto"/>
        <w:tabs>
          <w:tab w:leader="none" w:pos="1297" w:val="left"/>
        </w:tabs>
        <w:numPr>
          <w:ilvl w:val="2"/>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300" w:right="160" w:hanging="320"/>
        <w:spacing w:after="0" w:line="277" w:lineRule="auto"/>
        <w:tabs>
          <w:tab w:leader="none" w:pos="1294"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4660" w:val="left"/>
          <w:tab w:leader="none" w:pos="654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2914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3"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John W. Smither</w:t>
      </w:r>
    </w:p>
    <w:p>
      <w:pPr>
        <w:spacing w:after="0" w:line="27"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240"/>
          </w:cols>
          <w:pgMar w:left="320" w:top="1093" w:right="339" w:bottom="1440" w:gutter="0" w:footer="0" w:header="0"/>
        </w:sectPr>
      </w:pPr>
    </w:p>
    <w:bookmarkStart w:id="85" w:name="page86"/>
    <w:bookmarkEnd w:id="85"/>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connection with the Quarterly Report of Arcutis Biotherapeutics, Inc. (the “Company”) on Form 10-Q for the period ended September 30, 2020, as filed with the Securities and Exchange Commission on the date hereof (the “Report”), Todd Franklin Watanabe, Chief Executive Officer of the Company, and John W. Smither, Chief Financial Officer of the Company, respectively, do each hereby certify, pursuant to 18 U.S.C. Section 1350, as adopted pursuant to Section 906 of the Sarbanes-Oxley Act of 2002, that:</w:t>
      </w:r>
    </w:p>
    <w:p>
      <w:pPr>
        <w:spacing w:after="0" w:line="187" w:lineRule="exact"/>
        <w:rPr>
          <w:sz w:val="20"/>
          <w:szCs w:val="20"/>
          <w:color w:val="auto"/>
        </w:rPr>
      </w:pP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80" w:firstLine="320"/>
        <w:spacing w:after="0" w:line="277" w:lineRule="auto"/>
        <w:tabs>
          <w:tab w:leader="none" w:pos="130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5420" w:val="left"/>
          <w:tab w:leader="none" w:pos="736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31750</wp:posOffset>
            </wp:positionV>
            <wp:extent cx="33604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3"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Todd Franklin Watanabe</w:t>
      </w:r>
    </w:p>
    <w:p>
      <w:pPr>
        <w:spacing w:after="0" w:line="27"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(Principal Executive Officer)</w:t>
      </w:r>
    </w:p>
    <w:p>
      <w:pPr>
        <w:spacing w:after="0" w:line="49" w:lineRule="exact"/>
        <w:rPr>
          <w:sz w:val="20"/>
          <w:szCs w:val="20"/>
          <w:color w:val="auto"/>
        </w:rPr>
      </w:pPr>
    </w:p>
    <w:p>
      <w:pPr>
        <w:ind w:left="20"/>
        <w:spacing w:after="0"/>
        <w:tabs>
          <w:tab w:leader="none" w:pos="5420" w:val="left"/>
          <w:tab w:leader="none" w:pos="764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31750</wp:posOffset>
            </wp:positionV>
            <wp:extent cx="33604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53"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John W. Smither</w:t>
      </w:r>
    </w:p>
    <w:p>
      <w:pPr>
        <w:spacing w:after="0" w:line="27"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(Principal Accounting and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9"/>
    </w:lvl>
  </w:abstractNum>
  <w:abstractNum w:abstractNumId="3">
    <w:nsid w:val="4353D0CD"/>
    <w:multiLevelType w:val="hybridMultilevel"/>
    <w:lvl w:ilvl="0">
      <w:lvlJc w:val="left"/>
      <w:lvlText w:val="%1."/>
      <w:numFmt w:val="decimal"/>
      <w:start w:val="19"/>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lowerRoman"/>
      <w:start w:val="5"/>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4"/>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04"/>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5">
    <w:nsid w:val="542289E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92" Type="http://schemas.openxmlformats.org/officeDocument/2006/relationships/hyperlink" Target="http://www.sec.gov/Archives/edgar/data/1787306/000178730620000010/exhibit31postipocertif.htm" TargetMode="External"/><Relationship Id="rId93" Type="http://schemas.openxmlformats.org/officeDocument/2006/relationships/hyperlink" Target="http://www.sec.gov/Archives/edgar/data/1787306/000178730620000010/exhibit32postipobylaws.htm" TargetMode="External"/><Relationship Id="rId94" Type="http://schemas.openxmlformats.org/officeDocument/2006/relationships/hyperlink" Target="http://www.sec.gov/Archives/edgar/data/1787306/000119312520010664/d784371dex41.htm" TargetMode="External"/><Relationship Id="rId95" Type="http://schemas.openxmlformats.org/officeDocument/2006/relationships/hyperlink" Target="http://www.sec.gov/Archives/edgar/data/1787306/000119312520001990/d784371dex42.htm" TargetMode="External"/><Relationship Id="rId96" Type="http://schemas.openxmlformats.org/officeDocument/2006/relationships/hyperlink" Target="http://www.sec.gov/Archives/edgar/data/1787306/000178730620000005/ex43descriptionofregi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2020-11-05T16:41:38Z</dcterms:created>
  <dcterms:modified xsi:type="dcterms:W3CDTF">2020-11-05T16:41:38Z</dcterms:modified>
</cp:coreProperties>
</file>