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22225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-200025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3"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1000" w:hanging="212"/>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1000" w:hanging="225"/>
        <w:spacing w:after="0"/>
        <w:tabs>
          <w:tab w:leader="none" w:pos="1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 w:lineRule="exact"/>
        <w:rPr>
          <w:rFonts w:ascii="MS PGothic" w:cs="MS PGothic" w:eastAsia="MS PGothic" w:hAnsi="MS PGothic"/>
          <w:sz w:val="18"/>
          <w:szCs w:val="18"/>
          <w:color w:val="auto"/>
          <w:highlight w:val="black"/>
        </w:rPr>
      </w:pPr>
    </w:p>
    <w:p>
      <w:pPr>
        <w:ind w:left="46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transition period from to</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001-39186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-207645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1"/>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305"/>
        </w:trPr>
        <w:tc>
          <w:tcPr>
            <w:tcW w:w="1040" w:type="dxa"/>
            <w:vAlign w:val="bottom"/>
          </w:tcPr>
          <w:p>
            <w:pPr>
              <w:spacing w:after="0"/>
              <w:rPr>
                <w:sz w:val="24"/>
                <w:szCs w:val="24"/>
                <w:color w:val="auto"/>
              </w:rPr>
            </w:pPr>
          </w:p>
        </w:tc>
        <w:tc>
          <w:tcPr>
            <w:tcW w:w="2040" w:type="dxa"/>
            <w:vAlign w:val="bottom"/>
            <w:gridSpan w:val="2"/>
          </w:tcPr>
          <w:p>
            <w:pPr>
              <w:jc w:val="center"/>
              <w:ind w:left="101"/>
              <w:spacing w:after="0"/>
              <w:rPr>
                <w:sz w:val="20"/>
                <w:szCs w:val="20"/>
                <w:color w:val="auto"/>
              </w:rPr>
            </w:pPr>
            <w:r>
              <w:rPr>
                <w:rFonts w:ascii="Arial" w:cs="Arial" w:eastAsia="Arial" w:hAnsi="Arial"/>
                <w:sz w:val="16"/>
                <w:szCs w:val="16"/>
                <w:b w:val="1"/>
                <w:bCs w:val="1"/>
                <w:color w:val="auto"/>
                <w:w w:val="93"/>
              </w:rPr>
              <w:t>Delaware</w:t>
            </w: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2"/>
          </w:tcPr>
          <w:p>
            <w:pPr>
              <w:jc w:val="right"/>
              <w:ind w:right="1419"/>
              <w:spacing w:after="0"/>
              <w:rPr>
                <w:sz w:val="20"/>
                <w:szCs w:val="20"/>
                <w:color w:val="auto"/>
              </w:rPr>
            </w:pPr>
            <w:r>
              <w:rPr>
                <w:rFonts w:ascii="Arial" w:cs="Arial" w:eastAsia="Arial" w:hAnsi="Arial"/>
                <w:sz w:val="16"/>
                <w:szCs w:val="16"/>
                <w:b w:val="1"/>
                <w:bCs w:val="1"/>
                <w:color w:val="auto"/>
              </w:rPr>
              <w:t>81-2974255</w:t>
            </w: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(State or Other Jurisdiction of Incorporation or Organization)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20" w:type="dxa"/>
            <w:vAlign w:val="bottom"/>
            <w:gridSpan w:val="4"/>
          </w:tcPr>
          <w:p>
            <w:pPr>
              <w:ind w:left="1000"/>
              <w:spacing w:after="0"/>
              <w:rPr>
                <w:sz w:val="20"/>
                <w:szCs w:val="20"/>
                <w:color w:val="auto"/>
              </w:rPr>
            </w:pPr>
            <w:r>
              <w:rPr>
                <w:rFonts w:ascii="Arial" w:cs="Arial" w:eastAsia="Arial" w:hAnsi="Arial"/>
                <w:sz w:val="16"/>
                <w:szCs w:val="16"/>
                <w:b w:val="1"/>
                <w:bCs w:val="1"/>
                <w:color w:val="auto"/>
              </w:rPr>
              <w:t>(I.R.S. Employer Identification Number)</w:t>
            </w:r>
          </w:p>
        </w:tc>
      </w:tr>
      <w:tr>
        <w:trPr>
          <w:trHeight w:val="181"/>
        </w:trPr>
        <w:tc>
          <w:tcPr>
            <w:tcW w:w="1040" w:type="dxa"/>
            <w:vAlign w:val="bottom"/>
          </w:tcPr>
          <w:p>
            <w:pPr>
              <w:spacing w:after="0"/>
              <w:rPr>
                <w:sz w:val="15"/>
                <w:szCs w:val="15"/>
                <w:color w:val="auto"/>
              </w:rPr>
            </w:pPr>
          </w:p>
        </w:tc>
        <w:tc>
          <w:tcPr>
            <w:tcW w:w="3280" w:type="dxa"/>
            <w:vAlign w:val="bottom"/>
            <w:gridSpan w:val="3"/>
          </w:tcPr>
          <w:p>
            <w:pPr>
              <w:jc w:val="center"/>
              <w:ind w:right="979"/>
              <w:spacing w:after="0" w:line="181" w:lineRule="exact"/>
              <w:rPr>
                <w:sz w:val="20"/>
                <w:szCs w:val="20"/>
                <w:color w:val="auto"/>
              </w:rPr>
            </w:pPr>
            <w:r>
              <w:rPr>
                <w:rFonts w:ascii="Arial" w:cs="Arial" w:eastAsia="Arial" w:hAnsi="Arial"/>
                <w:sz w:val="16"/>
                <w:szCs w:val="16"/>
                <w:b w:val="1"/>
                <w:bCs w:val="1"/>
                <w:color w:val="auto"/>
                <w:w w:val="89"/>
              </w:rPr>
              <w:t>3027 Townsgate Road Suite 300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2"/>
          </w:tcPr>
          <w:p>
            <w:pPr>
              <w:jc w:val="right"/>
              <w:ind w:right="1599"/>
              <w:spacing w:after="0" w:line="181" w:lineRule="exact"/>
              <w:rPr>
                <w:sz w:val="20"/>
                <w:szCs w:val="20"/>
                <w:color w:val="auto"/>
              </w:rPr>
            </w:pPr>
            <w:r>
              <w:rPr>
                <w:rFonts w:ascii="Arial" w:cs="Arial" w:eastAsia="Arial" w:hAnsi="Arial"/>
                <w:sz w:val="16"/>
                <w:szCs w:val="16"/>
                <w:b w:val="1"/>
                <w:bCs w:val="1"/>
                <w:color w:val="auto"/>
              </w:rPr>
              <w:t>91361</w:t>
            </w:r>
          </w:p>
        </w:tc>
      </w:tr>
      <w:tr>
        <w:trPr>
          <w:trHeight w:val="189"/>
        </w:trPr>
        <w:tc>
          <w:tcPr>
            <w:tcW w:w="1040" w:type="dxa"/>
            <w:vAlign w:val="bottom"/>
          </w:tcPr>
          <w:p>
            <w:pPr>
              <w:spacing w:after="0"/>
              <w:rPr>
                <w:sz w:val="16"/>
                <w:szCs w:val="16"/>
                <w:color w:val="auto"/>
              </w:rPr>
            </w:pPr>
          </w:p>
        </w:tc>
        <w:tc>
          <w:tcPr>
            <w:tcW w:w="3280" w:type="dxa"/>
            <w:vAlign w:val="bottom"/>
            <w:gridSpan w:val="3"/>
          </w:tcPr>
          <w:p>
            <w:pPr>
              <w:jc w:val="center"/>
              <w:ind w:right="979"/>
              <w:spacing w:after="0"/>
              <w:rPr>
                <w:sz w:val="20"/>
                <w:szCs w:val="20"/>
                <w:color w:val="auto"/>
              </w:rPr>
            </w:pPr>
            <w:r>
              <w:rPr>
                <w:rFonts w:ascii="Arial" w:cs="Arial" w:eastAsia="Arial" w:hAnsi="Arial"/>
                <w:sz w:val="16"/>
                <w:szCs w:val="16"/>
                <w:b w:val="1"/>
                <w:bCs w:val="1"/>
                <w:color w:val="auto"/>
                <w:w w:val="93"/>
              </w:rPr>
              <w:t>Westlake Village, California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420"/>
              <w:spacing w:after="0"/>
              <w:rPr>
                <w:sz w:val="20"/>
                <w:szCs w:val="20"/>
                <w:color w:val="auto"/>
              </w:rPr>
            </w:pPr>
            <w:r>
              <w:rPr>
                <w:rFonts w:ascii="Arial" w:cs="Arial" w:eastAsia="Arial" w:hAnsi="Arial"/>
                <w:sz w:val="16"/>
                <w:szCs w:val="16"/>
                <w:b w:val="1"/>
                <w:bCs w:val="1"/>
                <w:color w:val="auto"/>
              </w:rPr>
              <w:t>(Zip Code)</w:t>
            </w: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62"/>
        </w:trPr>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00" w:type="dxa"/>
            <w:vAlign w:val="bottom"/>
            <w:gridSpan w:val="3"/>
          </w:tcPr>
          <w:p>
            <w:pPr>
              <w:jc w:val="center"/>
              <w:ind w:right="1119"/>
              <w:spacing w:after="0"/>
              <w:rPr>
                <w:sz w:val="20"/>
                <w:szCs w:val="20"/>
                <w:color w:val="auto"/>
              </w:rPr>
            </w:pPr>
            <w:r>
              <w:rPr>
                <w:rFonts w:ascii="Arial" w:cs="Arial" w:eastAsia="Arial" w:hAnsi="Arial"/>
                <w:sz w:val="16"/>
                <w:szCs w:val="16"/>
                <w:b w:val="1"/>
                <w:bCs w:val="1"/>
                <w:color w:val="auto"/>
                <w:w w:val="93"/>
              </w:rPr>
              <w:t>(805) 418-5006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84"/>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gridSpan w:val="4"/>
          </w:tcPr>
          <w:p>
            <w:pPr>
              <w:jc w:val="center"/>
              <w:ind w:right="1360"/>
              <w:spacing w:after="0"/>
              <w:rPr>
                <w:sz w:val="20"/>
                <w:szCs w:val="20"/>
                <w:color w:val="auto"/>
              </w:rPr>
            </w:pPr>
            <w:r>
              <w:rPr>
                <w:rFonts w:ascii="Arial" w:cs="Arial" w:eastAsia="Arial" w:hAnsi="Arial"/>
                <w:sz w:val="16"/>
                <w:szCs w:val="16"/>
                <w:b w:val="1"/>
                <w:bCs w:val="1"/>
                <w:color w:val="auto"/>
                <w:w w:val="92"/>
              </w:rPr>
              <w:t>Not Applicable</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40" w:type="dxa"/>
            <w:vAlign w:val="bottom"/>
            <w:gridSpan w:val="8"/>
          </w:tcPr>
          <w:p>
            <w:pPr>
              <w:ind w:left="32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tc>
      </w:tr>
      <w:tr>
        <w:trPr>
          <w:trHeight w:val="419"/>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68"/>
        </w:trPr>
        <w:tc>
          <w:tcPr>
            <w:tcW w:w="1040" w:type="dxa"/>
            <w:vAlign w:val="bottom"/>
          </w:tcPr>
          <w:p>
            <w:pPr>
              <w:spacing w:after="0"/>
              <w:rPr>
                <w:sz w:val="14"/>
                <w:szCs w:val="14"/>
                <w:color w:val="auto"/>
              </w:rPr>
            </w:pPr>
          </w:p>
        </w:tc>
        <w:tc>
          <w:tcPr>
            <w:tcW w:w="3280" w:type="dxa"/>
            <w:vAlign w:val="bottom"/>
            <w:gridSpan w:val="3"/>
          </w:tcPr>
          <w:p>
            <w:pPr>
              <w:jc w:val="center"/>
              <w:ind w:right="2119"/>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5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2"/>
              </w:rPr>
              <w:t>Trading Symbol</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4320" w:type="dxa"/>
            <w:vAlign w:val="bottom"/>
            <w:gridSpan w:val="4"/>
          </w:tcPr>
          <w:p>
            <w:pPr>
              <w:jc w:val="center"/>
              <w:ind w:right="1059"/>
              <w:spacing w:after="0"/>
              <w:rPr>
                <w:sz w:val="20"/>
                <w:szCs w:val="20"/>
                <w:color w:val="auto"/>
              </w:rPr>
            </w:pPr>
            <w:r>
              <w:rPr>
                <w:rFonts w:ascii="Arial" w:cs="Arial" w:eastAsia="Arial" w:hAnsi="Arial"/>
                <w:sz w:val="16"/>
                <w:szCs w:val="16"/>
                <w:b w:val="1"/>
                <w:bCs w:val="1"/>
                <w:color w:val="auto"/>
                <w:w w:val="91"/>
              </w:rPr>
              <w:t>Common Stock, par value $0.0001</w:t>
            </w:r>
          </w:p>
        </w:tc>
        <w:tc>
          <w:tcPr>
            <w:tcW w:w="140" w:type="dxa"/>
            <w:vAlign w:val="bottom"/>
          </w:tcPr>
          <w:p>
            <w:pPr>
              <w:spacing w:after="0"/>
              <w:rPr>
                <w:sz w:val="21"/>
                <w:szCs w:val="21"/>
                <w:color w:val="auto"/>
              </w:rPr>
            </w:pPr>
          </w:p>
        </w:tc>
        <w:tc>
          <w:tcPr>
            <w:tcW w:w="25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ARQT</w:t>
            </w:r>
          </w:p>
        </w:tc>
        <w:tc>
          <w:tcPr>
            <w:tcW w:w="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bl>
    <w:p>
      <w:pPr>
        <w:spacing w:after="0" w:line="314" w:lineRule="exact"/>
        <w:rPr>
          <w:sz w:val="24"/>
          <w:szCs w:val="24"/>
          <w:color w:val="auto"/>
        </w:rPr>
      </w:pPr>
    </w:p>
    <w:p>
      <w:pPr>
        <w:ind w:right="32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96"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7" w:lineRule="exact"/>
        <w:rPr>
          <w:sz w:val="24"/>
          <w:szCs w:val="24"/>
          <w:color w:val="auto"/>
        </w:rPr>
      </w:pPr>
    </w:p>
    <w:p>
      <w:pPr>
        <w:ind w:right="360"/>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760" w:type="dxa"/>
            <w:vAlign w:val="bottom"/>
          </w:tcPr>
          <w:p>
            <w:pPr>
              <w:ind w:left="144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right="294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The number of shares of the registrant’s Common Stock outstanding as of October 29, 2021 was 50,295,278.</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September 30,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 of Risk Factors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You should carefully consider these risks and uncertainties when investing in our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52" w:lineRule="exact"/>
        <w:rPr>
          <w:sz w:val="20"/>
          <w:szCs w:val="20"/>
          <w:color w:val="auto"/>
        </w:rPr>
      </w:pPr>
    </w:p>
    <w:p>
      <w:pPr>
        <w:jc w:val="both"/>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future operating results to fall below expectations;</w:t>
      </w:r>
    </w:p>
    <w:p>
      <w:pPr>
        <w:ind w:left="660" w:right="8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market opportunities for our product candidates are subject to numerous uncertainties and may prove to be inaccurate. If we have overestimated the size of our market opportunities, our future growth may be limited;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dependent on the development, regulatory approval, and commercialization of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 w:lineRule="exact"/>
        <w:rPr>
          <w:rFonts w:ascii="Arial" w:cs="Arial" w:eastAsia="Arial" w:hAnsi="Arial"/>
          <w:sz w:val="18"/>
          <w:szCs w:val="18"/>
          <w:color w:val="auto"/>
        </w:rPr>
      </w:pPr>
    </w:p>
    <w:p>
      <w:pPr>
        <w:jc w:val="both"/>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ind w:left="328" w:right="1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 w:lineRule="exact"/>
        <w:rPr>
          <w:rFonts w:ascii="Arial" w:cs="Arial" w:eastAsia="Arial" w:hAnsi="Arial"/>
          <w:sz w:val="18"/>
          <w:szCs w:val="18"/>
          <w:color w:val="auto"/>
        </w:rPr>
      </w:pPr>
    </w:p>
    <w:p>
      <w:pPr>
        <w:ind w:left="328" w:right="1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and retention of subjects in clinical trials is expensive and time-consuming and may result in additional costs and delays in our product development activities, or in the failure of such activities;</w:t>
      </w:r>
    </w:p>
    <w:p>
      <w:pPr>
        <w:ind w:left="328" w:right="2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company, we have never obtained marketing approval for any product candidate and we may be unable to successfully do so in a timely manner, if at all, for any of our product candidates;</w:t>
      </w:r>
    </w:p>
    <w:p>
      <w:pPr>
        <w:ind w:left="328" w:right="52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 w:lineRule="exact"/>
        <w:rPr>
          <w:rFonts w:ascii="Arial" w:cs="Arial" w:eastAsia="Arial" w:hAnsi="Arial"/>
          <w:sz w:val="18"/>
          <w:szCs w:val="18"/>
          <w:color w:val="auto"/>
        </w:rPr>
      </w:pPr>
    </w:p>
    <w:p>
      <w:pPr>
        <w:ind w:left="328" w:right="4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limited sales, marketing, or distribution capabilities and have no experience as a company in commercializing products;</w:t>
      </w:r>
    </w:p>
    <w:p>
      <w:pPr>
        <w:ind w:left="328" w:right="6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increase the size of our organization, and we may experience difficulties in executing our growth strategy and managing any growth;</w:t>
      </w:r>
    </w:p>
    <w:p>
      <w:pPr>
        <w:ind w:left="328" w:right="54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ind w:left="328" w:right="3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1" w:lineRule="exact"/>
        <w:rPr>
          <w:rFonts w:ascii="Arial" w:cs="Arial" w:eastAsia="Arial" w:hAnsi="Arial"/>
          <w:sz w:val="18"/>
          <w:szCs w:val="18"/>
          <w:color w:val="auto"/>
        </w:rPr>
      </w:pPr>
    </w:p>
    <w:p>
      <w:pPr>
        <w:ind w:left="328" w:right="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 w:lineRule="exact"/>
        <w:rPr>
          <w:rFonts w:ascii="Arial" w:cs="Arial" w:eastAsia="Arial" w:hAnsi="Arial"/>
          <w:sz w:val="18"/>
          <w:szCs w:val="18"/>
          <w:color w:val="auto"/>
        </w:rPr>
      </w:pPr>
    </w:p>
    <w:p>
      <w:pPr>
        <w:ind w:left="328" w:right="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ind w:left="328" w:right="6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 regulation of our industry and required approvals could materially adversely impact our business, competitive position, financial condition, and results of operations; and</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could have a material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3" w:name="page4"/>
    <w:bookmarkEnd w:id="3"/>
    <w:p>
      <w:pPr>
        <w:spacing w:after="0" w:line="200" w:lineRule="exact"/>
        <w:rPr>
          <w:sz w:val="20"/>
          <w:szCs w:val="20"/>
          <w:color w:val="auto"/>
        </w:rPr>
      </w:pPr>
    </w:p>
    <w:p>
      <w:pPr>
        <w:spacing w:after="0" w:line="308"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p>
      <w:pPr>
        <w:spacing w:after="0" w:line="293"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PART II</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1A.</w:t>
        </w:r>
      </w:hyperlink>
    </w:p>
    <w:p>
      <w:pPr>
        <w:spacing w:after="0" w:line="387"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4.</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6.</w:t>
        </w:r>
      </w:hyperlink>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ind w:left="3980"/>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260" w:type="dxa"/>
            <w:vAlign w:val="bottom"/>
            <w:tcBorders>
              <w:bottom w:val="single" w:sz="8" w:color="0000FF"/>
            </w:tcBorders>
            <w:gridSpan w:val="10"/>
          </w:tcPr>
          <w:p>
            <w:pPr>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5980" w:type="dxa"/>
            <w:vAlign w:val="bottom"/>
            <w:gridSpan w:val="9"/>
          </w:tcPr>
          <w:p>
            <w:pPr>
              <w:spacing w:after="0"/>
              <w:rPr>
                <w:sz w:val="16"/>
                <w:szCs w:val="16"/>
                <w:color w:val="auto"/>
              </w:rPr>
            </w:pPr>
          </w:p>
        </w:tc>
        <w:tc>
          <w:tcPr>
            <w:tcW w:w="1600" w:type="dxa"/>
            <w:vAlign w:val="bottom"/>
          </w:tcPr>
          <w:p>
            <w:pPr>
              <w:spacing w:after="0"/>
              <w:rPr>
                <w:sz w:val="16"/>
                <w:szCs w:val="16"/>
                <w:color w:val="auto"/>
              </w:rPr>
            </w:pPr>
          </w:p>
        </w:tc>
      </w:tr>
      <w:tr>
        <w:trPr>
          <w:trHeight w:val="493"/>
        </w:trPr>
        <w:tc>
          <w:tcPr>
            <w:tcW w:w="824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160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22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Balance Sheets</w:t>
              </w:r>
            </w:hyperlink>
          </w:p>
        </w:tc>
        <w:tc>
          <w:tcPr>
            <w:tcW w:w="6000" w:type="dxa"/>
            <w:vAlign w:val="bottom"/>
            <w:gridSpan w:val="10"/>
          </w:tcPr>
          <w:p>
            <w:pPr>
              <w:spacing w:after="0"/>
              <w:rPr>
                <w:sz w:val="20"/>
                <w:szCs w:val="20"/>
                <w:color w:val="auto"/>
              </w:rPr>
            </w:pPr>
          </w:p>
        </w:tc>
        <w:tc>
          <w:tcPr>
            <w:tcW w:w="160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9"/>
        </w:trPr>
        <w:tc>
          <w:tcPr>
            <w:tcW w:w="824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Statements of Operations and Comprehensive Loss</w:t>
              </w:r>
            </w:hyperlink>
          </w:p>
        </w:tc>
        <w:tc>
          <w:tcPr>
            <w:tcW w:w="160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82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Convertible Preferred Stock and Stockholders’ Equity (Deficit)</w:t>
              </w:r>
            </w:hyperlink>
          </w:p>
        </w:tc>
        <w:tc>
          <w:tcPr>
            <w:tcW w:w="160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10"/>
        </w:trPr>
        <w:tc>
          <w:tcPr>
            <w:tcW w:w="30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Condensed Statements of Cash Flows</w:t>
              </w:r>
            </w:hyperlink>
          </w:p>
        </w:tc>
        <w:tc>
          <w:tcPr>
            <w:tcW w:w="3960" w:type="dxa"/>
            <w:vAlign w:val="bottom"/>
            <w:tcBorders>
              <w:top w:val="single" w:sz="8" w:color="0000FF"/>
            </w:tcBorders>
            <w:gridSpan w:val="5"/>
          </w:tcPr>
          <w:p>
            <w:pPr>
              <w:spacing w:after="0"/>
              <w:rPr>
                <w:sz w:val="18"/>
                <w:szCs w:val="18"/>
                <w:color w:val="auto"/>
              </w:rPr>
            </w:pPr>
          </w:p>
        </w:tc>
        <w:tc>
          <w:tcPr>
            <w:tcW w:w="1200" w:type="dxa"/>
            <w:vAlign w:val="bottom"/>
            <w:gridSpan w:val="2"/>
          </w:tcPr>
          <w:p>
            <w:pPr>
              <w:spacing w:after="0"/>
              <w:rPr>
                <w:sz w:val="18"/>
                <w:szCs w:val="18"/>
                <w:color w:val="auto"/>
              </w:rPr>
            </w:pPr>
          </w:p>
        </w:tc>
        <w:tc>
          <w:tcPr>
            <w:tcW w:w="160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318"/>
        </w:trPr>
        <w:tc>
          <w:tcPr>
            <w:tcW w:w="824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Financial Statements</w:t>
              </w:r>
            </w:hyperlink>
          </w:p>
        </w:tc>
        <w:tc>
          <w:tcPr>
            <w:tcW w:w="160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70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Management’s Discussion and Analysis of Financial Condition and Results of Operations</w:t>
              </w:r>
            </w:hyperlink>
          </w:p>
        </w:tc>
        <w:tc>
          <w:tcPr>
            <w:tcW w:w="1160" w:type="dxa"/>
            <w:vAlign w:val="bottom"/>
          </w:tcPr>
          <w:p>
            <w:pPr>
              <w:spacing w:after="0"/>
              <w:rPr>
                <w:sz w:val="19"/>
                <w:szCs w:val="19"/>
                <w:color w:val="auto"/>
              </w:rPr>
            </w:pPr>
          </w:p>
        </w:tc>
        <w:tc>
          <w:tcPr>
            <w:tcW w:w="160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37"/>
        </w:trPr>
        <w:tc>
          <w:tcPr>
            <w:tcW w:w="470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Quantitative and Qualitative Disclosures about Market Risk</w:t>
              </w:r>
            </w:hyperlink>
          </w:p>
        </w:tc>
        <w:tc>
          <w:tcPr>
            <w:tcW w:w="3540" w:type="dxa"/>
            <w:vAlign w:val="bottom"/>
            <w:gridSpan w:val="5"/>
          </w:tcPr>
          <w:p>
            <w:pPr>
              <w:spacing w:after="0"/>
              <w:rPr>
                <w:sz w:val="20"/>
                <w:szCs w:val="20"/>
                <w:color w:val="auto"/>
              </w:rPr>
            </w:pPr>
          </w:p>
        </w:tc>
        <w:tc>
          <w:tcPr>
            <w:tcW w:w="160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35</w:t>
              </w:r>
            </w:hyperlink>
          </w:p>
        </w:tc>
      </w:tr>
      <w:tr>
        <w:trPr>
          <w:trHeight w:val="209"/>
        </w:trPr>
        <w:tc>
          <w:tcPr>
            <w:tcW w:w="20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Controls and Procedures</w:t>
              </w:r>
            </w:hyperlink>
          </w:p>
        </w:tc>
        <w:tc>
          <w:tcPr>
            <w:tcW w:w="6240" w:type="dxa"/>
            <w:vAlign w:val="bottom"/>
            <w:gridSpan w:val="11"/>
          </w:tcPr>
          <w:p>
            <w:pPr>
              <w:spacing w:after="0"/>
              <w:rPr>
                <w:sz w:val="18"/>
                <w:szCs w:val="18"/>
                <w:color w:val="auto"/>
              </w:rPr>
            </w:pPr>
          </w:p>
        </w:tc>
        <w:tc>
          <w:tcPr>
            <w:tcW w:w="160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35</w:t>
              </w:r>
            </w:hyperlink>
          </w:p>
        </w:tc>
      </w:tr>
      <w:tr>
        <w:trPr>
          <w:trHeight w:val="480"/>
        </w:trPr>
        <w:tc>
          <w:tcPr>
            <w:tcW w:w="8240" w:type="dxa"/>
            <w:vAlign w:val="bottom"/>
            <w:gridSpan w:val="1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1600" w:type="dxa"/>
            <w:vAlign w:val="bottom"/>
          </w:tcPr>
          <w:p>
            <w:pPr>
              <w:spacing w:after="0"/>
              <w:rPr>
                <w:sz w:val="24"/>
                <w:szCs w:val="24"/>
                <w:color w:val="auto"/>
              </w:rPr>
            </w:pPr>
          </w:p>
        </w:tc>
      </w:tr>
      <w:tr>
        <w:trPr>
          <w:trHeight w:val="209"/>
        </w:trPr>
        <w:tc>
          <w:tcPr>
            <w:tcW w:w="1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Legal Proceedings</w:t>
              </w:r>
            </w:hyperlink>
          </w:p>
        </w:tc>
        <w:tc>
          <w:tcPr>
            <w:tcW w:w="420" w:type="dxa"/>
            <w:vAlign w:val="bottom"/>
            <w:tcBorders>
              <w:top w:val="single" w:sz="8" w:color="0000FF"/>
            </w:tcBorders>
            <w:gridSpan w:val="2"/>
          </w:tcPr>
          <w:p>
            <w:pPr>
              <w:spacing w:after="0"/>
              <w:rPr>
                <w:sz w:val="18"/>
                <w:szCs w:val="18"/>
                <w:color w:val="auto"/>
              </w:rPr>
            </w:pPr>
          </w:p>
        </w:tc>
        <w:tc>
          <w:tcPr>
            <w:tcW w:w="6320" w:type="dxa"/>
            <w:vAlign w:val="bottom"/>
            <w:gridSpan w:val="13"/>
          </w:tcPr>
          <w:p>
            <w:pPr>
              <w:spacing w:after="0"/>
              <w:rPr>
                <w:sz w:val="18"/>
                <w:szCs w:val="18"/>
                <w:color w:val="auto"/>
              </w:rPr>
            </w:pPr>
          </w:p>
        </w:tc>
        <w:tc>
          <w:tcPr>
            <w:tcW w:w="160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37</w:t>
              </w:r>
            </w:hyperlink>
          </w:p>
        </w:tc>
      </w:tr>
      <w:tr>
        <w:trPr>
          <w:trHeight w:val="210"/>
        </w:trPr>
        <w:tc>
          <w:tcPr>
            <w:tcW w:w="8240" w:type="dxa"/>
            <w:vAlign w:val="bottom"/>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60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37</w:t>
              </w:r>
            </w:hyperlink>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47"/>
        </w:trPr>
        <w:tc>
          <w:tcPr>
            <w:tcW w:w="486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Unregistered Sales of Equity Securities and Use of Proceeds</w:t>
              </w:r>
            </w:hyperlink>
          </w:p>
        </w:tc>
        <w:tc>
          <w:tcPr>
            <w:tcW w:w="3380" w:type="dxa"/>
            <w:vAlign w:val="bottom"/>
            <w:gridSpan w:val="4"/>
          </w:tcPr>
          <w:p>
            <w:pPr>
              <w:spacing w:after="0"/>
              <w:rPr>
                <w:sz w:val="24"/>
                <w:szCs w:val="24"/>
                <w:color w:val="auto"/>
              </w:rPr>
            </w:pPr>
          </w:p>
        </w:tc>
        <w:tc>
          <w:tcPr>
            <w:tcW w:w="160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50"/>
        </w:trPr>
        <w:tc>
          <w:tcPr>
            <w:tcW w:w="25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Defaults Upon Senior Securities</w:t>
              </w:r>
            </w:hyperlink>
          </w:p>
        </w:tc>
        <w:tc>
          <w:tcPr>
            <w:tcW w:w="5680" w:type="dxa"/>
            <w:vAlign w:val="bottom"/>
            <w:gridSpan w:val="8"/>
          </w:tcPr>
          <w:p>
            <w:pPr>
              <w:spacing w:after="0"/>
              <w:rPr>
                <w:sz w:val="21"/>
                <w:szCs w:val="21"/>
                <w:color w:val="auto"/>
              </w:rPr>
            </w:pPr>
          </w:p>
        </w:tc>
        <w:tc>
          <w:tcPr>
            <w:tcW w:w="160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250"/>
        </w:trPr>
        <w:tc>
          <w:tcPr>
            <w:tcW w:w="19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Mine Safety Disclosures</w:t>
              </w:r>
            </w:hyperlink>
          </w:p>
        </w:tc>
        <w:tc>
          <w:tcPr>
            <w:tcW w:w="6300" w:type="dxa"/>
            <w:vAlign w:val="bottom"/>
            <w:gridSpan w:val="12"/>
          </w:tcPr>
          <w:p>
            <w:pPr>
              <w:spacing w:after="0"/>
              <w:rPr>
                <w:sz w:val="21"/>
                <w:szCs w:val="21"/>
                <w:color w:val="auto"/>
              </w:rPr>
            </w:pPr>
          </w:p>
        </w:tc>
        <w:tc>
          <w:tcPr>
            <w:tcW w:w="160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236"/>
        </w:trPr>
        <w:tc>
          <w:tcPr>
            <w:tcW w:w="8240" w:type="dxa"/>
            <w:vAlign w:val="bottom"/>
            <w:gridSpan w:val="19"/>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160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223"/>
        </w:trPr>
        <w:tc>
          <w:tcPr>
            <w:tcW w:w="64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Exhibits</w:t>
              </w:r>
            </w:hyperlink>
          </w:p>
        </w:tc>
        <w:tc>
          <w:tcPr>
            <w:tcW w:w="760" w:type="dxa"/>
            <w:vAlign w:val="bottom"/>
            <w:tcBorders>
              <w:top w:val="single" w:sz="8" w:color="0000FF"/>
            </w:tcBorders>
            <w:gridSpan w:val="2"/>
          </w:tcPr>
          <w:p>
            <w:pPr>
              <w:spacing w:after="0"/>
              <w:rPr>
                <w:sz w:val="19"/>
                <w:szCs w:val="19"/>
                <w:color w:val="auto"/>
              </w:rPr>
            </w:pPr>
          </w:p>
        </w:tc>
        <w:tc>
          <w:tcPr>
            <w:tcW w:w="6840" w:type="dxa"/>
            <w:vAlign w:val="bottom"/>
            <w:gridSpan w:val="16"/>
          </w:tcPr>
          <w:p>
            <w:pPr>
              <w:spacing w:after="0"/>
              <w:rPr>
                <w:sz w:val="19"/>
                <w:szCs w:val="19"/>
                <w:color w:val="auto"/>
              </w:rPr>
            </w:pPr>
          </w:p>
        </w:tc>
        <w:tc>
          <w:tcPr>
            <w:tcW w:w="160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1109980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60" w:space="440"/>
            <w:col w:w="9840"/>
          </w:cols>
          <w:pgMar w:left="380" w:top="1129"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4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60"/>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52"/>
              <w:spacing w:after="0"/>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51,778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65,082</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219,359</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23"/>
        </w:trPr>
        <w:tc>
          <w:tcPr>
            <w:tcW w:w="84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292,826</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15,462</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r>
      <w:tr>
        <w:trPr>
          <w:trHeight w:val="210"/>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Preferred stock, $0.0001 par value; 10,000,000 shares authorized at September 30, 2021 and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5"/>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December 31, 2020; no shares issued and outstanding at September 30, 2021 and December 31,</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46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rPr>
              <w:t>Common stock, $0.0001 par value; 300,000,000 shares authorized at September 30, 2021 and</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6"/>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December 31, 2020; 50,266,730 and 43,677,817 shares issued at September 30, 2021 and</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5"/>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December 31, 2020, respectively; 50,134,813 and 43,338,438 shares outstanding at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7"/>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2021 and December 31, 2020, respectively</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472,569</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(201,950)</w:t>
            </w:r>
          </w:p>
        </w:tc>
      </w:tr>
      <w:tr>
        <w:trPr>
          <w:trHeight w:val="223"/>
        </w:trPr>
        <w:tc>
          <w:tcPr>
            <w:tcW w:w="8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270,621</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r>
      <w:tr>
        <w:trPr>
          <w:trHeight w:val="21"/>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9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40,604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87,934</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102,581</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(102,581)</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ind w:left="360"/>
              <w:spacing w:after="0" w:line="155" w:lineRule="exact"/>
              <w:rPr>
                <w:sz w:val="20"/>
                <w:szCs w:val="20"/>
                <w:color w:val="auto"/>
              </w:rPr>
            </w:pPr>
            <w:r>
              <w:rPr>
                <w:rFonts w:ascii="Arial" w:cs="Arial" w:eastAsia="Arial" w:hAnsi="Arial"/>
                <w:sz w:val="17"/>
                <w:szCs w:val="17"/>
                <w:color w:val="auto"/>
              </w:rPr>
              <w:t>Weighted-average shares used in computing net loss</w:t>
            </w:r>
          </w:p>
        </w:tc>
        <w:tc>
          <w:tcPr>
            <w:tcW w:w="2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50,097,851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37,748,454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49,136,768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33,214,005</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per share, 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60" w:type="dxa"/>
            <w:vAlign w:val="bottom"/>
          </w:tcPr>
          <w:p>
            <w:pPr>
              <w:spacing w:after="0"/>
              <w:rPr>
                <w:sz w:val="23"/>
                <w:szCs w:val="23"/>
                <w:color w:val="auto"/>
              </w:rPr>
            </w:pPr>
          </w:p>
        </w:tc>
        <w:tc>
          <w:tcPr>
            <w:tcW w:w="1340" w:type="dxa"/>
            <w:vAlign w:val="bottom"/>
            <w:gridSpan w:val="3"/>
          </w:tcPr>
          <w:p>
            <w:pPr>
              <w:jc w:val="center"/>
              <w:ind w:left="630"/>
              <w:spacing w:after="0"/>
              <w:rPr>
                <w:sz w:val="20"/>
                <w:szCs w:val="20"/>
                <w:color w:val="auto"/>
              </w:rPr>
            </w:pPr>
            <w:r>
              <w:rPr>
                <w:rFonts w:ascii="Arial" w:cs="Arial" w:eastAsia="Arial" w:hAnsi="Arial"/>
                <w:sz w:val="11"/>
                <w:szCs w:val="11"/>
                <w:b w:val="1"/>
                <w:bCs w:val="1"/>
                <w:color w:val="auto"/>
                <w:w w:val="99"/>
              </w:rPr>
              <w:t>Convertible</w:t>
            </w:r>
          </w:p>
        </w:tc>
        <w:tc>
          <w:tcPr>
            <w:tcW w:w="7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gridSpan w:val="3"/>
            <w:vMerge w:val="restart"/>
          </w:tcPr>
          <w:p>
            <w:pPr>
              <w:jc w:val="right"/>
              <w:ind w:right="312"/>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w:t>
            </w:r>
          </w:p>
        </w:tc>
        <w:tc>
          <w:tcPr>
            <w:tcW w:w="10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9"/>
                <w:szCs w:val="9"/>
                <w:color w:val="auto"/>
              </w:rPr>
            </w:pPr>
          </w:p>
        </w:tc>
        <w:tc>
          <w:tcPr>
            <w:tcW w:w="8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9"/>
                <w:szCs w:val="9"/>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Paid-In</w:t>
            </w:r>
          </w:p>
        </w:tc>
        <w:tc>
          <w:tcPr>
            <w:tcW w:w="10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20" w:type="dxa"/>
            <w:vAlign w:val="bottom"/>
          </w:tcPr>
          <w:p>
            <w:pPr>
              <w:jc w:val="right"/>
              <w:ind w:right="6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2,120,853</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Conversion of preferred stock into</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24,385,388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166,489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common stock upon initial public offering</w:t>
            </w: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shares of common stock for</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initial public offering, net of issuance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10,781,250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167,240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$16,040</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of common stock</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51,147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upon the exercise of stock options</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Vesting of founder shares subject to</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68,931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64,428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color w:val="auto"/>
              </w:rPr>
              <w:t>Balance—March 31, 2020</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37,471,997</w:t>
            </w:r>
          </w:p>
        </w:tc>
        <w:tc>
          <w:tcPr>
            <w:tcW w:w="80" w:type="dxa"/>
            <w:vAlign w:val="bottom"/>
          </w:tcPr>
          <w:p>
            <w:pPr>
              <w:spacing w:after="0"/>
              <w:rPr>
                <w:sz w:val="15"/>
                <w:szCs w:val="15"/>
                <w:color w:val="auto"/>
              </w:rPr>
            </w:pPr>
          </w:p>
        </w:tc>
        <w:tc>
          <w:tcPr>
            <w:tcW w:w="7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336,145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(94,285)</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241,882</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14,875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Vesting of founder shares subject to</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68,932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114,392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Shares issued pursuant to the employee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19,862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color w:val="auto"/>
              </w:rPr>
              <w:t>Balance—June 30, 2020</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37,690,058</w:t>
            </w:r>
          </w:p>
        </w:tc>
        <w:tc>
          <w:tcPr>
            <w:tcW w:w="80" w:type="dxa"/>
            <w:vAlign w:val="bottom"/>
          </w:tcPr>
          <w:p>
            <w:pPr>
              <w:spacing w:after="0"/>
              <w:rPr>
                <w:sz w:val="15"/>
                <w:szCs w:val="15"/>
                <w:color w:val="auto"/>
              </w:rPr>
            </w:pPr>
          </w:p>
        </w:tc>
        <w:tc>
          <w:tcPr>
            <w:tcW w:w="7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338,617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(129,697)</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208,923</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28,908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79,923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(38,204)</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4"/>
                <w:szCs w:val="14"/>
                <w:color w:val="auto"/>
              </w:rPr>
              <w:t>Balance—September 30,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37,798,889</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340,964</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(167,901)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173,071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Convertible</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3"/>
            <w:vMerge w:val="restart"/>
          </w:tcPr>
          <w:p>
            <w:pPr>
              <w:jc w:val="right"/>
              <w:ind w:right="312"/>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780" w:type="dxa"/>
            <w:vAlign w:val="bottom"/>
            <w:gridSpan w:val="4"/>
          </w:tcPr>
          <w:p>
            <w:pPr>
              <w:jc w:val="right"/>
              <w:ind w:right="292"/>
              <w:spacing w:after="0" w:line="108" w:lineRule="exact"/>
              <w:rPr>
                <w:sz w:val="20"/>
                <w:szCs w:val="20"/>
                <w:color w:val="auto"/>
              </w:rPr>
            </w:pPr>
            <w:r>
              <w:rPr>
                <w:rFonts w:ascii="Arial" w:cs="Arial" w:eastAsia="Arial" w:hAnsi="Arial"/>
                <w:sz w:val="11"/>
                <w:szCs w:val="11"/>
                <w:b w:val="1"/>
                <w:bCs w:val="1"/>
                <w:color w:val="auto"/>
              </w:rPr>
              <w:t>Preferred Stock</w:t>
            </w: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Paid-In</w:t>
            </w:r>
          </w:p>
        </w:tc>
        <w:tc>
          <w:tcPr>
            <w:tcW w:w="106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20"/>
              <w:spacing w:after="0" w:line="108"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2"/>
            <w:vMerge w:val="restart"/>
          </w:tcPr>
          <w:p>
            <w:pPr>
              <w:ind w:left="40"/>
              <w:spacing w:after="0" w:line="108"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70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Pr>
          <w:p>
            <w:pPr>
              <w:spacing w:after="0"/>
              <w:rPr>
                <w:sz w:val="12"/>
                <w:szCs w:val="12"/>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tcPr>
          <w:p>
            <w:pPr>
              <w:jc w:val="right"/>
              <w:ind w:right="69"/>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43,338,438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270,621</w:t>
            </w: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shares of common stock for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public offering, net of issuance costs of</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207,489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207,490</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Arial" w:cs="Arial" w:eastAsia="Arial" w:hAnsi="Arial"/>
                <w:sz w:val="14"/>
                <w:szCs w:val="14"/>
                <w:color w:val="auto"/>
              </w:rPr>
              <w:t>$603</w:t>
            </w: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3"/>
                <w:szCs w:val="13"/>
                <w:color w:val="auto"/>
              </w:rPr>
            </w:pPr>
          </w:p>
        </w:tc>
        <w:tc>
          <w:tcPr>
            <w:tcW w:w="34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111,282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32,362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4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79,925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49,887,007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450,994</w:t>
            </w: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62,314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4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73,623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Shares issued pursuant to the employee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22,658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stock purchase plan</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(42,008)</w:t>
            </w:r>
          </w:p>
        </w:tc>
        <w:tc>
          <w:tcPr>
            <w:tcW w:w="0" w:type="dxa"/>
            <w:vAlign w:val="bottom"/>
          </w:tcPr>
          <w:p>
            <w:pPr>
              <w:spacing w:after="0"/>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Balance—June 30, 2021</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50,045,602</w:t>
            </w:r>
          </w:p>
        </w:tc>
        <w:tc>
          <w:tcPr>
            <w:tcW w:w="100" w:type="dxa"/>
            <w:vAlign w:val="bottom"/>
          </w:tcPr>
          <w:p>
            <w:pPr>
              <w:spacing w:after="0"/>
              <w:rPr>
                <w:sz w:val="15"/>
                <w:szCs w:val="15"/>
                <w:color w:val="auto"/>
              </w:rPr>
            </w:pPr>
          </w:p>
        </w:tc>
        <w:tc>
          <w:tcPr>
            <w:tcW w:w="7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694,519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(280,000)</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414,488</w:t>
            </w: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3"/>
                <w:szCs w:val="13"/>
                <w:color w:val="auto"/>
              </w:rPr>
            </w:pPr>
          </w:p>
        </w:tc>
        <w:tc>
          <w:tcPr>
            <w:tcW w:w="34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4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53,914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5,363</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(56,980)</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Balance—September 30, 2021</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50,134,813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362,995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(135,030)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(101,629)</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Net amortization/accretion on marketable securities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8100" w:type="dxa"/>
            <w:vAlign w:val="bottom"/>
          </w:tcPr>
          <w:p>
            <w:pPr>
              <w:ind w:left="100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12,602</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(80,462)</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(179,364)</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145,550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73,600</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3"/>
        </w:trPr>
        <w:tc>
          <w:tcPr>
            <w:tcW w:w="8100" w:type="dxa"/>
            <w:vAlign w:val="bottom"/>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(99,452)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(105,932)</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168,642</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net of issuance costs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207,490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pursuant to employee stock purchase plan</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Payment of financing costs</w:t>
            </w:r>
          </w:p>
        </w:tc>
        <w:tc>
          <w:tcPr>
            <w:tcW w:w="2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3"/>
        </w:trPr>
        <w:tc>
          <w:tcPr>
            <w:tcW w:w="8100" w:type="dxa"/>
            <w:vAlign w:val="bottom"/>
            <w:tcBorders>
              <w:top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209,066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168,765</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(17,629)</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66,624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63,336</w:t>
            </w: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53,320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45,707</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2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Right-of-use asset obtained in exchange for lease liability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3,645</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Reduction in right-of-use asset upon reassessment of lease term</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6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Arcutis Biotherapeutics, Inc., or the Company, is a late-stage biopharmaceutical company focused on developing meaningful innovations in immuno-dermatology to address the urgent needs of patients living with immune-mediated dermatological diseases and conditions. The Company’s current portfolio is comprised of highly differentiated topical treatments with significant promise to treat immune-mediated dermatological diseases and conditions. The Company believes it has built the industry's leading platform for dermatologic product development. The Company’s strategy is to focus on validated biological targets and to use our platform and deep dermatology expertise to develop differentiated products that have the potential to address the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13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Follow-On Financings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4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October 6, 2020, the Company completed a public offering of 4,000,000 shares of common stock at an offering price of $ 25.00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13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5, 2021, the Company completed a public offering of 6,325,000 shares of stock at an offering price of $35.00 per share, including 825,000 shares sold pursuant to the underwriters full exercise of their option to purchase additional shares. The aggregate net proceeds received by the Company were approximately $207.5 million, after deducting underwriting discounts, commissions, and offering related transaction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(ATM) Offerings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May 6, 2021, the Company entered into a sales agreement (Sales Agreement) with Cowen and Company, LLC (Cowen), under which the Company may from time to time issue and sell shares of its common stock through ATM offerings for an aggregate offering price of up to $100 million. Cowen will act as the Company's sales agent for the ATM program and is entitled to compensation for its services equal to 3% of the gross proceeds of any shares of common stock sold under the Sales Agreement. The Company has not yet issued or sold any shares of common stock through the ATM.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$337.0 million and $202.0 million as of September 30, 2021 and December 31, 2020, respectively. The Company had cash, cash equivalents, restricted cash, and marketable securities of $ 368.8 million and $286.0 million as of September 30, 2021 and December 31, 2020, respectively. Prior to selling common stock in its IPO and follow-on financings, the Company had historically financed its operations primarily through the sale of its convertible preferred stock. Management expects operating losses to continue for the foreseeable future.</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spacing w:after="0" w:line="9" w:lineRule="exact"/>
        <w:rPr>
          <w:sz w:val="20"/>
          <w:szCs w:val="20"/>
          <w:color w:val="auto"/>
        </w:rPr>
      </w:pPr>
    </w:p>
    <w:p>
      <w:pPr>
        <w:ind w:right="160" w:firstLine="8"/>
        <w:spacing w:after="0" w:line="254"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outbreak. As of November 4, 2021, the Company’s operations have not been significantly impacted by the COVID-19 pandemic. The Company is monitoring the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right="860" w:firstLine="648"/>
        <w:spacing w:after="0" w:line="261" w:lineRule="auto"/>
        <w:rPr>
          <w:sz w:val="20"/>
          <w:szCs w:val="20"/>
          <w:color w:val="auto"/>
        </w:rPr>
      </w:pPr>
      <w:r>
        <w:rPr>
          <w:rFonts w:ascii="Arial" w:cs="Arial" w:eastAsia="Arial" w:hAnsi="Arial"/>
          <w:sz w:val="18"/>
          <w:szCs w:val="18"/>
          <w:color w:val="auto"/>
        </w:rPr>
        <w:t>The Company’s condensed financial statements have been prepared in accordance with United States generally accepted accounting principles (U.S. GAAP).</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0" w:lineRule="exact"/>
        <w:rPr>
          <w:sz w:val="20"/>
          <w:szCs w:val="20"/>
          <w:color w:val="auto"/>
        </w:rPr>
      </w:pPr>
    </w:p>
    <w:p>
      <w:pPr>
        <w:ind w:right="20" w:firstLine="648"/>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2020), stock-based compensation expense, and income taxes. Appropriate adjustments, if any, to the estimates used are made prospectively based upon such periodic evaluation. Actual results could differ from those estimates.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0" w:lineRule="exact"/>
        <w:rPr>
          <w:sz w:val="20"/>
          <w:szCs w:val="20"/>
          <w:color w:val="auto"/>
        </w:rPr>
      </w:pPr>
    </w:p>
    <w:p>
      <w:pPr>
        <w:ind w:right="920" w:firstLine="648"/>
        <w:spacing w:after="0" w:line="291"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interim condensed balance sheet as of September 30, 2021, the interim condensed statements of operations and comprehensive loss, and the condensed changes in convertible preferred stock and stockholders’ equity (deficit) and cash flows for the three and nine months ended September 30, 2021 and 2020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 and nine-month periods are also unaudited. The condensed results of operations for the three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and nine months ended September 30, 2021 are not necessarily indicative of the results to be expected for the year ending December 31, 2021 or for any other future annual or interim period. The condensed balance sheet as of December 31, 2020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2020.</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money market funds, commercial paper, and U.S. Treasury securities.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September 30, 2021 and December 31, 2020, the Company held $1.5 million of restricted cash as collateral for a letter of credit related to our amended office space lease. See Note 7.</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condensed balance sheets due to their highly liquid nature and availability for use in current operations.</w:t>
      </w:r>
    </w:p>
    <w:p>
      <w:pPr>
        <w:spacing w:after="0" w:line="12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Unrealized gains and losses are excluded from earnings and are reported as a component of other comprehensive income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Unrealized gains and losses on marketable securities are reported as a component of accumulated other comprehensive income (loss) on the condensed balance sheets. Interest on marketable securities is included in other income, net.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0"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condensed balance sheets.</w:t>
      </w:r>
    </w:p>
    <w:p>
      <w:pPr>
        <w:spacing w:after="0" w:line="12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66"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Company’s financial instruments, in addition to those presented in Note 3, include cash equivalents, accounts payable, and accrued liabilities. The carrying amount of cash equivalents, accounts payable, and accrued liabilities approximate their fair values due to their short maturities.</w:t>
      </w:r>
    </w:p>
    <w:p>
      <w:pPr>
        <w:spacing w:after="0" w:line="134"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Assets and liabilities recorded at fair value on a recurring basis on the condensed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0" w:lineRule="exact"/>
        <w:rPr>
          <w:sz w:val="20"/>
          <w:szCs w:val="20"/>
          <w:color w:val="auto"/>
        </w:rPr>
      </w:pPr>
    </w:p>
    <w:p>
      <w:pPr>
        <w:ind w:left="660" w:right="560" w:firstLine="648"/>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117" w:lineRule="exact"/>
        <w:rPr>
          <w:sz w:val="20"/>
          <w:szCs w:val="20"/>
          <w:color w:val="auto"/>
        </w:rPr>
      </w:pPr>
    </w:p>
    <w:p>
      <w:pPr>
        <w:ind w:left="660" w:right="160" w:firstLine="648"/>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34" w:lineRule="exact"/>
        <w:rPr>
          <w:sz w:val="20"/>
          <w:szCs w:val="20"/>
          <w:color w:val="auto"/>
        </w:rPr>
      </w:pPr>
    </w:p>
    <w:p>
      <w:pPr>
        <w:ind w:left="660" w:right="120" w:firstLine="648"/>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on property and equipment is calculated using the straight-line method over the estimated useful lives of the assets which range from three to five years. Leasehold improvements are depreciated on a straight-line basis over the shorter of their estimated useful lives or lease terms. Maintenance and repairs are expensed as incurred. The Company reviews the carrying values of its property and equipment for possible impairment whenever events or changes in circumstances indicate that the carrying amount of an asset may not be recoverable. There were no impairments recognized during the three and nine months ended September 30, 2021 and 2020.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is adjusted for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29"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and nine months ended September 30, 2021 and 2020, the Company has not experienced any material differences between accrued costs and actual costs incurred.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80"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condensed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138"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139"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3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Congress enacted the American Rescue Plan Act on March 10, 2021, Families First Coronavirus Response Act (FFCR Act) on March 18, 2020, and the Coronavirus Aid, Relief, and Economic Security Act (CARES Act) on March 27, 2020. The American Rescue Plan Act is a follow-up to the CARES Act, which continue the emergency economic stimulus package and includes spending and tax breaks to strengthen the U.S. economy and fund a nationwide effort to curtail the effect of COVID-19. The American Rescue Plan Act,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American Rescue Plan Act, FFCR Act, CARES Act, or Trailer Bill to have a material impact on the Company’s financial statements.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6"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6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0"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There have been no new accounting pronouncements issued or effective that are expected to have a material impact on the Company's condensed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80"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2440" w:type="dxa"/>
            <w:vAlign w:val="bottom"/>
          </w:tcPr>
          <w:p>
            <w:pPr>
              <w:ind w:left="740"/>
              <w:spacing w:after="0"/>
              <w:rPr>
                <w:sz w:val="20"/>
                <w:szCs w:val="20"/>
                <w:color w:val="auto"/>
              </w:rPr>
            </w:pPr>
            <w:r>
              <w:rPr>
                <w:rFonts w:ascii="Arial" w:cs="Arial" w:eastAsia="Arial" w:hAnsi="Arial"/>
                <w:sz w:val="18"/>
                <w:szCs w:val="18"/>
                <w:color w:val="auto"/>
              </w:rPr>
              <w:t>Money market</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60" w:type="dxa"/>
            <w:vAlign w:val="bottom"/>
          </w:tcPr>
          <w:p>
            <w:pPr>
              <w:spacing w:after="0"/>
              <w:rPr>
                <w:sz w:val="22"/>
                <w:szCs w:val="22"/>
                <w:color w:val="auto"/>
              </w:rPr>
            </w:pPr>
          </w:p>
        </w:tc>
        <w:tc>
          <w:tcPr>
            <w:tcW w:w="2440" w:type="dxa"/>
            <w:vAlign w:val="bottom"/>
          </w:tcPr>
          <w:p>
            <w:pPr>
              <w:ind w:left="100"/>
              <w:spacing w:after="0" w:line="254" w:lineRule="exact"/>
              <w:rPr>
                <w:sz w:val="20"/>
                <w:szCs w:val="20"/>
                <w:color w:val="auto"/>
              </w:rPr>
            </w:pPr>
            <w:r>
              <w:rPr>
                <w:rFonts w:ascii="Arial" w:cs="Arial" w:eastAsia="Arial" w:hAnsi="Arial"/>
                <w:sz w:val="18"/>
                <w:szCs w:val="18"/>
                <w:color w:val="auto"/>
              </w:rPr>
              <w:t>funds</w:t>
            </w:r>
            <w:r>
              <w:rPr>
                <w:rFonts w:ascii="Arial" w:cs="Arial" w:eastAsia="Arial" w:hAnsi="Arial"/>
                <w:sz w:val="23"/>
                <w:szCs w:val="23"/>
                <w:color w:val="auto"/>
                <w:vertAlign w:val="superscript"/>
              </w:rPr>
              <w:t>(1)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51,778</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2"/>
                <w:szCs w:val="22"/>
                <w:color w:val="auto"/>
              </w:rPr>
            </w:pPr>
          </w:p>
        </w:tc>
        <w:tc>
          <w:tcPr>
            <w:tcW w:w="4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24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Commercial paper</w:t>
            </w:r>
          </w:p>
        </w:tc>
        <w:tc>
          <w:tcPr>
            <w:tcW w:w="9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111,384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111,384</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2440" w:type="dxa"/>
            <w:vAlign w:val="bottom"/>
          </w:tcPr>
          <w:p>
            <w:pPr>
              <w:ind w:left="740"/>
              <w:spacing w:after="0"/>
              <w:rPr>
                <w:sz w:val="20"/>
                <w:szCs w:val="20"/>
                <w:color w:val="auto"/>
              </w:rPr>
            </w:pPr>
            <w:r>
              <w:rPr>
                <w:rFonts w:ascii="Arial" w:cs="Arial" w:eastAsia="Arial" w:hAnsi="Arial"/>
                <w:sz w:val="18"/>
                <w:szCs w:val="18"/>
                <w:color w:val="auto"/>
              </w:rPr>
              <w:t>Corporate debt</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9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109,723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42"/>
        </w:trPr>
        <w:tc>
          <w:tcPr>
            <w:tcW w:w="260" w:type="dxa"/>
            <w:vAlign w:val="bottom"/>
            <w:shd w:val="clear" w:color="auto" w:fill="CCEEFF"/>
          </w:tcPr>
          <w:p>
            <w:pPr>
              <w:spacing w:after="0"/>
              <w:rPr>
                <w:sz w:val="21"/>
                <w:szCs w:val="21"/>
                <w:color w:val="auto"/>
              </w:rPr>
            </w:pPr>
          </w:p>
        </w:tc>
        <w:tc>
          <w:tcPr>
            <w:tcW w:w="24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U.S. Treasury</w:t>
            </w:r>
          </w:p>
        </w:tc>
        <w:tc>
          <w:tcPr>
            <w:tcW w:w="9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0" w:type="dxa"/>
            <w:vAlign w:val="bottom"/>
            <w:shd w:val="clear" w:color="auto" w:fill="CCEEFF"/>
          </w:tcPr>
          <w:p>
            <w:pPr>
              <w:spacing w:after="0"/>
              <w:rPr>
                <w:sz w:val="21"/>
                <w:szCs w:val="21"/>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9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146,163</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221,107</w:t>
            </w:r>
          </w:p>
        </w:tc>
        <w:tc>
          <w:tcPr>
            <w:tcW w:w="100" w:type="dxa"/>
            <w:vAlign w:val="bottom"/>
          </w:tcPr>
          <w:p>
            <w:pPr>
              <w:spacing w:after="0"/>
              <w:rPr>
                <w:sz w:val="19"/>
                <w:szCs w:val="19"/>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367,270</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740" w:type="dxa"/>
            <w:vAlign w:val="bottom"/>
            <w:gridSpan w:val="4"/>
          </w:tcPr>
          <w:p>
            <w:pPr>
              <w:ind w:left="380"/>
              <w:spacing w:after="0"/>
              <w:rPr>
                <w:sz w:val="20"/>
                <w:szCs w:val="20"/>
                <w:color w:val="auto"/>
              </w:rPr>
            </w:pPr>
            <w:r>
              <w:rPr>
                <w:rFonts w:ascii="Arial" w:cs="Arial" w:eastAsia="Arial" w:hAnsi="Arial"/>
                <w:sz w:val="14"/>
                <w:szCs w:val="14"/>
                <w:color w:val="auto"/>
              </w:rPr>
              <w:t>This balance includes cash requirements settled on a nightly basis.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65,082</w:t>
            </w: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45,518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70"/>
        </w:trPr>
        <w:tc>
          <w:tcPr>
            <w:tcW w:w="260" w:type="dxa"/>
            <w:vAlign w:val="bottom"/>
            <w:tcBorders>
              <w:bottom w:val="single" w:sz="8" w:color="CCEEFF"/>
            </w:tcBorders>
          </w:tcPr>
          <w:p>
            <w:pPr>
              <w:spacing w:after="0"/>
              <w:rPr>
                <w:sz w:val="23"/>
                <w:szCs w:val="23"/>
                <w:color w:val="auto"/>
              </w:rPr>
            </w:pPr>
          </w:p>
        </w:tc>
        <w:tc>
          <w:tcPr>
            <w:tcW w:w="2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Treasury securities</w:t>
            </w:r>
          </w:p>
        </w:tc>
        <w:tc>
          <w:tcPr>
            <w:tcW w:w="9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2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238,923</w:t>
            </w:r>
          </w:p>
        </w:tc>
        <w:tc>
          <w:tcPr>
            <w:tcW w:w="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45,518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284,441</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4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Commercial paper, corporate debt securities, money market funds, and U.S. Treasury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Amortized</w:t>
            </w:r>
          </w:p>
        </w:tc>
        <w:tc>
          <w:tcPr>
            <w:tcW w:w="82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Unrealized</w:t>
            </w:r>
          </w:p>
        </w:tc>
        <w:tc>
          <w:tcPr>
            <w:tcW w:w="194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rPr>
              <w:t>Unrealized</w:t>
            </w:r>
          </w:p>
        </w:tc>
        <w:tc>
          <w:tcPr>
            <w:tcW w:w="900" w:type="dxa"/>
            <w:vAlign w:val="bottom"/>
          </w:tcPr>
          <w:p>
            <w:pPr>
              <w:spacing w:after="0"/>
              <w:rPr>
                <w:sz w:val="12"/>
                <w:szCs w:val="12"/>
                <w:color w:val="auto"/>
              </w:rPr>
            </w:pPr>
          </w:p>
        </w:tc>
        <w:tc>
          <w:tcPr>
            <w:tcW w:w="12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gains</w:t>
            </w: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losses</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100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1320"/>
              <w:spacing w:after="0" w:line="168" w:lineRule="exact"/>
              <w:rPr>
                <w:sz w:val="20"/>
                <w:szCs w:val="20"/>
                <w:color w:val="auto"/>
              </w:rPr>
            </w:pPr>
            <w:r>
              <w:rPr>
                <w:rFonts w:ascii="Arial" w:cs="Arial" w:eastAsia="Arial" w:hAnsi="Arial"/>
                <w:sz w:val="18"/>
                <w:szCs w:val="18"/>
                <w:color w:val="auto"/>
              </w:rPr>
              <w:t>Total cash and cash</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51,778</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680"/>
              <w:spacing w:after="0" w:line="190" w:lineRule="exact"/>
              <w:rPr>
                <w:sz w:val="20"/>
                <w:szCs w:val="20"/>
                <w:color w:val="auto"/>
              </w:rPr>
            </w:pPr>
            <w:r>
              <w:rPr>
                <w:rFonts w:ascii="Arial" w:cs="Arial" w:eastAsia="Arial" w:hAnsi="Arial"/>
                <w:sz w:val="18"/>
                <w:szCs w:val="18"/>
                <w:color w:val="auto"/>
              </w:rPr>
              <w:t>equivalents</w:t>
            </w:r>
          </w:p>
        </w:tc>
        <w:tc>
          <w:tcPr>
            <w:tcW w:w="8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Marketable securities: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Commercial paper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111,384</w:t>
            </w:r>
          </w:p>
        </w:tc>
        <w:tc>
          <w:tcPr>
            <w:tcW w:w="0" w:type="dxa"/>
            <w:vAlign w:val="bottom"/>
          </w:tcPr>
          <w:p>
            <w:pPr>
              <w:spacing w:after="0"/>
              <w:rPr>
                <w:sz w:val="1"/>
                <w:szCs w:val="1"/>
                <w:color w:val="auto"/>
              </w:rPr>
            </w:pPr>
          </w:p>
        </w:tc>
      </w:tr>
      <w:tr>
        <w:trPr>
          <w:trHeight w:val="270"/>
        </w:trPr>
        <w:tc>
          <w:tcPr>
            <w:tcW w:w="3040" w:type="dxa"/>
            <w:vAlign w:val="bottom"/>
          </w:tcPr>
          <w:p>
            <w:pPr>
              <w:ind w:left="1000"/>
              <w:spacing w:after="0"/>
              <w:rPr>
                <w:sz w:val="20"/>
                <w:szCs w:val="20"/>
                <w:color w:val="auto"/>
              </w:rPr>
            </w:pPr>
            <w:r>
              <w:rPr>
                <w:rFonts w:ascii="Arial" w:cs="Arial" w:eastAsia="Arial" w:hAnsi="Arial"/>
                <w:sz w:val="18"/>
                <w:szCs w:val="18"/>
                <w:color w:val="auto"/>
              </w:rPr>
              <w:t>Corporate debt securities</w:t>
            </w:r>
          </w:p>
        </w:tc>
        <w:tc>
          <w:tcPr>
            <w:tcW w:w="8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109,750</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520" w:type="dxa"/>
            <w:vAlign w:val="bottom"/>
          </w:tcPr>
          <w:p>
            <w:pPr>
              <w:jc w:val="center"/>
              <w:ind w:left="70"/>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U.S. Treasury securities</w:t>
            </w: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94,385</w:t>
            </w:r>
          </w:p>
        </w:tc>
        <w:tc>
          <w:tcPr>
            <w:tcW w:w="0" w:type="dxa"/>
            <w:vAlign w:val="bottom"/>
          </w:tcPr>
          <w:p>
            <w:pPr>
              <w:spacing w:after="0"/>
              <w:rPr>
                <w:sz w:val="1"/>
                <w:szCs w:val="1"/>
                <w:color w:val="auto"/>
              </w:rPr>
            </w:pPr>
          </w:p>
        </w:tc>
      </w:tr>
      <w:tr>
        <w:trPr>
          <w:trHeight w:val="168"/>
        </w:trPr>
        <w:tc>
          <w:tcPr>
            <w:tcW w:w="3040" w:type="dxa"/>
            <w:vAlign w:val="bottom"/>
          </w:tcPr>
          <w:p>
            <w:pPr>
              <w:ind w:left="1320"/>
              <w:spacing w:after="0" w:line="168" w:lineRule="exact"/>
              <w:rPr>
                <w:sz w:val="20"/>
                <w:szCs w:val="20"/>
                <w:color w:val="auto"/>
              </w:rPr>
            </w:pPr>
            <w:r>
              <w:rPr>
                <w:rFonts w:ascii="Arial" w:cs="Arial" w:eastAsia="Arial" w:hAnsi="Arial"/>
                <w:sz w:val="18"/>
                <w:szCs w:val="18"/>
                <w:color w:val="auto"/>
              </w:rPr>
              <w:t>Total marketable</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315,510</w:t>
            </w:r>
          </w:p>
        </w:tc>
        <w:tc>
          <w:tcPr>
            <w:tcW w:w="8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32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14"/>
                <w:szCs w:val="14"/>
                <w:color w:val="auto"/>
              </w:rPr>
            </w:pPr>
          </w:p>
        </w:tc>
        <w:tc>
          <w:tcPr>
            <w:tcW w:w="90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315,492</w:t>
            </w:r>
          </w:p>
        </w:tc>
        <w:tc>
          <w:tcPr>
            <w:tcW w:w="0" w:type="dxa"/>
            <w:vAlign w:val="bottom"/>
          </w:tcPr>
          <w:p>
            <w:pPr>
              <w:spacing w:after="0"/>
              <w:rPr>
                <w:sz w:val="1"/>
                <w:szCs w:val="1"/>
                <w:color w:val="auto"/>
              </w:rPr>
            </w:pPr>
          </w:p>
        </w:tc>
      </w:tr>
      <w:tr>
        <w:trPr>
          <w:trHeight w:val="195"/>
        </w:trPr>
        <w:tc>
          <w:tcPr>
            <w:tcW w:w="3040" w:type="dxa"/>
            <w:vAlign w:val="bottom"/>
          </w:tcPr>
          <w:p>
            <w:pPr>
              <w:ind w:left="680"/>
              <w:spacing w:after="0" w:line="190" w:lineRule="exact"/>
              <w:rPr>
                <w:sz w:val="20"/>
                <w:szCs w:val="20"/>
                <w:color w:val="auto"/>
              </w:rPr>
            </w:pPr>
            <w:r>
              <w:rPr>
                <w:rFonts w:ascii="Arial" w:cs="Arial" w:eastAsia="Arial" w:hAnsi="Arial"/>
                <w:sz w:val="18"/>
                <w:szCs w:val="18"/>
                <w:color w:val="auto"/>
              </w:rPr>
              <w:t>securities</w:t>
            </w:r>
          </w:p>
        </w:tc>
        <w:tc>
          <w:tcPr>
            <w:tcW w:w="8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5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gains</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8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Realized gains or losses on investments for the three and nine months ended September 30, 2021 were not material. There were no realized gains or losses on investments for the three and nine months ended September 30, 2020. As of September 30, 2021 and December 31, 2020, unrealized losses on marketable securities were not material, and accordingly, no allowance for credit losses were recorded. As of September 30, 2021 and December 31, 2020, all securities have a maturity of 18 months or less and all securities with gross unrealized losses have been in a continuous loss position for less than one year.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Prepaid clinical trial costs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29"/>
        </w:trPr>
        <w:tc>
          <w:tcPr>
            <w:tcW w:w="5300" w:type="dxa"/>
            <w:vAlign w:val="bottom"/>
            <w:gridSpan w:val="2"/>
          </w:tcPr>
          <w:p>
            <w:pPr>
              <w:ind w:left="680"/>
              <w:spacing w:after="0"/>
              <w:rPr>
                <w:sz w:val="20"/>
                <w:szCs w:val="20"/>
                <w:color w:val="auto"/>
              </w:rPr>
            </w:pPr>
            <w:r>
              <w:rPr>
                <w:rFonts w:ascii="Arial" w:cs="Arial" w:eastAsia="Arial" w:hAnsi="Arial"/>
                <w:sz w:val="18"/>
                <w:szCs w:val="18"/>
                <w:color w:val="auto"/>
              </w:rPr>
              <w:t>Prepaid insurance</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Tax credits</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Other prepaid expenses and current assets</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prepaid expenses and other current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Accrued compensation</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0"/>
        </w:trPr>
        <w:tc>
          <w:tcPr>
            <w:tcW w:w="5300" w:type="dxa"/>
            <w:vAlign w:val="bottom"/>
            <w:gridSpan w:val="2"/>
          </w:tcPr>
          <w:p>
            <w:pPr>
              <w:ind w:left="680"/>
              <w:spacing w:after="0"/>
              <w:rPr>
                <w:sz w:val="20"/>
                <w:szCs w:val="20"/>
                <w:color w:val="auto"/>
              </w:rPr>
            </w:pPr>
            <w:r>
              <w:rPr>
                <w:rFonts w:ascii="Arial" w:cs="Arial" w:eastAsia="Arial" w:hAnsi="Arial"/>
                <w:sz w:val="18"/>
                <w:szCs w:val="18"/>
                <w:color w:val="auto"/>
              </w:rPr>
              <w:t>Clinical trial accruals</w:t>
            </w: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Early exercise liability, current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accrued liabilities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5. Property and Equipment, net</w:t>
            </w: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40" w:type="dxa"/>
            <w:vAlign w:val="bottom"/>
            <w:gridSpan w:val="5"/>
          </w:tcPr>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Useful life (in</w:t>
            </w:r>
          </w:p>
        </w:tc>
        <w:tc>
          <w:tcPr>
            <w:tcW w:w="2800" w:type="dxa"/>
            <w:vAlign w:val="bottom"/>
            <w:gridSpan w:val="8"/>
            <w:vMerge w:val="restart"/>
          </w:tcPr>
          <w:p>
            <w:pPr>
              <w:jc w:val="right"/>
              <w:ind w:right="72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5"/>
                <w:szCs w:val="15"/>
                <w:color w:val="auto"/>
              </w:rPr>
            </w:pPr>
          </w:p>
        </w:tc>
        <w:tc>
          <w:tcPr>
            <w:tcW w:w="15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years)</w:t>
            </w:r>
          </w:p>
        </w:tc>
        <w:tc>
          <w:tcPr>
            <w:tcW w:w="2800" w:type="dxa"/>
            <w:vAlign w:val="bottom"/>
            <w:gridSpan w:val="8"/>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Computer hardware</w:t>
            </w:r>
          </w:p>
        </w:tc>
        <w:tc>
          <w:tcPr>
            <w:tcW w:w="4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555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0"/>
        </w:trPr>
        <w:tc>
          <w:tcPr>
            <w:tcW w:w="5300" w:type="dxa"/>
            <w:vAlign w:val="bottom"/>
            <w:gridSpan w:val="2"/>
          </w:tcPr>
          <w:p>
            <w:pPr>
              <w:ind w:left="680"/>
              <w:spacing w:after="0"/>
              <w:rPr>
                <w:sz w:val="20"/>
                <w:szCs w:val="20"/>
                <w:color w:val="auto"/>
              </w:rPr>
            </w:pPr>
            <w:r>
              <w:rPr>
                <w:rFonts w:ascii="Arial" w:cs="Arial" w:eastAsia="Arial" w:hAnsi="Arial"/>
                <w:sz w:val="18"/>
                <w:szCs w:val="18"/>
                <w:color w:val="auto"/>
              </w:rPr>
              <w:t>Furniture and fixtures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Software</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680"/>
              <w:spacing w:after="0"/>
              <w:rPr>
                <w:sz w:val="20"/>
                <w:szCs w:val="20"/>
                <w:color w:val="auto"/>
              </w:rPr>
            </w:pPr>
            <w:r>
              <w:rPr>
                <w:rFonts w:ascii="Arial" w:cs="Arial" w:eastAsia="Arial" w:hAnsi="Arial"/>
                <w:sz w:val="18"/>
                <w:szCs w:val="18"/>
                <w:color w:val="auto"/>
              </w:rPr>
              <w:t>Construction in process</w:t>
            </w: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4"/>
          </w:tcPr>
          <w:p>
            <w:pPr>
              <w:jc w:val="right"/>
              <w:ind w:right="7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000"/>
              <w:spacing w:after="0"/>
              <w:rPr>
                <w:sz w:val="20"/>
                <w:szCs w:val="20"/>
                <w:color w:val="auto"/>
              </w:rPr>
            </w:pPr>
            <w:r>
              <w:rPr>
                <w:rFonts w:ascii="Arial" w:cs="Arial" w:eastAsia="Arial" w:hAnsi="Arial"/>
                <w:sz w:val="18"/>
                <w:szCs w:val="18"/>
                <w:color w:val="auto"/>
              </w:rPr>
              <w:t>Property and equipment, gross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Less accumulated depreciation</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00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Leasehold improvements are depreciated over the term of the lease. Depreciation expense was $116,000 and $318,000 for the three and nine months ended September 30, 2021, respectively, and $30,000 and $87,000 for the three and nine months ended September 30, 2020,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8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4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convertible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which includes $7.5 million upon U.S. Food and Drug Administration (FDA) approval of the Company's first product,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2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There were no payments made or due in connection with AZ-Licensed Products for the three and nine months ended September 30, 2021 and 2020.</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Janus kinase type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$200.0 million in sales-based milestones based on certain aggregate annual net sales volumes with respect to a licensed product.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Hengrui for the three and nine months ended September 30,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80" w:lineRule="exact"/>
        <w:rPr>
          <w:sz w:val="20"/>
          <w:szCs w:val="20"/>
          <w:color w:val="auto"/>
        </w:rPr>
      </w:pPr>
    </w:p>
    <w:p>
      <w:pPr>
        <w:ind w:right="580" w:firstLine="648"/>
        <w:spacing w:after="0" w:line="254"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2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$ 2,000,000 by (ii) an amount equal to the cash price per share for Series A preferred stock. Other than the potential issuance of this common stock, there are no upfront payments, milestones, or royalties pursuant to the Hawkeye Agreement. The Company determined that Hawkeye is a VIE for which consolidation is not required as it is not the primary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Commitments and Contingencies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ROU asset and lease liability balance by $123,000.</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recognized the ROU asset and lease liability for the new space on May 1, 2020, which was determined to be the lease commencement date, or the date on which the new space was made available to the Company for purposes of planning and constructing the leasehold improvements. The lease payment term for the new space began on December 30, 2020, which was 15 days after the leasehold improvements were substantially complete. The lease payments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lease is subject to fixed rate escalation increases with an initial base rent of $76,000 per month and includes rent free periods aggregating approximately one year. As a result, the Company recognizes rent expense on a straight-line basis for the full amount of the commitment including the minimum rent increases over the life of the lease and the free rent period. The amended lease agreement provided for a leasehold improvement allowance up to $ 1.25 million. It also required the Company to have an available letter of credit of $1.5 million upon occupying the space, which is allowed to be reduced throughout the lease period as rent obligations are met. Accordingly, in November 2020, the Company entered into a letter of credit for $1.5 million, which it secured with a restricted cash account in the same amount. The letter of credit and corresponding restricted cash will be reduced by $308,000 on the first, second, third, and fourth anniversary, and by $45,000 on the fifth anniversary from when the lease payment term began on December 30, 2020, with no further reductions thereafter.</w:t>
      </w:r>
    </w:p>
    <w:p>
      <w:pPr>
        <w:spacing w:after="0" w:line="11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In association with commencement of this new lease, the Company recorded lease liabilities and ROU assets of $3.6 million on its condensed balance sheet as of June 30, 2020. Since the Company was reasonably certain to incur costs equal to or exceeding the leasehold improvement allowance of $1.25 million, the allowance was treated as a lease incentive that was payable to the Company at the lease commencement date. Accordingly, the leasehold improvement allowance was included in the measurement of the consideration in the contract at commencement, and was recognized as a reduction in the ROU asset and lease liability. Upon completion of the leasehold improvements in December 2020, the $1.25 million allowance was reclassified from the lease liability to property and equipment on the condensed balance sheet as of December 31, 2020. The Company capitalized $320,000 of additional leasehold improvements, in excess of the $1.25 million allowance, which were also reflected in property and equipment as of December 31, 2020. All leasehold improvements will be depreciated over the remaining term of the lease.</w:t>
      </w:r>
    </w:p>
    <w:p>
      <w:pPr>
        <w:spacing w:after="0" w:line="144"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The minimum annual rental payments of the Company’s operating lease liability as of September 30, 2021 are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Amounts</w:t>
            </w:r>
          </w:p>
        </w:tc>
      </w:tr>
      <w:tr>
        <w:trPr>
          <w:trHeight w:val="223"/>
        </w:trPr>
        <w:tc>
          <w:tcPr>
            <w:tcW w:w="9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2021 (October through December)</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9140" w:type="dxa"/>
            <w:vAlign w:val="bottom"/>
          </w:tcPr>
          <w:p>
            <w:pPr>
              <w:ind w:left="68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9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9140" w:type="dxa"/>
            <w:vAlign w:val="bottom"/>
          </w:tcPr>
          <w:p>
            <w:pPr>
              <w:ind w:left="680"/>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9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2025</w:t>
            </w:r>
          </w:p>
        </w:tc>
        <w:tc>
          <w:tcPr>
            <w:tcW w:w="9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9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23"/>
        </w:trPr>
        <w:tc>
          <w:tcPr>
            <w:tcW w:w="9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minimum lease payments</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30"/>
        </w:trPr>
        <w:tc>
          <w:tcPr>
            <w:tcW w:w="9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Amounts representing interest</w:t>
            </w: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48"/>
        </w:trPr>
        <w:tc>
          <w:tcPr>
            <w:tcW w:w="9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Present value of future minimum lease payments</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40" w:type="dxa"/>
            <w:vAlign w:val="bottom"/>
          </w:tcPr>
          <w:p>
            <w:pPr>
              <w:ind w:left="680"/>
              <w:spacing w:after="0" w:line="203" w:lineRule="exact"/>
              <w:rPr>
                <w:sz w:val="20"/>
                <w:szCs w:val="20"/>
                <w:color w:val="auto"/>
              </w:rPr>
            </w:pPr>
            <w:r>
              <w:rPr>
                <w:rFonts w:ascii="Arial" w:cs="Arial" w:eastAsia="Arial" w:hAnsi="Arial"/>
                <w:sz w:val="18"/>
                <w:szCs w:val="18"/>
                <w:color w:val="auto"/>
              </w:rPr>
              <w:t>Current portion operating lease liability</w:t>
            </w:r>
          </w:p>
        </w:tc>
        <w:tc>
          <w:tcPr>
            <w:tcW w:w="9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306</w:t>
            </w:r>
          </w:p>
        </w:tc>
      </w:tr>
      <w:tr>
        <w:trPr>
          <w:trHeight w:val="230"/>
        </w:trPr>
        <w:tc>
          <w:tcPr>
            <w:tcW w:w="9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liability, noncurrent</w:t>
            </w:r>
          </w:p>
        </w:tc>
        <w:tc>
          <w:tcPr>
            <w:tcW w:w="9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r>
      <w:tr>
        <w:trPr>
          <w:trHeight w:val="223"/>
        </w:trPr>
        <w:tc>
          <w:tcPr>
            <w:tcW w:w="9140" w:type="dxa"/>
            <w:vAlign w:val="bottom"/>
          </w:tcPr>
          <w:p>
            <w:pPr>
              <w:ind w:left="1000"/>
              <w:spacing w:after="0"/>
              <w:rPr>
                <w:sz w:val="20"/>
                <w:szCs w:val="20"/>
                <w:color w:val="auto"/>
              </w:rPr>
            </w:pPr>
            <w:r>
              <w:rPr>
                <w:rFonts w:ascii="Arial" w:cs="Arial" w:eastAsia="Arial" w:hAnsi="Arial"/>
                <w:sz w:val="18"/>
                <w:szCs w:val="18"/>
                <w:color w:val="auto"/>
              </w:rPr>
              <w:t>Total operating lease liability</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w:t>
            </w:r>
          </w:p>
        </w:tc>
      </w:tr>
      <w:tr>
        <w:trPr>
          <w:trHeight w:val="20"/>
        </w:trPr>
        <w:tc>
          <w:tcPr>
            <w:tcW w:w="9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Straight-line rent expense recognized for operating leases was $171,000 and $516,000 for the three and nine months ended September 30, 2021, respectively, and $ 202,000 and $395,000 for the three and nine months ended September 30, 2020, respectively. There were no significant variable lease payments, including non-lease components such as common area maintenance fees, recognized as rent expense for operating leases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following information represents supplemental disclosure for the condensed statements of cash flows related to the Company’s operating lease (in thousands):</w:t>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r>
      <w:tr>
        <w:trPr>
          <w:trHeight w:val="209"/>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7160" w:type="dxa"/>
            <w:vAlign w:val="bottom"/>
            <w:gridSpan w:val="2"/>
          </w:tcPr>
          <w:p>
            <w:pPr>
              <w:ind w:left="6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45"/>
        </w:trPr>
        <w:tc>
          <w:tcPr>
            <w:tcW w:w="7160" w:type="dxa"/>
            <w:vAlign w:val="bottom"/>
            <w:gridSpan w:val="2"/>
          </w:tcPr>
          <w:p>
            <w:pPr>
              <w:ind w:left="660"/>
              <w:spacing w:after="0"/>
              <w:rPr>
                <w:sz w:val="20"/>
                <w:szCs w:val="20"/>
                <w:color w:val="auto"/>
              </w:rPr>
            </w:pPr>
            <w:r>
              <w:rPr>
                <w:rFonts w:ascii="Arial" w:cs="Arial" w:eastAsia="Arial" w:hAnsi="Arial"/>
                <w:sz w:val="18"/>
                <w:szCs w:val="18"/>
                <w:color w:val="auto"/>
              </w:rPr>
              <w:t>The following summarizes additional information related to the operating lease:</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7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Weighted-average remaining lease term (in years)</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160" w:type="dxa"/>
            <w:vAlign w:val="bottom"/>
            <w:gridSpan w:val="2"/>
          </w:tcPr>
          <w:p>
            <w:pPr>
              <w:ind w:left="680"/>
              <w:spacing w:after="0"/>
              <w:rPr>
                <w:sz w:val="20"/>
                <w:szCs w:val="20"/>
                <w:color w:val="auto"/>
              </w:rPr>
            </w:pPr>
            <w:r>
              <w:rPr>
                <w:rFonts w:ascii="Arial" w:cs="Arial" w:eastAsia="Arial" w:hAnsi="Arial"/>
                <w:sz w:val="18"/>
                <w:szCs w:val="18"/>
                <w:color w:val="auto"/>
              </w:rPr>
              <w:t>Weighted-average discount rate</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jc w:val="right"/>
              <w:ind w:right="299"/>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66"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The Company has entered into manufacturing supply agreements for the commercial supply of topical roflumilast cream which include certain minimum purchase commitments. Firm future purchase commitments under these agreements are approximately $ 5.4 million within the next 3 months and then approximately $0.6 million per year for the following 4 years. This amount does not represent all of the Company’s anticipated purchases, but instead represents only the contractually obligated minimum purchases or firm commitments of non-cancelable minimum amounts.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6"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right="6440" w:hanging="652"/>
        <w:spacing w:after="0" w:line="427" w:lineRule="auto"/>
        <w:tabs>
          <w:tab w:leader="none" w:pos="212"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Preferred Stock and Stockholders’ Equity Convertible Preferred Stock</w:t>
      </w:r>
    </w:p>
    <w:p>
      <w:pPr>
        <w:spacing w:after="0" w:line="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In connection with the Company's IPO in February 2020, all of the Company’s outstanding shares of convertible preferred stock were automatically converted into 24,385,388 shares of common stock.</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166"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September 30, 2021, no dividends had been declared by the board of directors.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gridSpan w:val="2"/>
          </w:tcPr>
          <w:p>
            <w:pPr>
              <w:ind w:left="820"/>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720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2020</w:t>
            </w:r>
          </w:p>
        </w:tc>
      </w:tr>
      <w:tr>
        <w:trPr>
          <w:trHeight w:val="223"/>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Options issued and outstanding</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5,715,147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3,655,945</w:t>
            </w:r>
          </w:p>
        </w:tc>
      </w:tr>
      <w:tr>
        <w:trPr>
          <w:trHeight w:val="230"/>
        </w:trPr>
        <w:tc>
          <w:tcPr>
            <w:tcW w:w="7200" w:type="dxa"/>
            <w:vAlign w:val="bottom"/>
          </w:tcPr>
          <w:p>
            <w:pPr>
              <w:ind w:left="68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960" w:type="dxa"/>
            <w:vAlign w:val="bottom"/>
          </w:tcPr>
          <w:p>
            <w:pPr>
              <w:jc w:val="right"/>
              <w:spacing w:after="0"/>
              <w:rPr>
                <w:sz w:val="20"/>
                <w:szCs w:val="20"/>
                <w:color w:val="auto"/>
              </w:rPr>
            </w:pPr>
            <w:r>
              <w:rPr>
                <w:rFonts w:ascii="Arial" w:cs="Arial" w:eastAsia="Arial" w:hAnsi="Arial"/>
                <w:sz w:val="18"/>
                <w:szCs w:val="18"/>
                <w:color w:val="auto"/>
              </w:rPr>
              <w:t>2,187,166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2,501,329</w:t>
            </w:r>
          </w:p>
        </w:tc>
      </w:tr>
      <w:tr>
        <w:trPr>
          <w:trHeight w:val="229"/>
        </w:trPr>
        <w:tc>
          <w:tcPr>
            <w:tcW w:w="7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Restricted stock units outstanding</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337,868</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162,930</w:t>
            </w:r>
          </w:p>
        </w:tc>
      </w:tr>
      <w:tr>
        <w:trPr>
          <w:trHeight w:val="223"/>
        </w:trPr>
        <w:tc>
          <w:tcPr>
            <w:tcW w:w="7200" w:type="dxa"/>
            <w:vAlign w:val="bottom"/>
          </w:tcPr>
          <w:p>
            <w:pPr>
              <w:ind w:left="1000"/>
              <w:spacing w:after="0"/>
              <w:rPr>
                <w:sz w:val="20"/>
                <w:szCs w:val="20"/>
                <w:color w:val="auto"/>
              </w:rPr>
            </w:pPr>
            <w:r>
              <w:rPr>
                <w:rFonts w:ascii="Arial" w:cs="Arial" w:eastAsia="Arial" w:hAnsi="Arial"/>
                <w:sz w:val="18"/>
                <w:szCs w:val="18"/>
                <w:color w:val="auto"/>
              </w:rPr>
              <w:t>Total common stock reserved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8,240,181</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6,320,204</w:t>
            </w: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8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September 30, 2021 and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Stock-Based Compensation</w:t>
      </w:r>
    </w:p>
    <w:p>
      <w:pPr>
        <w:spacing w:after="0" w:line="16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 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of each year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Accordingly, on January 1, 2021, the plan reserve increased by 1,747,112 shares. As of September 30, 2021, the Company had 1,456,234 shares available for future grant under the 2020 Plan.</w:t>
      </w:r>
    </w:p>
    <w:p>
      <w:pPr>
        <w:spacing w:after="0" w:line="14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13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Contractual</w:t>
            </w:r>
          </w:p>
        </w:tc>
        <w:tc>
          <w:tcPr>
            <w:tcW w:w="88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60" w:type="dxa"/>
            <w:vAlign w:val="bottom"/>
          </w:tcPr>
          <w:p>
            <w:pPr>
              <w:spacing w:after="0"/>
              <w:rPr>
                <w:sz w:val="14"/>
                <w:szCs w:val="14"/>
                <w:color w:val="auto"/>
              </w:rPr>
            </w:pPr>
          </w:p>
        </w:tc>
        <w:tc>
          <w:tcPr>
            <w:tcW w:w="1540" w:type="dxa"/>
            <w:vAlign w:val="bottom"/>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80" w:type="dxa"/>
            <w:vAlign w:val="bottom"/>
            <w:gridSpan w:val="2"/>
          </w:tcPr>
          <w:p>
            <w:pPr>
              <w:jc w:val="center"/>
              <w:ind w:left="480"/>
              <w:spacing w:after="0"/>
              <w:rPr>
                <w:sz w:val="20"/>
                <w:szCs w:val="20"/>
                <w:color w:val="auto"/>
              </w:rPr>
            </w:pPr>
            <w:r>
              <w:rPr>
                <w:rFonts w:ascii="Arial" w:cs="Arial" w:eastAsia="Arial" w:hAnsi="Arial"/>
                <w:sz w:val="14"/>
                <w:szCs w:val="14"/>
                <w:b w:val="1"/>
                <w:bCs w:val="1"/>
                <w:color w:val="auto"/>
                <w:w w:val="99"/>
              </w:rPr>
              <w:t>Term</w:t>
            </w:r>
          </w:p>
        </w:tc>
        <w:tc>
          <w:tcPr>
            <w:tcW w:w="88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38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56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Value</w:t>
            </w:r>
          </w:p>
        </w:tc>
      </w:tr>
      <w:tr>
        <w:trPr>
          <w:trHeight w:val="229"/>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3,655,945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59,274</w:t>
            </w:r>
          </w:p>
        </w:tc>
      </w:tr>
      <w:tr>
        <w:trPr>
          <w:trHeight w:val="229"/>
        </w:trPr>
        <w:tc>
          <w:tcPr>
            <w:tcW w:w="3860" w:type="dxa"/>
            <w:vAlign w:val="bottom"/>
          </w:tcPr>
          <w:p>
            <w:pPr>
              <w:ind w:left="10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2,490,171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8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3860" w:type="dxa"/>
            <w:vAlign w:val="bottom"/>
          </w:tcPr>
          <w:p>
            <w:pPr>
              <w:ind w:left="100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(199,416)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38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3860" w:type="dxa"/>
            <w:vAlign w:val="bottom"/>
          </w:tcPr>
          <w:p>
            <w:pPr>
              <w:ind w:left="680"/>
              <w:spacing w:after="0"/>
              <w:rPr>
                <w:sz w:val="20"/>
                <w:szCs w:val="20"/>
                <w:color w:val="auto"/>
              </w:rPr>
            </w:pPr>
            <w:r>
              <w:rPr>
                <w:rFonts w:ascii="Arial" w:cs="Arial" w:eastAsia="Arial" w:hAnsi="Arial"/>
                <w:sz w:val="18"/>
                <w:szCs w:val="18"/>
                <w:color w:val="auto"/>
              </w:rPr>
              <w:t>Balance—September 30,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5,715,147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44,093</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48"/>
        </w:trPr>
        <w:tc>
          <w:tcPr>
            <w:tcW w:w="3860" w:type="dxa"/>
            <w:vAlign w:val="bottom"/>
            <w:tcBorders>
              <w:bottom w:val="single" w:sz="8" w:color="CCEEFF"/>
            </w:tcBorders>
            <w:shd w:val="clear" w:color="auto" w:fill="CCEEFF"/>
          </w:tcPr>
          <w:p>
            <w:pPr>
              <w:ind w:left="680"/>
              <w:spacing w:after="0" w:line="223" w:lineRule="exact"/>
              <w:rPr>
                <w:sz w:val="20"/>
                <w:szCs w:val="20"/>
                <w:color w:val="auto"/>
              </w:rPr>
            </w:pPr>
            <w:r>
              <w:rPr>
                <w:rFonts w:ascii="Arial" w:cs="Arial" w:eastAsia="Arial" w:hAnsi="Arial"/>
                <w:sz w:val="18"/>
                <w:szCs w:val="18"/>
                <w:color w:val="auto"/>
              </w:rPr>
              <w:t>Exercisable—September 30, 2021</w:t>
            </w:r>
            <w:r>
              <w:rPr>
                <w:rFonts w:ascii="Arial" w:cs="Arial" w:eastAsia="Arial" w:hAnsi="Arial"/>
                <w:sz w:val="23"/>
                <w:szCs w:val="23"/>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2,363,828</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130" w:lineRule="exact"/>
        <w:rPr>
          <w:sz w:val="20"/>
          <w:szCs w:val="20"/>
          <w:color w:val="auto"/>
        </w:rPr>
      </w:pPr>
    </w:p>
    <w:p>
      <w:pPr>
        <w:ind w:right="600" w:firstLine="648"/>
        <w:spacing w:after="0" w:line="256"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September 30, 2021. Prior to the Company's IPO in January 2020, the estimated fair value of the Company's common stock was determined by the board of directors.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intrinsic value of options exercised for the nine months ended September 30, 2021 was $4.8 million.</w:t>
      </w:r>
    </w:p>
    <w:p>
      <w:pPr>
        <w:spacing w:after="0" w:line="158" w:lineRule="exact"/>
        <w:rPr>
          <w:sz w:val="20"/>
          <w:szCs w:val="20"/>
          <w:color w:val="auto"/>
        </w:rPr>
      </w:pPr>
    </w:p>
    <w:p>
      <w:pPr>
        <w:ind w:right="580" w:firstLine="648"/>
        <w:spacing w:after="0" w:line="291" w:lineRule="auto"/>
        <w:rPr>
          <w:sz w:val="20"/>
          <w:szCs w:val="20"/>
          <w:color w:val="auto"/>
        </w:rPr>
      </w:pPr>
      <w:r>
        <w:rPr>
          <w:rFonts w:ascii="Arial" w:cs="Arial" w:eastAsia="Arial" w:hAnsi="Arial"/>
          <w:sz w:val="17"/>
          <w:szCs w:val="17"/>
          <w:color w:val="auto"/>
        </w:rPr>
        <w:t>The total grant-date fair value of the options vested during the nine months ended September 30, 2021 was $11.7 million. The weighted-average grant-date fair value of employee options granted during the nine months ended September 30, 2021 was $19.48.</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225,900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23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31.37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Balance—September 30, 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337,868</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four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Stock-based compensation expense included in the condensed statements of operations and comprehensive loss was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183"/>
        </w:trPr>
        <w:tc>
          <w:tcPr>
            <w:tcW w:w="26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222"/>
        </w:trPr>
        <w:tc>
          <w:tcPr>
            <w:tcW w:w="2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Research and</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4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2,209</w:t>
            </w:r>
          </w:p>
        </w:tc>
      </w:tr>
      <w:tr>
        <w:trPr>
          <w:trHeight w:val="242"/>
        </w:trPr>
        <w:tc>
          <w:tcPr>
            <w:tcW w:w="2620" w:type="dxa"/>
            <w:vAlign w:val="bottom"/>
          </w:tcPr>
          <w:p>
            <w:pPr>
              <w:ind w:left="680"/>
              <w:spacing w:after="0"/>
              <w:rPr>
                <w:sz w:val="20"/>
                <w:szCs w:val="20"/>
                <w:color w:val="auto"/>
              </w:rPr>
            </w:pPr>
            <w:r>
              <w:rPr>
                <w:rFonts w:ascii="Arial" w:cs="Arial" w:eastAsia="Arial" w:hAnsi="Arial"/>
                <w:sz w:val="18"/>
                <w:szCs w:val="18"/>
                <w:color w:val="auto"/>
              </w:rPr>
              <w:t>General and</w:t>
            </w: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4"/>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w:t>
            </w:r>
          </w:p>
        </w:tc>
        <w:tc>
          <w:tcPr>
            <w:tcW w:w="9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12,308</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3,091</w:t>
            </w:r>
          </w:p>
        </w:tc>
      </w:tr>
      <w:tr>
        <w:trPr>
          <w:trHeight w:val="222"/>
        </w:trPr>
        <w:tc>
          <w:tcPr>
            <w:tcW w:w="2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stock-based</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42"/>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compensation expense</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5,300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380" w:firstLine="648"/>
        <w:spacing w:after="0" w:line="254" w:lineRule="auto"/>
        <w:rPr>
          <w:sz w:val="20"/>
          <w:szCs w:val="20"/>
          <w:color w:val="auto"/>
        </w:rPr>
      </w:pPr>
      <w:r>
        <w:rPr>
          <w:rFonts w:ascii="Arial" w:cs="Arial" w:eastAsia="Arial" w:hAnsi="Arial"/>
          <w:sz w:val="18"/>
          <w:szCs w:val="18"/>
          <w:color w:val="auto"/>
        </w:rPr>
        <w:t>As of September 30, 2021, there was $56.7 million of total unrecognized compensation cost related to unvested options that are expected to vest, which is expected to be recognized over a weighted-average period of 3.2 years. As of September 30, 2021, there was $7.9 million of total unrecognized compensation cost related to RSUs that is expected to vest, which is expected to be recognized over a weighted-average period of 3.2 years.</w:t>
      </w:r>
    </w:p>
    <w:p>
      <w:pPr>
        <w:spacing w:after="0" w:line="12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March 2021, in connection with the retirement of the former Chief Financial Officer, the Company modified the terms of this individual’s historical stock awards. As a result of the modifications, the Company recognized approximately $5.3 million of incremental stock compensation expense during the period, which is included in general and administrative expenses.</w:t>
      </w:r>
    </w:p>
    <w:p>
      <w:pPr>
        <w:spacing w:after="0" w:line="134"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12"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w:t>
      </w:r>
    </w:p>
    <w:p>
      <w:pPr>
        <w:spacing w:after="0" w:line="3" w:lineRule="exact"/>
        <w:rPr>
          <w:sz w:val="20"/>
          <w:szCs w:val="20"/>
          <w:color w:val="auto"/>
        </w:rPr>
      </w:pPr>
    </w:p>
    <w:p>
      <w:pPr>
        <w:ind w:left="660" w:right="100" w:hanging="4"/>
        <w:spacing w:after="0" w:line="25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operating results and financial condition, including the Company’s levels of available capital resources; (vi) 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105"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pacing w:after="0" w:line="108" w:lineRule="exact"/>
        <w:rPr>
          <w:sz w:val="20"/>
          <w:szCs w:val="20"/>
          <w:color w:val="auto"/>
        </w:rPr>
      </w:pPr>
    </w:p>
    <w:p>
      <w:pPr>
        <w:ind w:left="660" w:right="80" w:firstLine="648"/>
        <w:spacing w:after="0" w:line="25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does not yet have sufficient trading history for its common stock to solely use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Therefore, the expected volatility was estimated based on a combination of its own historical common stock volatility as well as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20"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81" w:lineRule="exact"/>
        <w:rPr>
          <w:sz w:val="20"/>
          <w:szCs w:val="20"/>
          <w:color w:val="auto"/>
        </w:rPr>
      </w:pPr>
    </w:p>
    <w:p>
      <w:pPr>
        <w:ind w:left="660" w:right="500" w:firstLine="648"/>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158"/>
        </w:trPr>
        <w:tc>
          <w:tcPr>
            <w:tcW w:w="7320" w:type="dxa"/>
            <w:vAlign w:val="bottom"/>
          </w:tcPr>
          <w:p>
            <w:pPr>
              <w:spacing w:after="0"/>
              <w:rPr>
                <w:sz w:val="13"/>
                <w:szCs w:val="13"/>
                <w:color w:val="auto"/>
              </w:rPr>
            </w:pPr>
          </w:p>
        </w:tc>
        <w:tc>
          <w:tcPr>
            <w:tcW w:w="2020" w:type="dxa"/>
            <w:vAlign w:val="bottom"/>
            <w:gridSpan w:val="3"/>
          </w:tcPr>
          <w:p>
            <w:pPr>
              <w:ind w:left="840"/>
              <w:spacing w:after="0" w:line="158" w:lineRule="exact"/>
              <w:rPr>
                <w:sz w:val="20"/>
                <w:szCs w:val="20"/>
                <w:color w:val="auto"/>
              </w:rPr>
            </w:pPr>
            <w:r>
              <w:rPr>
                <w:rFonts w:ascii="Arial" w:cs="Arial" w:eastAsia="Arial" w:hAnsi="Arial"/>
                <w:sz w:val="14"/>
                <w:szCs w:val="14"/>
                <w:b w:val="1"/>
                <w:bCs w:val="1"/>
                <w:color w:val="auto"/>
              </w:rPr>
              <w:t>Nine Months</w:t>
            </w:r>
          </w:p>
        </w:tc>
        <w:tc>
          <w:tcPr>
            <w:tcW w:w="1900" w:type="dxa"/>
            <w:vAlign w:val="bottom"/>
            <w:gridSpan w:val="2"/>
          </w:tcPr>
          <w:p>
            <w:pPr>
              <w:ind w:left="880"/>
              <w:spacing w:after="0" w:line="158" w:lineRule="exact"/>
              <w:rPr>
                <w:sz w:val="20"/>
                <w:szCs w:val="20"/>
                <w:color w:val="auto"/>
              </w:rPr>
            </w:pPr>
            <w:r>
              <w:rPr>
                <w:rFonts w:ascii="Arial" w:cs="Arial" w:eastAsia="Arial" w:hAnsi="Arial"/>
                <w:sz w:val="14"/>
                <w:szCs w:val="14"/>
                <w:b w:val="1"/>
                <w:bCs w:val="1"/>
                <w:color w:val="auto"/>
              </w:rPr>
              <w:t>Year Ended</w:t>
            </w:r>
          </w:p>
        </w:tc>
      </w:tr>
      <w:tr>
        <w:trPr>
          <w:trHeight w:val="176"/>
        </w:trPr>
        <w:tc>
          <w:tcPr>
            <w:tcW w:w="73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Ended September 30, 2021</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7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3"/>
            <w:shd w:val="clear" w:color="auto" w:fill="CCEEFF"/>
          </w:tcPr>
          <w:p>
            <w:pPr>
              <w:jc w:val="center"/>
              <w:ind w:left="477"/>
              <w:spacing w:after="0"/>
              <w:rPr>
                <w:sz w:val="20"/>
                <w:szCs w:val="20"/>
                <w:color w:val="auto"/>
              </w:rPr>
            </w:pPr>
            <w:r>
              <w:rPr>
                <w:rFonts w:ascii="Arial" w:cs="Arial" w:eastAsia="Arial" w:hAnsi="Arial"/>
                <w:sz w:val="18"/>
                <w:szCs w:val="18"/>
                <w:color w:val="auto"/>
                <w:w w:val="99"/>
              </w:rPr>
              <w:t>5.5 – 6.2</w:t>
            </w:r>
          </w:p>
        </w:tc>
        <w:tc>
          <w:tcPr>
            <w:tcW w:w="1900" w:type="dxa"/>
            <w:vAlign w:val="bottom"/>
            <w:gridSpan w:val="2"/>
            <w:shd w:val="clear" w:color="auto" w:fill="CCEEFF"/>
          </w:tcPr>
          <w:p>
            <w:pPr>
              <w:jc w:val="center"/>
              <w:ind w:left="557"/>
              <w:spacing w:after="0"/>
              <w:rPr>
                <w:sz w:val="20"/>
                <w:szCs w:val="20"/>
                <w:color w:val="auto"/>
              </w:rPr>
            </w:pPr>
            <w:r>
              <w:rPr>
                <w:rFonts w:ascii="Arial" w:cs="Arial" w:eastAsia="Arial" w:hAnsi="Arial"/>
                <w:sz w:val="18"/>
                <w:szCs w:val="18"/>
                <w:color w:val="auto"/>
                <w:w w:val="99"/>
              </w:rPr>
              <w:t>5.5 – 6.8</w:t>
            </w:r>
          </w:p>
        </w:tc>
      </w:tr>
      <w:tr>
        <w:trPr>
          <w:trHeight w:val="270"/>
        </w:trPr>
        <w:tc>
          <w:tcPr>
            <w:tcW w:w="7320" w:type="dxa"/>
            <w:vAlign w:val="bottom"/>
          </w:tcPr>
          <w:p>
            <w:pPr>
              <w:ind w:left="680"/>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spacing w:after="0"/>
              <w:rPr>
                <w:sz w:val="20"/>
                <w:szCs w:val="20"/>
                <w:color w:val="auto"/>
              </w:rPr>
            </w:pPr>
            <w:r>
              <w:rPr>
                <w:rFonts w:ascii="Arial" w:cs="Arial" w:eastAsia="Arial" w:hAnsi="Arial"/>
                <w:sz w:val="18"/>
                <w:szCs w:val="18"/>
                <w:color w:val="auto"/>
              </w:rPr>
              <w:t>80.6</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85.2%</w:t>
            </w:r>
          </w:p>
        </w:tc>
        <w:tc>
          <w:tcPr>
            <w:tcW w:w="1100" w:type="dxa"/>
            <w:vAlign w:val="bottom"/>
          </w:tcPr>
          <w:p>
            <w:pPr>
              <w:jc w:val="right"/>
              <w:spacing w:after="0"/>
              <w:rPr>
                <w:sz w:val="20"/>
                <w:szCs w:val="20"/>
                <w:color w:val="auto"/>
              </w:rPr>
            </w:pPr>
            <w:r>
              <w:rPr>
                <w:rFonts w:ascii="Arial" w:cs="Arial" w:eastAsia="Arial" w:hAnsi="Arial"/>
                <w:sz w:val="18"/>
                <w:szCs w:val="18"/>
                <w:color w:val="auto"/>
              </w:rPr>
              <w:t>78.4</w:t>
            </w:r>
          </w:p>
        </w:tc>
        <w:tc>
          <w:tcPr>
            <w:tcW w:w="800" w:type="dxa"/>
            <w:vAlign w:val="bottom"/>
          </w:tcPr>
          <w:p>
            <w:pPr>
              <w:ind w:left="40"/>
              <w:spacing w:after="0"/>
              <w:rPr>
                <w:sz w:val="20"/>
                <w:szCs w:val="20"/>
                <w:color w:val="auto"/>
              </w:rPr>
            </w:pPr>
            <w:r>
              <w:rPr>
                <w:rFonts w:ascii="Arial" w:cs="Arial" w:eastAsia="Arial" w:hAnsi="Arial"/>
                <w:sz w:val="18"/>
                <w:szCs w:val="18"/>
                <w:color w:val="auto"/>
              </w:rPr>
              <w:t>– 80.8%</w:t>
            </w:r>
          </w:p>
        </w:tc>
      </w:tr>
      <w:tr>
        <w:trPr>
          <w:trHeight w:val="270"/>
        </w:trPr>
        <w:tc>
          <w:tcPr>
            <w:tcW w:w="7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w:t>
            </w:r>
          </w:p>
        </w:tc>
      </w:tr>
      <w:tr>
        <w:trPr>
          <w:trHeight w:val="270"/>
        </w:trPr>
        <w:tc>
          <w:tcPr>
            <w:tcW w:w="7320" w:type="dxa"/>
            <w:vAlign w:val="bottom"/>
          </w:tcPr>
          <w:p>
            <w:pPr>
              <w:ind w:left="680"/>
              <w:spacing w:after="0"/>
              <w:rPr>
                <w:sz w:val="20"/>
                <w:szCs w:val="20"/>
                <w:color w:val="auto"/>
              </w:rPr>
            </w:pPr>
            <w:r>
              <w:rPr>
                <w:rFonts w:ascii="Arial" w:cs="Arial" w:eastAsia="Arial" w:hAnsi="Arial"/>
                <w:sz w:val="18"/>
                <w:szCs w:val="18"/>
                <w:color w:val="auto"/>
              </w:rPr>
              <w:t>Dividend yield</w:t>
            </w:r>
          </w:p>
        </w:tc>
        <w:tc>
          <w:tcPr>
            <w:tcW w:w="1100" w:type="dxa"/>
            <w:vAlign w:val="bottom"/>
          </w:tcPr>
          <w:p>
            <w:pPr>
              <w:spacing w:after="0"/>
              <w:rPr>
                <w:sz w:val="23"/>
                <w:szCs w:val="23"/>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23"/>
                <w:szCs w:val="23"/>
                <w:color w:val="auto"/>
              </w:rPr>
            </w:pPr>
          </w:p>
        </w:tc>
        <w:tc>
          <w:tcPr>
            <w:tcW w:w="800" w:type="dxa"/>
            <w:vAlign w:val="bottom"/>
          </w:tcPr>
          <w:p>
            <w:pPr>
              <w:jc w:val="center"/>
              <w:ind w:right="370"/>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$110,000 and $ 258,000 as a liability from the early exercise in the accompanying condensed balance sheets as of September 30, 2021 and December 31, 2020, respectively. As of September 30, 2021 and December 31, 2020, there were $79,000 and $176,000 recorded in accrued liabilities, respectively, and $31,000 and $82,000 recorded in other long-term liabilities, respectively related to shares that were subject to repurchase.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would vest under a service condition, and 84,835 shares would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vested on a monthly basis thereafter. All shares of restricted stock subject to the award were vested as of June 30,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66"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 Accordingly, on January 1, 2021, the ESPP reserve increased by 436,778 shares.</w:t>
      </w:r>
    </w:p>
    <w:p>
      <w:pPr>
        <w:spacing w:after="0" w:line="126"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Company commenced an offering period on January 31, 2020, which ended on May 31, 2020, and resulted in 19,862 shares of stock being issued under the ESPP. The Company also commenced an offering period on June 1, 2020, which ended on November 30, 2020, and resulted in 14,326 shares of stock being issued under the ESPP. In addition, the Company commenced an offering period on December 1, 2020, which ended on May 31, 2021, and resulted in 22,658 shares of stock being issued under the ESPP. Stock-based compensation expense related to the ESPP was $88,000 and $304,000 for the three and nine months ended September 30, 2021, respectively, and $88,000 and $249,000 for the three and nine months ended September 30,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8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As of September 30,</w:t>
            </w:r>
          </w:p>
        </w:tc>
      </w:tr>
      <w:tr>
        <w:trPr>
          <w:trHeight w:val="183"/>
        </w:trPr>
        <w:tc>
          <w:tcPr>
            <w:tcW w:w="79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5,715,147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3,604,363</w:t>
            </w:r>
          </w:p>
        </w:tc>
      </w:tr>
      <w:tr>
        <w:trPr>
          <w:trHeight w:val="230"/>
        </w:trPr>
        <w:tc>
          <w:tcPr>
            <w:tcW w:w="7940" w:type="dxa"/>
            <w:vAlign w:val="bottom"/>
          </w:tcPr>
          <w:p>
            <w:pPr>
              <w:ind w:left="680"/>
              <w:spacing w:after="0"/>
              <w:rPr>
                <w:sz w:val="20"/>
                <w:szCs w:val="20"/>
                <w:color w:val="auto"/>
              </w:rPr>
            </w:pPr>
            <w:r>
              <w:rPr>
                <w:rFonts w:ascii="Arial" w:cs="Arial" w:eastAsia="Arial" w:hAnsi="Arial"/>
                <w:sz w:val="18"/>
                <w:szCs w:val="18"/>
                <w:color w:val="auto"/>
              </w:rPr>
              <w:t>Early exercised options subject to future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131,923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419,312</w:t>
            </w:r>
          </w:p>
        </w:tc>
      </w:tr>
      <w:tr>
        <w:trPr>
          <w:trHeight w:val="229"/>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RSU's subject to future vesting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337,868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163,560</w:t>
            </w:r>
          </w:p>
        </w:tc>
      </w:tr>
      <w:tr>
        <w:trPr>
          <w:trHeight w:val="230"/>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ESPP shares subject to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14,817</w:t>
            </w:r>
          </w:p>
        </w:tc>
      </w:tr>
      <w:tr>
        <w:trPr>
          <w:trHeight w:val="248"/>
        </w:trPr>
        <w:tc>
          <w:tcPr>
            <w:tcW w:w="79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6,207,572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4,202,052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2020 and the related Management's Discussion and Analysis of Financial Condition and Results of Operations, both of which are contained in our Annual Report on Form 10-K for the year ended December 31, 2020, which has been filed with the Securities and Exchange Commission (SEC).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a late-stage biopharmaceutical company focused on developing meaningful innovations in immuno-dermatology to address the urgent needs of patients living with immune-mediated dermatological diseases and conditions.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September 2021, we submitted a New Drug Application (NDA) to the FDA for our lead product candidate, roflumilast cream, for the treatment of mild-to-severe plaque psoriasis. Roflumilast cream is a once-daily topical formulation of roflumilast, a highly potent and selective phosphodiesterase-4 (PDE4) inhibitor. PDE4 is an established biological target in dermatology, with multiple PDE4 inhibitors approved by the FDA for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patients.</w:t>
      </w:r>
    </w:p>
    <w:p>
      <w:pPr>
        <w:spacing w:after="0" w:line="140"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Additionally, we have completed a Phase 2 proof of concept study of roflumilast cream in atopic dermatitis, and enrollment is underway in pivotal Phase 3 clinical trials, with topline data expected in the second half of 2022.</w:t>
      </w:r>
    </w:p>
    <w:p>
      <w:pPr>
        <w:spacing w:after="0" w:line="11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are also developing a topical foam formulation of roflumilast, and have successfully completed Phase 2 studies in both seborrheic dermatitis and scalp and body psoriasis. Enrollment is underway in single pivotal Phase 3 clinical trials in each of the seborrheic dermatitis and scalp and body psoriasis indications. Topline data is expected in the second or third quarter of 2022 for seborrheic dermatitis and the second half of 2022 for scalp and body psoriasis. If successful, we believe these studies will be sufficient bases to file for regulatory approval, based on our discussions with the FDA.</w:t>
      </w:r>
    </w:p>
    <w:p>
      <w:pPr>
        <w:spacing w:after="0" w:line="138"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are developing ARQ-252, a potent and highly selective topical JAK1 inhibitor, for the treatment of chronic hand eczema and vitiligo. As previously disclosed, our Phase 1/2b study of ARQ-252 for the treatment of chronic hand eczema did not meet its primary endpoint. Further analyses of that study pointed toward inadequate local drug delivery to the skin as a key driver of the lack of efficacy. Importantly, there were no safety or tolerability issues seen in that study. Based on these findings, we also terminated our Phase 2 proof of concept study evaluating ARQ-252 as a potential treatment for vitiligo. We are currently working on re-formulating ARQ-252 to develop an enhanced formulation that delivers more active drug to targets in the skin.</w:t>
      </w:r>
    </w:p>
    <w:p>
      <w:pPr>
        <w:spacing w:after="0" w:line="140"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Additionally, we have formulation and preclinical efforts underway for ARQ-255, an alternative topical formulation of ARQ-252 designed to reach deeper into the skin in order to potentially treat alopecia areata.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Since our inception in 2016, we have invested a significant portion of our efforts and financial resources in clinical development activities. We have not generated any revenue from product sales and have funded our operations primarily with the net proceeds from our IPO completed in January 2020 and with the net proceeds from our follow-on equity offerings in October 2020 and February 2021, respectively, as well as with $162.5 million in net cash proceeds from private placements of our convertible preferred stock prior to IPO.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 In addition, on October 6, 2020, we closed our public offering of 4,000,000 shares of common stock and concurrent private placement of 1,400,000 shares of common stock, both at a price of $25.00 per share, receiving an aggregate of $128.4 million in net proceeds after deducting the underwriting discounts,</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commissions, and offering related transaction costs. Also, on February 5, 2021, we closed our public offering of 6,325,000 shares of common stock at a price of $35.00 per share, including 825,000 shares sold pursuant to the underwriters' full exercise of their option to purchase additional shares, receiving an aggregate of $207.5 million in net proceeds, after deducting underwriting discounts, commissions, and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offering related transaction costs. See Note 1 to the unaudited condensed financial statements for additional information.</w:t>
      </w:r>
    </w:p>
    <w:p>
      <w:pPr>
        <w:spacing w:after="0" w:line="14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incurred net losses in each year since inception, including net losses of $57.0 million and $ 135.0 million for the three and nine months ended September 30, 2021, respectively, and $38.2 million and $101.6 million for the three and nine months ended September 30, 2020, respectively. As of September 30, 2021, we had an accumulated deficit of $337.0 million and cash, cash equivalents, restricted cash, and marketable securities of $368.8 million.</w:t>
      </w:r>
    </w:p>
    <w:p>
      <w:pPr>
        <w:spacing w:after="0" w:line="13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financial statements for additional information. Based on our current planned operations, we expect that our current cash, cash equivalents, and marketable securities will be sufficient to fund our operations well into 2023.</w:t>
      </w:r>
    </w:p>
    <w:p>
      <w:pPr>
        <w:spacing w:after="0" w:line="13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 source suppliers, for our preclinical and clinical trial materials, as well as the commercial supply of our products. In addition, we do not yet have a sales organization or fully developed commercial infrastructure. Accordingly, we expect to incur significant expenses to fully develop a sales organization or commercial infrastructure in advance of generating any product sales.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and roflumilast foam. We cannot, at this time, predict the specific extent, duration, or full impact that the COVID-19 outbreak will have on our ongoing and planned clinical trials and other business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17"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developed a return-to-work protocol, and as the pandemic conditions improved in the southern California region, we reopened our office for in-person work beginning in the first quarter of 2021, and have now returned to normal operations. We may need to undertake additional actions that could impact our operations as required by applicable laws or regulations, or which we determine to be in the best interests of our employees.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3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which includes $7.5 million upon FDA approval of our first product,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6 to the unaudited condensed financial statements for additional information.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 execution of the Hengrui Option and License Agreement. In December 2019, we exercised our exclusive option under the agreement, for which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 See Note 6 to the unaudited condensed financial statements for additional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0"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on a program specific basis (topical roflumilast program, topical JAK inhibitor program, and early stage programs). Our internal costs are primarily related to personnel or professional services and apply across programs, and thus are not allocatable on a program specific basis.</w:t>
      </w:r>
    </w:p>
    <w:p>
      <w:pPr>
        <w:spacing w:after="0" w:line="13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of roflumilast cream for atopic dermatitis, the Phase 3 trials of roflumilast foam for seborrheic dermatitis and scalp and body psoriasis, ARQ-252 for chronic hand eczema and vitiligo, and ARQ-255 for alopecia areata.</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2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marketing,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 requirements, directors and officers liability insurance premiums, and investor relations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820" w:type="dxa"/>
            <w:vAlign w:val="bottom"/>
            <w:gridSpan w:val="2"/>
          </w:tcPr>
          <w:p>
            <w:pPr>
              <w:ind w:left="1000"/>
              <w:spacing w:after="0"/>
              <w:rPr>
                <w:sz w:val="20"/>
                <w:szCs w:val="20"/>
                <w:color w:val="auto"/>
              </w:rPr>
            </w:pPr>
            <w:r>
              <w:rPr>
                <w:rFonts w:ascii="Arial" w:cs="Arial" w:eastAsia="Arial" w:hAnsi="Arial"/>
                <w:sz w:val="18"/>
                <w:szCs w:val="18"/>
                <w:color w:val="auto"/>
              </w:rPr>
              <w:t>Research and</w:t>
            </w: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development</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40,604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8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General and</w:t>
            </w:r>
          </w:p>
        </w:tc>
        <w:tc>
          <w:tcPr>
            <w:tcW w:w="8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8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820" w:type="dxa"/>
            <w:vAlign w:val="bottom"/>
            <w:gridSpan w:val="2"/>
          </w:tcPr>
          <w:p>
            <w:pPr>
              <w:ind w:left="680"/>
              <w:spacing w:after="0"/>
              <w:rPr>
                <w:sz w:val="20"/>
                <w:szCs w:val="20"/>
                <w:color w:val="auto"/>
              </w:rPr>
            </w:pPr>
            <w:r>
              <w:rPr>
                <w:rFonts w:ascii="Arial" w:cs="Arial" w:eastAsia="Arial" w:hAnsi="Arial"/>
                <w:sz w:val="18"/>
                <w:szCs w:val="18"/>
                <w:color w:val="auto"/>
              </w:rPr>
              <w:t>Total operating</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57,078</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w:t>
            </w: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CEEFF"/>
          </w:tcPr>
          <w:p>
            <w:pPr>
              <w:spacing w:after="0"/>
              <w:rPr>
                <w:sz w:val="21"/>
                <w:szCs w:val="21"/>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(57,078)</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gridSpan w:val="2"/>
          </w:tcPr>
          <w:p>
            <w:pPr>
              <w:ind w:left="680"/>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(56,980)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880" w:type="dxa"/>
            <w:vAlign w:val="bottom"/>
            <w:gridSpan w:val="6"/>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Direct external costs:</w:t>
            </w:r>
          </w:p>
        </w:tc>
        <w:tc>
          <w:tcPr>
            <w:tcW w:w="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820" w:type="dxa"/>
            <w:vAlign w:val="bottom"/>
            <w:gridSpan w:val="2"/>
          </w:tcPr>
          <w:p>
            <w:pPr>
              <w:ind w:left="1000"/>
              <w:spacing w:after="0" w:line="189" w:lineRule="exact"/>
              <w:rPr>
                <w:sz w:val="20"/>
                <w:szCs w:val="20"/>
                <w:color w:val="auto"/>
              </w:rPr>
            </w:pPr>
            <w:r>
              <w:rPr>
                <w:rFonts w:ascii="Arial" w:cs="Arial" w:eastAsia="Arial" w:hAnsi="Arial"/>
                <w:sz w:val="18"/>
                <w:szCs w:val="18"/>
                <w:color w:val="auto"/>
              </w:rPr>
              <w:t>Topical roflumilast</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program</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26,743</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24,146</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820" w:type="dxa"/>
            <w:vAlign w:val="bottom"/>
            <w:gridSpan w:val="2"/>
            <w:shd w:val="clear" w:color="auto" w:fill="CCEEFF"/>
          </w:tcPr>
          <w:p>
            <w:pPr>
              <w:ind w:left="1000"/>
              <w:spacing w:after="0" w:line="189" w:lineRule="exact"/>
              <w:rPr>
                <w:sz w:val="20"/>
                <w:szCs w:val="20"/>
                <w:color w:val="auto"/>
              </w:rPr>
            </w:pPr>
            <w:r>
              <w:rPr>
                <w:rFonts w:ascii="Arial" w:cs="Arial" w:eastAsia="Arial" w:hAnsi="Arial"/>
                <w:sz w:val="18"/>
                <w:szCs w:val="18"/>
                <w:color w:val="auto"/>
              </w:rPr>
              <w:t>Topical JAK inhibitor</w:t>
            </w:r>
          </w:p>
        </w:tc>
        <w:tc>
          <w:tcPr>
            <w:tcW w:w="8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program</w:t>
            </w:r>
          </w:p>
        </w:tc>
        <w:tc>
          <w:tcPr>
            <w:tcW w:w="8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820" w:type="dxa"/>
            <w:vAlign w:val="bottom"/>
            <w:gridSpan w:val="2"/>
          </w:tcPr>
          <w:p>
            <w:pPr>
              <w:ind w:left="1000"/>
              <w:spacing w:after="0" w:line="189" w:lineRule="exact"/>
              <w:rPr>
                <w:sz w:val="20"/>
                <w:szCs w:val="20"/>
                <w:color w:val="auto"/>
              </w:rPr>
            </w:pPr>
            <w:r>
              <w:rPr>
                <w:rFonts w:ascii="Arial" w:cs="Arial" w:eastAsia="Arial" w:hAnsi="Arial"/>
                <w:sz w:val="18"/>
                <w:szCs w:val="18"/>
                <w:color w:val="auto"/>
              </w:rPr>
              <w:t>Other early stage</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8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Indirect costs:</w:t>
            </w:r>
          </w:p>
        </w:tc>
        <w:tc>
          <w:tcPr>
            <w:tcW w:w="8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20" w:type="dxa"/>
            <w:vAlign w:val="bottom"/>
            <w:gridSpan w:val="2"/>
          </w:tcPr>
          <w:p>
            <w:pPr>
              <w:ind w:left="1000"/>
              <w:spacing w:after="0" w:line="189" w:lineRule="exact"/>
              <w:rPr>
                <w:sz w:val="20"/>
                <w:szCs w:val="20"/>
                <w:color w:val="auto"/>
              </w:rPr>
            </w:pPr>
            <w:r>
              <w:rPr>
                <w:rFonts w:ascii="Arial" w:cs="Arial" w:eastAsia="Arial" w:hAnsi="Arial"/>
                <w:sz w:val="18"/>
                <w:szCs w:val="18"/>
                <w:color w:val="auto"/>
              </w:rPr>
              <w:t>Compensation and</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personnel-related</w:t>
            </w:r>
          </w:p>
        </w:tc>
        <w:tc>
          <w:tcPr>
            <w:tcW w:w="8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8,436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4,292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680"/>
              <w:spacing w:after="0" w:line="168" w:lineRule="exact"/>
              <w:rPr>
                <w:sz w:val="20"/>
                <w:szCs w:val="20"/>
                <w:color w:val="auto"/>
              </w:rPr>
            </w:pPr>
            <w:r>
              <w:rPr>
                <w:rFonts w:ascii="Arial" w:cs="Arial" w:eastAsia="Arial" w:hAnsi="Arial"/>
                <w:sz w:val="18"/>
                <w:szCs w:val="18"/>
                <w:color w:val="auto"/>
              </w:rPr>
              <w:t>Total research and</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40,604</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32,743</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7,861</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development expense</w:t>
            </w:r>
          </w:p>
        </w:tc>
        <w:tc>
          <w:tcPr>
            <w:tcW w:w="88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4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24</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Research and development expenses increased by $7.9 million, or 24%, for the three months ended September 30, 2021 compared to the three months ended September 30, 2020. The increase was primarily due to an increase in compensation and personnel-related costs of $4.8 million, an increase in other costs of $3.6 million, and an increase in direct costs related to the topical roflumilast program of $ 2.6 million. These increases were partially offset by a decrease in direct costs related to the topical JAK inhibitor program (ARQ-252 and ARQ-</w:t>
      </w:r>
    </w:p>
    <w:p>
      <w:pPr>
        <w:spacing w:after="0" w:line="2" w:lineRule="exact"/>
        <w:rPr>
          <w:sz w:val="20"/>
          <w:szCs w:val="20"/>
          <w:color w:val="auto"/>
        </w:rPr>
      </w:pPr>
    </w:p>
    <w:p>
      <w:pPr>
        <w:ind w:right="100" w:firstLine="8"/>
        <w:spacing w:after="0" w:line="252" w:lineRule="auto"/>
        <w:tabs>
          <w:tab w:leader="none" w:pos="4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$3.2 million. The increase in compensation and personnel-related expenses, which includes stock-based compensation, was primarily due to an increase in headcount to manage our growing clinical programs. The increase in other costs was primarily due to an increase in consulting activity and medical affairs spending. The increase in topical roflumilast program costs was primarily due to increased manufacturing costs offset by a slight decrease in clinical trial costs. Clinical trial costs declined due to the completion of Phase 3 studies of roflumilast cream in plaque psoriasis, partially offset by the initiation of Phase 3 studies of roflumilast cream in atopic dermatitis and Phase 3 studies of roflumilast foam in seborrheic dermatitis and scalp psoriasis. The decrease in topical JAK inhibitor program costs was primarily due to the completion of our Phase 2 study of ARQ-252 in chronic hand eczema.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General and administrative expenses increased by $10.9 million, or 196%, for the three months ended September 30, 2021 compared to the three months ended September 30, 2020. The increase was primarily due to an increase in compensation and personnel-related expenses of $6.9 million, and an increase in professional services of $3.1 million. The increase in compensation and personnel-related expenses, which includes stock-based compensation, was primarily due to an increase in headcount. The increase in professional services was due to an increase in consulting activity and marketing expenses primarily related to roflumilast.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0"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Other income, net decreased by $1,000, or 1%, for the three months ended September 30, 2021 compared to the three months ended September 30,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6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r>
      <w:tr>
        <w:trPr>
          <w:trHeight w:val="183"/>
        </w:trPr>
        <w:tc>
          <w:tcPr>
            <w:tcW w:w="2420" w:type="dxa"/>
            <w:vAlign w:val="bottom"/>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197"/>
        </w:trPr>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(unaudited)</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6"/>
        </w:trPr>
        <w:tc>
          <w:tcPr>
            <w:tcW w:w="2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2"/>
        </w:trPr>
        <w:tc>
          <w:tcPr>
            <w:tcW w:w="2420" w:type="dxa"/>
            <w:vAlign w:val="bottom"/>
          </w:tcPr>
          <w:p>
            <w:pPr>
              <w:ind w:left="1000"/>
              <w:spacing w:after="0"/>
              <w:rPr>
                <w:sz w:val="20"/>
                <w:szCs w:val="20"/>
                <w:color w:val="auto"/>
              </w:rPr>
            </w:pPr>
            <w:r>
              <w:rPr>
                <w:rFonts w:ascii="Arial" w:cs="Arial" w:eastAsia="Arial" w:hAnsi="Arial"/>
                <w:sz w:val="18"/>
                <w:szCs w:val="18"/>
                <w:color w:val="auto"/>
              </w:rPr>
              <w:t>Research and</w:t>
            </w: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4"/>
        </w:trPr>
        <w:tc>
          <w:tcPr>
            <w:tcW w:w="2420" w:type="dxa"/>
            <w:vAlign w:val="bottom"/>
          </w:tcPr>
          <w:p>
            <w:pPr>
              <w:ind w:left="360"/>
              <w:spacing w:after="0"/>
              <w:rPr>
                <w:sz w:val="20"/>
                <w:szCs w:val="20"/>
                <w:color w:val="auto"/>
              </w:rPr>
            </w:pPr>
            <w:r>
              <w:rPr>
                <w:rFonts w:ascii="Arial" w:cs="Arial" w:eastAsia="Arial" w:hAnsi="Arial"/>
                <w:sz w:val="18"/>
                <w:szCs w:val="18"/>
                <w:color w:val="auto"/>
              </w:rPr>
              <w:t>development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93,000</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87,934</w:t>
            </w:r>
          </w:p>
        </w:tc>
        <w:tc>
          <w:tcPr>
            <w:tcW w:w="8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4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General and</w:t>
            </w:r>
          </w:p>
        </w:tc>
        <w:tc>
          <w:tcPr>
            <w:tcW w:w="10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10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420" w:type="dxa"/>
            <w:vAlign w:val="bottom"/>
          </w:tcPr>
          <w:p>
            <w:pPr>
              <w:ind w:left="680"/>
              <w:spacing w:after="0"/>
              <w:rPr>
                <w:sz w:val="20"/>
                <w:szCs w:val="20"/>
                <w:color w:val="auto"/>
              </w:rPr>
            </w:pPr>
            <w:r>
              <w:rPr>
                <w:rFonts w:ascii="Arial" w:cs="Arial" w:eastAsia="Arial" w:hAnsi="Arial"/>
                <w:sz w:val="18"/>
                <w:szCs w:val="18"/>
                <w:color w:val="auto"/>
              </w:rPr>
              <w:t>Total operating</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4"/>
        </w:trPr>
        <w:tc>
          <w:tcPr>
            <w:tcW w:w="24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135,243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102,581</w:t>
            </w:r>
          </w:p>
        </w:tc>
        <w:tc>
          <w:tcPr>
            <w:tcW w:w="8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32,662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4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Loss from operations</w:t>
            </w:r>
          </w:p>
        </w:tc>
        <w:tc>
          <w:tcPr>
            <w:tcW w:w="10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(135,243)</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(102,581)</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(32,662)</w:t>
            </w: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(78)</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20" w:type="dxa"/>
            <w:vAlign w:val="bottom"/>
            <w:gridSpan w:val="4"/>
          </w:tcPr>
          <w:p>
            <w:pPr>
              <w:jc w:val="center"/>
              <w:ind w:left="656"/>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Direct external costs:</w:t>
            </w: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000"/>
              <w:spacing w:after="0" w:line="189" w:lineRule="exact"/>
              <w:rPr>
                <w:sz w:val="20"/>
                <w:szCs w:val="20"/>
                <w:color w:val="auto"/>
              </w:rPr>
            </w:pPr>
            <w:r>
              <w:rPr>
                <w:rFonts w:ascii="Arial" w:cs="Arial" w:eastAsia="Arial" w:hAnsi="Arial"/>
                <w:sz w:val="18"/>
                <w:szCs w:val="18"/>
                <w:color w:val="auto"/>
              </w:rPr>
              <w:t>Topical roflumilast</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360"/>
              <w:spacing w:after="0"/>
              <w:rPr>
                <w:sz w:val="20"/>
                <w:szCs w:val="20"/>
                <w:color w:val="auto"/>
              </w:rPr>
            </w:pPr>
            <w:r>
              <w:rPr>
                <w:rFonts w:ascii="Arial" w:cs="Arial" w:eastAsia="Arial" w:hAnsi="Arial"/>
                <w:sz w:val="18"/>
                <w:szCs w:val="18"/>
                <w:color w:val="auto"/>
              </w:rPr>
              <w:t>program</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53,416</w:t>
            </w:r>
          </w:p>
        </w:tc>
        <w:tc>
          <w:tcPr>
            <w:tcW w:w="1160" w:type="dxa"/>
            <w:vAlign w:val="bottom"/>
            <w:gridSpan w:val="3"/>
          </w:tcPr>
          <w:p>
            <w:pPr>
              <w:jc w:val="center"/>
              <w:ind w:left="495"/>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67,980</w:t>
            </w:r>
          </w:p>
        </w:tc>
        <w:tc>
          <w:tcPr>
            <w:tcW w:w="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(14,564)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1000"/>
              <w:spacing w:after="0" w:line="189" w:lineRule="exact"/>
              <w:rPr>
                <w:sz w:val="20"/>
                <w:szCs w:val="20"/>
                <w:color w:val="auto"/>
              </w:rPr>
            </w:pPr>
            <w:r>
              <w:rPr>
                <w:rFonts w:ascii="Arial" w:cs="Arial" w:eastAsia="Arial" w:hAnsi="Arial"/>
                <w:sz w:val="18"/>
                <w:szCs w:val="18"/>
                <w:color w:val="auto"/>
              </w:rPr>
              <w:t>Topical JAK inhibitor</w:t>
            </w:r>
          </w:p>
        </w:tc>
        <w:tc>
          <w:tcPr>
            <w:tcW w:w="10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00" w:type="dxa"/>
            <w:vAlign w:val="bottom"/>
          </w:tcPr>
          <w:p>
            <w:pPr>
              <w:ind w:left="1000"/>
              <w:spacing w:after="0" w:line="189" w:lineRule="exact"/>
              <w:rPr>
                <w:sz w:val="20"/>
                <w:szCs w:val="20"/>
                <w:color w:val="auto"/>
              </w:rPr>
            </w:pPr>
            <w:r>
              <w:rPr>
                <w:rFonts w:ascii="Arial" w:cs="Arial" w:eastAsia="Arial" w:hAnsi="Arial"/>
                <w:sz w:val="18"/>
                <w:szCs w:val="18"/>
                <w:color w:val="auto"/>
              </w:rPr>
              <w:t>Other early stage</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360"/>
              <w:spacing w:after="0"/>
              <w:rPr>
                <w:sz w:val="20"/>
                <w:szCs w:val="20"/>
                <w:color w:val="auto"/>
              </w:rPr>
            </w:pPr>
            <w:r>
              <w:rPr>
                <w:rFonts w:ascii="Arial" w:cs="Arial" w:eastAsia="Arial" w:hAnsi="Arial"/>
                <w:sz w:val="18"/>
                <w:szCs w:val="18"/>
                <w:color w:val="auto"/>
              </w:rPr>
              <w:t>programs</w:t>
            </w:r>
          </w:p>
        </w:tc>
        <w:tc>
          <w:tcPr>
            <w:tcW w:w="1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Indirect costs:</w:t>
            </w: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000"/>
              <w:spacing w:after="0" w:line="189" w:lineRule="exact"/>
              <w:rPr>
                <w:sz w:val="20"/>
                <w:szCs w:val="20"/>
                <w:color w:val="auto"/>
              </w:rPr>
            </w:pPr>
            <w:r>
              <w:rPr>
                <w:rFonts w:ascii="Arial" w:cs="Arial" w:eastAsia="Arial" w:hAnsi="Arial"/>
                <w:sz w:val="18"/>
                <w:szCs w:val="18"/>
                <w:color w:val="auto"/>
              </w:rPr>
              <w:t>Compensation and</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Pr>
          <w:p>
            <w:pPr>
              <w:ind w:left="360"/>
              <w:spacing w:after="0"/>
              <w:rPr>
                <w:sz w:val="20"/>
                <w:szCs w:val="20"/>
                <w:color w:val="auto"/>
              </w:rPr>
            </w:pPr>
            <w:r>
              <w:rPr>
                <w:rFonts w:ascii="Arial" w:cs="Arial" w:eastAsia="Arial" w:hAnsi="Arial"/>
                <w:sz w:val="18"/>
                <w:szCs w:val="18"/>
                <w:color w:val="auto"/>
              </w:rPr>
              <w:t>personnel-related</w:t>
            </w:r>
          </w:p>
        </w:tc>
        <w:tc>
          <w:tcPr>
            <w:tcW w:w="1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2700" w:type="dxa"/>
            <w:vAlign w:val="bottom"/>
          </w:tcPr>
          <w:p>
            <w:pPr>
              <w:ind w:left="680"/>
              <w:spacing w:after="0" w:line="168" w:lineRule="exact"/>
              <w:rPr>
                <w:sz w:val="20"/>
                <w:szCs w:val="20"/>
                <w:color w:val="auto"/>
              </w:rPr>
            </w:pPr>
            <w:r>
              <w:rPr>
                <w:rFonts w:ascii="Arial" w:cs="Arial" w:eastAsia="Arial" w:hAnsi="Arial"/>
                <w:sz w:val="18"/>
                <w:szCs w:val="18"/>
                <w:color w:val="auto"/>
              </w:rPr>
              <w:t>Total research and</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93,000</w:t>
            </w:r>
          </w:p>
        </w:tc>
        <w:tc>
          <w:tcPr>
            <w:tcW w:w="1160" w:type="dxa"/>
            <w:vAlign w:val="bottom"/>
            <w:gridSpan w:val="3"/>
            <w:vMerge w:val="restart"/>
          </w:tcPr>
          <w:p>
            <w:pPr>
              <w:jc w:val="center"/>
              <w:ind w:left="495"/>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87,934</w:t>
            </w:r>
          </w:p>
        </w:tc>
        <w:tc>
          <w:tcPr>
            <w:tcW w:w="80" w:type="dxa"/>
            <w:vAlign w:val="bottom"/>
          </w:tcPr>
          <w:p>
            <w:pPr>
              <w:spacing w:after="0"/>
              <w:rPr>
                <w:sz w:val="14"/>
                <w:szCs w:val="14"/>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line="190" w:lineRule="exact"/>
              <w:rPr>
                <w:sz w:val="20"/>
                <w:szCs w:val="20"/>
                <w:color w:val="auto"/>
              </w:rPr>
            </w:pPr>
            <w:r>
              <w:rPr>
                <w:rFonts w:ascii="Arial" w:cs="Arial" w:eastAsia="Arial" w:hAnsi="Arial"/>
                <w:sz w:val="18"/>
                <w:szCs w:val="18"/>
                <w:color w:val="auto"/>
              </w:rPr>
              <w:t>development expense</w:t>
            </w:r>
          </w:p>
        </w:tc>
        <w:tc>
          <w:tcPr>
            <w:tcW w:w="10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60" w:type="dxa"/>
            <w:vAlign w:val="bottom"/>
            <w:gridSpan w:val="2"/>
          </w:tcPr>
          <w:p>
            <w:pPr>
              <w:jc w:val="right"/>
              <w:ind w:right="120"/>
              <w:spacing w:after="0" w:line="190" w:lineRule="exact"/>
              <w:rPr>
                <w:sz w:val="20"/>
                <w:szCs w:val="20"/>
                <w:color w:val="auto"/>
              </w:rPr>
            </w:pPr>
            <w:r>
              <w:rPr>
                <w:rFonts w:ascii="Arial" w:cs="Arial" w:eastAsia="Arial" w:hAnsi="Arial"/>
                <w:sz w:val="18"/>
                <w:szCs w:val="18"/>
                <w:color w:val="auto"/>
              </w:rPr>
              <w:t>6</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3"/>
          </w:tcPr>
          <w:p>
            <w:pPr>
              <w:jc w:val="center"/>
              <w:ind w:left="475"/>
              <w:spacing w:after="0"/>
              <w:rPr>
                <w:sz w:val="20"/>
                <w:szCs w:val="20"/>
                <w:color w:val="auto"/>
              </w:rPr>
            </w:pPr>
            <w:r>
              <w:rPr>
                <w:rFonts w:ascii="Arial" w:cs="Arial" w:eastAsia="Arial" w:hAnsi="Arial"/>
                <w:sz w:val="18"/>
                <w:szCs w:val="18"/>
                <w:color w:val="auto"/>
                <w:w w:val="99"/>
              </w:rPr>
              <w:t>30</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Research and development expenses increased by $5.1 million, or 6%, for the nine months ended September 30, 2021 compared to the nine months ended September 30, 2020. The increase was primarily due to an increase in compensation and personnel-related costs of $10.8 million, an increase in other costs of $7.8 million, and an increase in direct costs related to the topical JAK inhibitor program of $0.7 million. These increases were partially offset by a decrease in direct costs related to the topical roflumilast program of $14.6 million. The increase in compensation and personnel-related expenses, which includes stock-based compensation, was primarily due to an increase in headcount to manage our growing clinical programs. The increase in other costs were primarily due to an increase in consulting activity and medical affairs spending. The increase in topical JAK inhibitor program costs were primarily due to our Phase 2 study of ARQ-252 in vitiligo, partially offset by lower costs related to our Phase 2 study of ARQ-252 in chronic hand eczema. The decrease in topical roflumilast program costs relate primarily to the completion of the Phase 3 studies of roflumilast cream for plaque psoriasis and the Phase 2 studies of roflumilast foam in seborrheic dermatitis and scalp and body psoriasis. This decrease was partially offset by the costs related to our Phase 3 studies of roflumilast cream in atopic dermatitis and Phase 3 studies of roflumilast foam in seborrheic dermatitis and scalp and body psoriasis.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General and administrative expenses increased by $27.6 million, or 188%, for the nine months ended September 30, 2021 compared to the nine months ended September 30, 2020. The increase was primarily due to an increase in compensation and personnel-related expenses of $18.1 million, and an increase in professional services of $7.8 million. The increase in compensation and personnel-related expenses, which includes stock-based compensation, was due to an increase in headcount, coupled with the recognition of $5.3 million of incremental stock-based compensation expense as a result of modification to the vesting schedule and exercise term of previously-granted awards in connection with the retirement of our former Chief Financial Officer during the first quarter. The increase in professional services was mainly due to an increase in consulting activity and marketing expenses primarily related to roflumilast.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Other income, net decreased by $0.7 million, or 78%, for the nine months ended September 30, 2021 compared to the nine months ended September 30, 2020. The decrease was due to a lower yield on our investment portfolio.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September 30, 2021, we had cash, cash equivalents, restricted cash, and marketable securities of $368.8 million, and an accumulated deficit of $337.0 million.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our follow-on financings in October 2020 and February 2021. We will continue to be dependent upon equity, debt financing, collaborations, or other forms of capital at least until we are able to generate positive cash flows from our operations. On May 6, 2021, we entered into a Sales Agreement, with Cowen, to sell shares of our common stock, from time to time, with aggregate gross sales proceeds of up to $100.0 million through an ATM equity offering program under which Cowen acts as sales agent. During the nine months ended September 30, 2021, we did not issue or sell any shares of our common stock through our ATM.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Borders>
              <w:bottom w:val="single" w:sz="8" w:color="auto"/>
            </w:tcBorders>
          </w:tcPr>
          <w:p>
            <w:pPr>
              <w:spacing w:after="0"/>
              <w:rPr>
                <w:sz w:val="16"/>
                <w:szCs w:val="16"/>
                <w:color w:val="auto"/>
              </w:rPr>
            </w:pPr>
          </w:p>
        </w:tc>
      </w:tr>
      <w:tr>
        <w:trPr>
          <w:trHeight w:val="183"/>
        </w:trPr>
        <w:tc>
          <w:tcPr>
            <w:tcW w:w="60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96"/>
              </w:rPr>
              <w:t>2020</w:t>
            </w:r>
          </w:p>
        </w:tc>
      </w:tr>
      <w:tr>
        <w:trPr>
          <w:trHeight w:val="238"/>
        </w:trPr>
        <w:tc>
          <w:tcPr>
            <w:tcW w:w="6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gridSpan w:val="3"/>
          </w:tcPr>
          <w:p>
            <w:pPr>
              <w:jc w:val="center"/>
              <w:ind w:left="1319"/>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2"/>
        </w:trPr>
        <w:tc>
          <w:tcPr>
            <w:tcW w:w="6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0" w:type="dxa"/>
            <w:vAlign w:val="bottom"/>
            <w:gridSpan w:val="4"/>
          </w:tcPr>
          <w:p>
            <w:pPr>
              <w:jc w:val="center"/>
              <w:ind w:left="55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9"/>
                <w:szCs w:val="19"/>
                <w:color w:val="auto"/>
              </w:rPr>
            </w:pPr>
          </w:p>
        </w:tc>
      </w:tr>
      <w:tr>
        <w:trPr>
          <w:trHeight w:val="236"/>
        </w:trPr>
        <w:tc>
          <w:tcPr>
            <w:tcW w:w="6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used in operating activities</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(122,918)</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(80,462)</w:t>
            </w:r>
          </w:p>
        </w:tc>
      </w:tr>
      <w:tr>
        <w:trPr>
          <w:trHeight w:val="229"/>
        </w:trPr>
        <w:tc>
          <w:tcPr>
            <w:tcW w:w="6020" w:type="dxa"/>
            <w:vAlign w:val="bottom"/>
          </w:tcPr>
          <w:p>
            <w:pPr>
              <w:ind w:left="680"/>
              <w:spacing w:after="0"/>
              <w:rPr>
                <w:sz w:val="20"/>
                <w:szCs w:val="20"/>
                <w:color w:val="auto"/>
              </w:rPr>
            </w:pPr>
            <w:r>
              <w:rPr>
                <w:rFonts w:ascii="Arial" w:cs="Arial" w:eastAsia="Arial" w:hAnsi="Arial"/>
                <w:sz w:val="18"/>
                <w:szCs w:val="18"/>
                <w:color w:val="auto"/>
              </w:rPr>
              <w:t>Cash used in investing activities</w:t>
            </w:r>
          </w:p>
        </w:tc>
        <w:tc>
          <w:tcPr>
            <w:tcW w:w="1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(99,452)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(105,932)</w:t>
            </w:r>
          </w:p>
        </w:tc>
      </w:tr>
      <w:tr>
        <w:trPr>
          <w:trHeight w:val="230"/>
        </w:trPr>
        <w:tc>
          <w:tcPr>
            <w:tcW w:w="6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provided by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209,066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168,765</w:t>
            </w: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Net decrease in cash, cash equivalents, and restricted cash</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(13,304)</w:t>
            </w: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w:t>
            </w:r>
          </w:p>
        </w:tc>
      </w:tr>
      <w:tr>
        <w:trPr>
          <w:trHeight w:val="21"/>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nine months ended September 30, 2021, net cash used in operating activities was $122.9 million, which consisted of a net loss of $135.0 million and a change in net operating assets and liabilities of $ 9.2 million, partially offset by net non-cash charges of $21.3 million. The change in net operating assets and liabilities was primarily due to an increase of $6.1 million in prepaid expenses and other current assets and a decrease of $ 3.4 million in accounts payable and accrued liabilities due to the timing of payments and lower outstanding accounts payable balances for our contract research organizations (CROs). The net non-cash charges were primarily related to stock-based compensation expense of $18.2 million.</w:t>
      </w:r>
    </w:p>
    <w:p>
      <w:pPr>
        <w:spacing w:after="0" w:line="14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During the nine months ended September 30, 2020, net cash used in operating activities was $80.5 million, which consisted of a net loss of $101.6 million, offset by a change in net operating assets and liabilities of $15.9 million and net non-cash charges of $5.3 million. The change in net operating assets and liabilities was primarily due to an increase of $16.3 million in accounts payable and accrued liabilities due to our operating expense growth and timing of payments. The net non-cash charges were primarily related to stock-based compensation expense of $5.3 million.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6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During the nine months ended September 30, 2021, net cash used in investing activities was $99.5 million, which was comprised primarily of purchases of marketable securities of $244.3 million, partially offset by the proceeds from the maturities of marketable securities of $145.6 million.</w:t>
      </w:r>
    </w:p>
    <w:p>
      <w:pPr>
        <w:spacing w:after="0" w:line="134"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During the nine months ended September 30, 2020, net cash used in investing activities was $105.9 million, which was comprised primarily of purchases of marketable securities of $179.4 million, partially offset by proceeds from the maturities of marketable securities of $73.6 million.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66"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During the nine months ended September 30, 2021, net cash provided by financing activities was $209.1 million, which was comprised primarily of the net cash proceeds received from the follow-on financing in February 2021 of $207.5 million.</w:t>
      </w:r>
    </w:p>
    <w:p>
      <w:pPr>
        <w:spacing w:after="0" w:line="130"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During the nine months ended September 30, 2020, net cash provided by financing activities was $168.8 million, which was comprised primarily of the net cash proceeds received from the IPO of $168.6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$337.0 million as of September 30, 2021. We had cash, cash equivalents, and marketable securities of $367.3 million as of September 30, 2021. Based on our current planned operations, we expect that our current cash, cash equivalents, and marketable securities will be sufficient to fund our operations well into 2023. Our ability to continue as a going concern is dependent upon our ability to successfully secure sources of financing and ultimately achieve profitable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12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36" w:lineRule="exact"/>
        <w:rPr>
          <w:sz w:val="20"/>
          <w:szCs w:val="20"/>
          <w:color w:val="auto"/>
        </w:rPr>
      </w:pPr>
    </w:p>
    <w:p>
      <w:pPr>
        <w:ind w:left="820" w:right="160" w:hanging="164"/>
        <w:spacing w:after="0" w:line="273"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and body psoriasis, ARQ-252 in chronic hand eczema and vitiligo, and our formulation and preclinical efforts for ARQ-255 for alopecia areata;</w:t>
      </w:r>
    </w:p>
    <w:p>
      <w:pPr>
        <w:spacing w:after="0" w:line="123" w:lineRule="exact"/>
        <w:rPr>
          <w:rFonts w:ascii="Arial" w:cs="Arial" w:eastAsia="Arial" w:hAnsi="Arial"/>
          <w:sz w:val="17"/>
          <w:szCs w:val="17"/>
          <w:color w:val="auto"/>
        </w:rPr>
      </w:pPr>
    </w:p>
    <w:p>
      <w:pPr>
        <w:ind w:left="820" w:right="12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116" w:lineRule="exact"/>
        <w:rPr>
          <w:rFonts w:ascii="Arial" w:cs="Arial" w:eastAsia="Arial" w:hAnsi="Arial"/>
          <w:sz w:val="18"/>
          <w:szCs w:val="18"/>
          <w:color w:val="auto"/>
        </w:rPr>
      </w:pPr>
    </w:p>
    <w:p>
      <w:pPr>
        <w:ind w:left="820" w:right="78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57" w:lineRule="exact"/>
        <w:rPr>
          <w:rFonts w:ascii="Arial" w:cs="Arial" w:eastAsia="Arial" w:hAnsi="Arial"/>
          <w:sz w:val="18"/>
          <w:szCs w:val="18"/>
          <w:color w:val="auto"/>
        </w:rPr>
      </w:pPr>
    </w:p>
    <w:p>
      <w:pPr>
        <w:ind w:left="820" w:right="7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116" w:lineRule="exact"/>
        <w:rPr>
          <w:rFonts w:ascii="Arial" w:cs="Arial" w:eastAsia="Arial" w:hAnsi="Arial"/>
          <w:sz w:val="18"/>
          <w:szCs w:val="18"/>
          <w:color w:val="auto"/>
        </w:rPr>
      </w:pPr>
    </w:p>
    <w:p>
      <w:pPr>
        <w:ind w:left="820" w:right="50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57" w:lineRule="exact"/>
        <w:rPr>
          <w:rFonts w:ascii="Arial" w:cs="Arial" w:eastAsia="Arial" w:hAnsi="Arial"/>
          <w:sz w:val="18"/>
          <w:szCs w:val="18"/>
          <w:color w:val="auto"/>
        </w:rPr>
      </w:pPr>
    </w:p>
    <w:p>
      <w:pPr>
        <w:ind w:left="820" w:right="20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significant contractual obligations as of September 30,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Operating Lease</w:t>
      </w:r>
    </w:p>
    <w:p>
      <w:pPr>
        <w:spacing w:after="0" w:line="180"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April 2020, we amended our lease agreement for our facility in Westlake Village, California to relocate to a new expanded space including 22,643 square feet. The lease payment term for the new space began on December 30, 2020 and will terminate 91 months thereafter, with a renewal option term of five years. We have a one-time option to cancel the lease after month 67.</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The amended lease agreement required that we deliver a letter of credit to the landlord of $1.5 million upon occupying the space, which is allowed to be reduced throughout the lease period as rent obligations are met. Accordingly, in November 2020, we entered into a letter of credit for $1.5 million, which is secured with a restricted cash account in the same amount. The total commitment under the operating lease agreement is $6.7 million, including $0.1 million for the remaining three months of 2021, $0.8 million for 2022, $1.0 million for each of the years 2023, 2024 and 2025, and $2.8 million for 2026 and thereafter. See Note 7 to the unaudited condensed financial statements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8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entered into manufacturing supply agreements for the commercial supply of topical roflumilast cream which include certain minimum purchase commitments. Firm future purchase commitments under these agreements are approximately $5.4 million within the next 3 months and then approximately $0.6 million per year for the following 4 years. This amount does not represent all of the our anticipated purchases, but instead represents only the contractually obligated minimum purchases or firm commitments of non-cancelable minimum amounts.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0"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3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2020. There were no material changes to our critical accounting policies during the nine months ended September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No. 016-01, </w:t>
      </w:r>
      <w:r>
        <w:rPr>
          <w:rFonts w:ascii="Arial" w:cs="Arial" w:eastAsia="Arial" w:hAnsi="Arial"/>
          <w:sz w:val="18"/>
          <w:szCs w:val="18"/>
          <w:i w:val="1"/>
          <w:iCs w:val="1"/>
          <w:color w:val="auto"/>
        </w:rPr>
        <w:t>Financial Instruments—Overall (Topic 825)—Recognition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 No.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No. 2018-13,</w:t>
      </w:r>
      <w:r>
        <w:rPr>
          <w:rFonts w:ascii="Arial" w:cs="Arial" w:eastAsia="Arial" w:hAnsi="Arial"/>
          <w:sz w:val="18"/>
          <w:szCs w:val="18"/>
          <w:i w:val="1"/>
          <w:iCs w:val="1"/>
          <w:color w:val="auto"/>
        </w:rPr>
        <w:t xml:space="preserve"> Fair Value Measurement (Topic 820): Disclosure Framework—Changes to the Disclosure Requirements for Fair Value Measurement, </w:t>
      </w:r>
      <w:r>
        <w:rPr>
          <w:rFonts w:ascii="Arial" w:cs="Arial" w:eastAsia="Arial" w:hAnsi="Arial"/>
          <w:sz w:val="18"/>
          <w:szCs w:val="18"/>
          <w:color w:val="auto"/>
        </w:rPr>
        <w:t>and ASU No. 2019-12,</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as the JOBS Act does not preclude</w:t>
      </w:r>
      <w:r>
        <w:rPr>
          <w:rFonts w:ascii="Arial" w:cs="Arial" w:eastAsia="Arial" w:hAnsi="Arial"/>
          <w:sz w:val="18"/>
          <w:szCs w:val="18"/>
          <w:i w:val="1"/>
          <w:iCs w:val="1"/>
          <w:color w:val="auto"/>
        </w:rPr>
        <w:t xml:space="preserve"> </w:t>
      </w:r>
      <w:r>
        <w:rPr>
          <w:rFonts w:ascii="Arial" w:cs="Arial" w:eastAsia="Arial" w:hAnsi="Arial"/>
          <w:sz w:val="18"/>
          <w:szCs w:val="18"/>
          <w:color w:val="auto"/>
        </w:rPr>
        <w:t>an 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 As of June 30, 2021, we determined that we will become a "large accelerated filer" under the rules of the SEC and we will no longer be classified as an emerging growth company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September 30, 2021, we had cash and cash equivalents of $ 51.8 million, restricted cash of $ 1.5 million, and marketable securities of $315.5 million; which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September 30,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Management, with the participation of our CEO and CFO, evaluated the effectiveness of our disclosure controls and procedures as of September 30, 2021.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Based on the evaluation of our disclosure controls and procedures as of September 30, 2021, our CEO and CFO have concluded that, as of September 30, 2021,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nine months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disclosure controls and procedures are designed to provide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w:t>
      </w:r>
      <w:r>
        <w:rPr>
          <w:rFonts w:ascii="Arial" w:cs="Arial" w:eastAsia="Arial" w:hAnsi="Arial"/>
          <w:sz w:val="18"/>
          <w:szCs w:val="18"/>
          <w:b w:val="1"/>
          <w:bCs w:val="1"/>
          <w:i w:val="1"/>
          <w:iCs w:val="1"/>
          <w:color w:val="auto"/>
        </w:rPr>
        <w:t>FACTORS</w:t>
      </w:r>
    </w:p>
    <w:p>
      <w:pPr>
        <w:spacing w:after="0" w:line="1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 December 31, 2020.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13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obtain regulatory approvals, manufacture a drug on a commercial scale, or arrange for a third party to do so on our behalf, or conduct sales and marketing activities necessary for successful commercialization.</w:t>
      </w:r>
    </w:p>
    <w:p>
      <w:pPr>
        <w:spacing w:after="0" w:line="13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net loss for the nine months ended September 30, 2021 was approximately $135.0 million. As of September 30, 2021, we had an accumulated deficit of $ 337.0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(deficit) and working capital.</w:t>
      </w:r>
    </w:p>
    <w:p>
      <w:pPr>
        <w:spacing w:after="0" w:line="12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12"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144"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As of September 30, 2021, we had capital resources consisting of cash, cash equivalents, and marketable securities of $367.3 million. Based on our planned operations, we believe that our existing cash, cash equivalents, and marketable securities will be sufficient to fund our operations well into 2023.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44" w:lineRule="exact"/>
        <w:rPr>
          <w:sz w:val="20"/>
          <w:szCs w:val="20"/>
          <w:color w:val="auto"/>
        </w:rPr>
      </w:pPr>
    </w:p>
    <w:p>
      <w:pPr>
        <w:ind w:left="820" w:right="180" w:hanging="164"/>
        <w:spacing w:after="0" w:line="273"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and body psoriasis, ARQ-252 in chronic hand eczema and vitiligo, and our formulation and preclinical efforts for ARQ-255 in alopecia areata;</w:t>
      </w:r>
    </w:p>
    <w:p>
      <w:pPr>
        <w:spacing w:after="0" w:line="123" w:lineRule="exact"/>
        <w:rPr>
          <w:rFonts w:ascii="Arial" w:cs="Arial" w:eastAsia="Arial" w:hAnsi="Arial"/>
          <w:sz w:val="17"/>
          <w:szCs w:val="17"/>
          <w:color w:val="auto"/>
        </w:rPr>
      </w:pPr>
    </w:p>
    <w:p>
      <w:pPr>
        <w:ind w:left="82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57"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130" w:lineRule="exact"/>
        <w:rPr>
          <w:rFonts w:ascii="Arial" w:cs="Arial" w:eastAsia="Arial" w:hAnsi="Arial"/>
          <w:sz w:val="18"/>
          <w:szCs w:val="18"/>
          <w:color w:val="auto"/>
        </w:rPr>
      </w:pPr>
    </w:p>
    <w:p>
      <w:pPr>
        <w:ind w:left="820" w:right="48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57"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Hengrui, or any future collaboration or licensing partners upon the achievement of negotiated milestones;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10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136" w:lineRule="exact"/>
        <w:rPr>
          <w:sz w:val="20"/>
          <w:szCs w:val="20"/>
          <w:color w:val="auto"/>
        </w:rPr>
      </w:pPr>
    </w:p>
    <w:p>
      <w:pPr>
        <w:ind w:left="820" w:right="3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116"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5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16"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FDA guidelines and requirements, and the quantity of production;</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5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5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130"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116" w:lineRule="exact"/>
        <w:rPr>
          <w:rFonts w:ascii="Arial" w:cs="Arial" w:eastAsia="Arial" w:hAnsi="Arial"/>
          <w:sz w:val="18"/>
          <w:szCs w:val="18"/>
          <w:color w:val="auto"/>
        </w:rPr>
      </w:pPr>
    </w:p>
    <w:p>
      <w:pPr>
        <w:ind w:left="820" w:right="70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dependency on CROs and third-party manufacturers to supply or manufacture our product candidates;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1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1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for the treatment of scalp and body psoriasis and seborrheic dermatitis, ARQ-252, a potent and highly selective topical JAK1 inhibitor for the treatment of chronic hand eczema and vitiligo, and ARQ-255, a potential topical treatment for alopecia areata. We currently do not have drug discovery efforts, and we have no intention to develop these. The success of our business, including our ability to finance our company and generate any revenue in the future, will primarily depend on the successful development, regulatory approval, and commercialization of our current product candidates. We expect to conduct most of our clinical trials in the United States and Canada, with currently limited plans for clinical trials in Australia, the Caribbean, and the EU.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develop, acquire, or in-license. The clinical and commercial success of our product candidates will depend on a number of factors, including the following: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44" w:lineRule="exact"/>
        <w:rPr>
          <w:rFonts w:ascii="Arial" w:cs="Arial" w:eastAsia="Arial" w:hAnsi="Arial"/>
          <w:sz w:val="18"/>
          <w:szCs w:val="18"/>
          <w:color w:val="auto"/>
        </w:rPr>
      </w:pPr>
    </w:p>
    <w:p>
      <w:pPr>
        <w:ind w:left="820" w:right="10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134" w:lineRule="exact"/>
        <w:rPr>
          <w:rFonts w:ascii="Arial" w:cs="Arial" w:eastAsia="Arial" w:hAnsi="Arial"/>
          <w:sz w:val="18"/>
          <w:szCs w:val="18"/>
          <w:color w:val="auto"/>
        </w:rPr>
      </w:pPr>
    </w:p>
    <w:p>
      <w:pPr>
        <w:ind w:left="820" w:right="140" w:hanging="164"/>
        <w:spacing w:after="0" w:line="291"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106" w:lineRule="exact"/>
        <w:rPr>
          <w:rFonts w:ascii="Arial" w:cs="Arial" w:eastAsia="Arial" w:hAnsi="Arial"/>
          <w:sz w:val="17"/>
          <w:szCs w:val="17"/>
          <w:color w:val="auto"/>
        </w:rPr>
      </w:pPr>
    </w:p>
    <w:p>
      <w:pPr>
        <w:ind w:left="820" w:right="1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116"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57" w:lineRule="exact"/>
        <w:rPr>
          <w:rFonts w:ascii="Arial" w:cs="Arial" w:eastAsia="Arial" w:hAnsi="Arial"/>
          <w:sz w:val="18"/>
          <w:szCs w:val="18"/>
          <w:color w:val="auto"/>
        </w:rPr>
      </w:pPr>
    </w:p>
    <w:p>
      <w:pPr>
        <w:ind w:left="820" w:right="10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120"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157"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cGMP;</w:t>
      </w:r>
    </w:p>
    <w:p>
      <w:pPr>
        <w:spacing w:after="0" w:line="134"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20"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5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15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4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did not reach statistical significance for the primary endpoint of absolute change in Eczema and Severity Index (EASI). However, this study did provide evidence that roflumilast cream could provide symptomatic improvement, with statistically significant difference from vehicle on several key secondary endpoints, and a favorable tolerability profile in adults with atopic dermatitis and, following an End of Phase 2 meeting with the FDA in September 2020, we omitted our previously planned Phase 2b study in that indication and recently initiated Phase 3 clinical trials. Additionally, our Phase 1/2b clinical study of ARQ-252 for the treatment of chronic hand eczema did not meet its primary end point of IGA clear or almost clear at week 12 and we terminated our Phase 2a clinical trial evaluating ARQ-252 as a potential treatment for vitiligo.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41"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30" w:lineRule="exact"/>
        <w:rPr>
          <w:sz w:val="20"/>
          <w:szCs w:val="20"/>
          <w:color w:val="auto"/>
        </w:rPr>
      </w:pPr>
    </w:p>
    <w:p>
      <w:pPr>
        <w:ind w:left="820" w:right="20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follow-up visits, issues with data collection, or changes to trial protocols as a result of the COVID-19 pandemic;</w:t>
      </w:r>
    </w:p>
    <w:p>
      <w:pPr>
        <w:spacing w:after="0" w:line="116"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(IRBs) may not authorize us or our investigators to commence a clinical trial or conduct a clinical trial at a prospective trial site;</w:t>
      </w:r>
    </w:p>
    <w:p>
      <w:pPr>
        <w:spacing w:after="0" w:line="130"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134"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20" w:lineRule="exact"/>
        <w:rPr>
          <w:rFonts w:ascii="Arial" w:cs="Arial" w:eastAsia="Arial" w:hAnsi="Arial"/>
          <w:sz w:val="18"/>
          <w:szCs w:val="18"/>
          <w:color w:val="auto"/>
        </w:rPr>
      </w:pPr>
    </w:p>
    <w:p>
      <w:pPr>
        <w:ind w:left="820" w:right="30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4"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30"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16"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57"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2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2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a long, expensive, and uncertain process,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currently have no products approved for sale; in September we submitted our first NDA to the FDA for our lead product candidate, topical roflumilast cream, and our other product candidates remain in clinical development. Significant risk remains and we cannot provide assurance that they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w:t>
      </w:r>
    </w:p>
    <w:p>
      <w:pPr>
        <w:spacing w:after="0" w:line="139"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The FDA or any foreign regulatory authorities can delay, limit, or deny approval of our product candidates for many reasons, including:</w:t>
      </w:r>
    </w:p>
    <w:p>
      <w:pPr>
        <w:spacing w:after="0" w:line="130" w:lineRule="exact"/>
        <w:rPr>
          <w:sz w:val="20"/>
          <w:szCs w:val="20"/>
          <w:color w:val="auto"/>
        </w:rPr>
      </w:pPr>
    </w:p>
    <w:p>
      <w:pPr>
        <w:ind w:left="820" w:right="4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116"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130" w:lineRule="exact"/>
        <w:rPr>
          <w:rFonts w:ascii="Arial" w:cs="Arial" w:eastAsia="Arial" w:hAnsi="Arial"/>
          <w:sz w:val="18"/>
          <w:szCs w:val="18"/>
          <w:color w:val="auto"/>
        </w:rPr>
      </w:pPr>
    </w:p>
    <w:p>
      <w:pPr>
        <w:ind w:left="820" w:right="24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134" w:lineRule="exact"/>
        <w:rPr>
          <w:rFonts w:ascii="Arial" w:cs="Arial" w:eastAsia="Arial" w:hAnsi="Arial"/>
          <w:sz w:val="18"/>
          <w:szCs w:val="18"/>
          <w:color w:val="auto"/>
        </w:rPr>
      </w:pPr>
    </w:p>
    <w:p>
      <w:pPr>
        <w:ind w:left="820" w:right="20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116"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16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57"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130" w:lineRule="exact"/>
        <w:rPr>
          <w:rFonts w:ascii="Arial" w:cs="Arial" w:eastAsia="Arial" w:hAnsi="Arial"/>
          <w:sz w:val="18"/>
          <w:szCs w:val="18"/>
          <w:color w:val="auto"/>
        </w:rPr>
      </w:pPr>
    </w:p>
    <w:p>
      <w:pPr>
        <w:ind w:left="820" w:hanging="164"/>
        <w:spacing w:after="0" w:line="253"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124" w:lineRule="exact"/>
        <w:rPr>
          <w:rFonts w:ascii="Arial" w:cs="Arial" w:eastAsia="Arial" w:hAnsi="Arial"/>
          <w:sz w:val="18"/>
          <w:szCs w:val="18"/>
          <w:color w:val="auto"/>
        </w:rPr>
      </w:pPr>
    </w:p>
    <w:p>
      <w:pPr>
        <w:ind w:left="820" w:right="4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Risk Evaluation and Mitigation Strategy (REMS), or its equivalent, as a condition of approval;</w:t>
      </w:r>
    </w:p>
    <w:p>
      <w:pPr>
        <w:spacing w:after="0" w:line="130"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130"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116"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44" w:lineRule="exact"/>
        <w:rPr>
          <w:rFonts w:ascii="Arial" w:cs="Arial" w:eastAsia="Arial" w:hAnsi="Arial"/>
          <w:sz w:val="18"/>
          <w:szCs w:val="18"/>
          <w:color w:val="auto"/>
        </w:rPr>
      </w:pPr>
    </w:p>
    <w:p>
      <w:pPr>
        <w:ind w:left="820" w:right="300" w:hanging="164"/>
        <w:spacing w:after="0" w:line="256"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134"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3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1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4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Certain of our primary and secondary endpoints in our clinical trials, including our Phase 3 clinical trials of roflumilast cream in plaque psoriasis, and our previous and planned clinical trials in atopic dermatitis, vitiligo, chronic hand eczema, scalp and body psoriasis and seborrheic dermatitis involve subjective assessments by physician and patients, which can increase the uncertainty of clinical trial outcomes. For example, one of the secondary endpoints requires patients to report pruritus (itching) as measured by the WI-NRS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use of patient reported outcome instruments in our Phase 3 clinical trials of roflumilast cream and the inclusion of such data in the product labeling will depend on, but is not limited to, the FDA’s review of the following:</w:t>
      </w:r>
    </w:p>
    <w:p>
      <w:pPr>
        <w:spacing w:after="0" w:line="117"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our Phase 3 clinical trials of roflumilast cream in plaque psoriasis and atopic dermatitis as well as our Phase 3 clinical trials of roflumilast foam in seborrheic dermatitis and scalp and body psoriasis is based on the percentage of patients achieving a score of “clear” or “almost clear” plus at least a 2-grade improvement from baseline on the 5 point IGA scale, referred to as IGA Success. Success in our clinical trials with these or similar endpoints, requires the enrollment of patients with conditions that are severe enough to facilitate a 2-grade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10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time-consuming and may result in additional costs and delays in our product development activities, or in the failure of such activities.</w:t>
      </w:r>
    </w:p>
    <w:p>
      <w:pPr>
        <w:spacing w:after="0" w:line="1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44"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1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IRB,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2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30" w:lineRule="exact"/>
        <w:rPr>
          <w:sz w:val="20"/>
          <w:szCs w:val="20"/>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a REMS;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58"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As a company, we have never obtained marketing approval for any product candidate and we may be unable to successfully do so in a timely manner, if at all, for any of our product candidates.</w:t>
      </w:r>
    </w:p>
    <w:p>
      <w:pPr>
        <w:spacing w:after="0" w:line="10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Obtaining marketing approval for a product candidate is a complicated process. Although members of our management team have participated in pivotal trials and obtained marketing approvals for product candidates in the past while employed at other companies, we as a company have limited experience doing so. As a result, the approval process and related activities may require more time and cost more than we anticipate, and we may be unable to successfully complete them for any of our product candidates.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To date, we have submitted an NDA and have completed two Phase 3 studies and three Phase 2 studies in plaque psoriasis with roflumilast cream, a Phase 2 study in atopic dermatitis with roflumilast cream, and two Phase 2 studies in seborrheic dermatitis and scalp and body psoriasis with roflumilast foam. We have also recently initiated pivotal Phase 3 clinical trials of roflumilast cream for the treatment of atopic dermatitis and of roflumilast foam in seborrheic dermatitis and scalp and body psoriasis.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While the FDA encouraged us at our atopic dermatitis End of Phase 2 meeting to generate additional clinical data in adolescents and adults on the two roflumilast cream doses studied in our Phase 2 study, they also did not raise objections to us proceeding into Phase 3.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2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12"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107"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18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120"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130"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57"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(OTC) treatments;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57"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57" w:lineRule="exact"/>
        <w:rPr>
          <w:rFonts w:ascii="Arial" w:cs="Arial" w:eastAsia="Arial" w:hAnsi="Arial"/>
          <w:sz w:val="18"/>
          <w:szCs w:val="18"/>
          <w:color w:val="auto"/>
        </w:rPr>
      </w:pPr>
    </w:p>
    <w:p>
      <w:pPr>
        <w:ind w:left="820" w:right="70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15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9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1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14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3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2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1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To achieve commercial success for any product for which we obtain marketing approval, we will need to build a significantly more robust sales and marketing organization. We currently have limited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2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0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10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117"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9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3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10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39"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24"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chronic hand eczema, vitiligo, and alopecia areata.</w:t>
      </w:r>
    </w:p>
    <w:p>
      <w:pPr>
        <w:spacing w:after="0" w:line="130"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deucravacitinib, an oral Tyk2 inhibitor under development by BMS, Inc., and PF-06700841, an oral Tyk2/JAK1 inhibitor under development by Pfizer, Inc.</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Opzelura, marketed by Incyte Corporation,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For chronic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chronic hand eczema that would compete with ARQ-252 is delgocitinib, which recently showed proof of concept in a Phase 2a trial and has been approved in a different formulation in Japan (Corectim).</w:t>
      </w:r>
    </w:p>
    <w:p>
      <w:pPr>
        <w:spacing w:after="0" w:line="12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1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3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26"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58"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44"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5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1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As of September 30, 2021, we had 143 full -time employees. We will need to continue to expand our managerial, clinical, commercial, operational, financial, and other resources in order to manage our operations and clinical trials, continue our development activities, and commercialize our lead product candidates or any future product candidates.</w:t>
      </w:r>
    </w:p>
    <w:p>
      <w:pPr>
        <w:spacing w:after="0" w:line="121"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In order to effectively execute our growth strategy, we will need to identify, recruit, retain, incentivize, and integrate additional employees in order to expand our ability to:</w:t>
      </w:r>
    </w:p>
    <w:p>
      <w:pPr>
        <w:spacing w:after="0" w:line="130" w:lineRule="exact"/>
        <w:rPr>
          <w:sz w:val="20"/>
          <w:szCs w:val="20"/>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44"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 and</w:t>
      </w:r>
    </w:p>
    <w:p>
      <w:pPr>
        <w:spacing w:after="0" w:line="130"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3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If we are unable to successfully identify, recruit, retain, incentivize and integrate additional employees and otherwise expand our managerial, operational, financial, and other resources, our business and operational performance will be materially and adversely affected.</w:t>
      </w:r>
    </w:p>
    <w:p>
      <w:pPr>
        <w:spacing w:after="0" w:line="9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1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efforts, but rather we intend to formulate,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117" w:lineRule="exact"/>
        <w:rPr>
          <w:sz w:val="20"/>
          <w:szCs w:val="20"/>
          <w:color w:val="auto"/>
        </w:rPr>
      </w:pPr>
    </w:p>
    <w:p>
      <w:pPr>
        <w:ind w:left="820" w:right="240" w:hanging="164"/>
        <w:spacing w:after="0" w:line="261"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44" w:lineRule="exact"/>
        <w:rPr>
          <w:rFonts w:ascii="Arial" w:cs="Arial" w:eastAsia="Arial" w:hAnsi="Arial"/>
          <w:sz w:val="18"/>
          <w:szCs w:val="18"/>
          <w:color w:val="auto"/>
        </w:rPr>
      </w:pPr>
    </w:p>
    <w:p>
      <w:pPr>
        <w:ind w:left="820" w:right="240" w:hanging="164"/>
        <w:spacing w:after="0" w:line="256"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may choose to focus our efforts and resources on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10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38"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820" w:right="100" w:hanging="164"/>
        <w:spacing w:after="0" w:line="254"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36"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30"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6" w:lineRule="exact"/>
        <w:rPr>
          <w:rFonts w:ascii="Arial" w:cs="Arial" w:eastAsia="Arial" w:hAnsi="Arial"/>
          <w:sz w:val="18"/>
          <w:szCs w:val="18"/>
          <w:color w:val="auto"/>
        </w:rPr>
      </w:pPr>
    </w:p>
    <w:p>
      <w:pPr>
        <w:ind w:left="820" w:right="52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0" w:lineRule="exact"/>
        <w:rPr>
          <w:rFonts w:ascii="Arial" w:cs="Arial" w:eastAsia="Arial" w:hAnsi="Arial"/>
          <w:sz w:val="18"/>
          <w:szCs w:val="18"/>
          <w:color w:val="auto"/>
        </w:rPr>
      </w:pPr>
    </w:p>
    <w:p>
      <w:pPr>
        <w:ind w:left="820" w:right="920" w:hanging="164"/>
        <w:spacing w:after="0" w:line="256"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34"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8" w:lineRule="exact"/>
        <w:rPr>
          <w:sz w:val="20"/>
          <w:szCs w:val="20"/>
          <w:color w:val="auto"/>
        </w:rPr>
      </w:pPr>
    </w:p>
    <w:p>
      <w:pPr>
        <w:ind w:right="1480"/>
        <w:spacing w:after="0" w:line="28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10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8"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158"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have incurred and will continue to incur significant legal, accounting, and other expenses as a public company, including costs resulting from public company reporting obligations under the Securities Exchange Act of 1934, or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As of June 30, 2021, we determined that we will become a "large accelerated filer" under the rules of the SEC and we will no longer be classified as an emerging growth company as of December 31, 2021. Once we are no longer an emerging growth company we will be required to include an opinion from our independent registered public accounting firm on the effectiveness of our internal controls over financial reporting.</w:t>
      </w:r>
    </w:p>
    <w:p>
      <w:pPr>
        <w:spacing w:after="0" w:line="14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During the course of our review and testing of our internal controls over financial reporting,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1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131"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war, telecommunication and electrical failures, cyber-attacks or cyber-intrusions over the Internet, attachments to emails, persons inside our organization, or persons with access to systems inside our organization.</w:t>
      </w:r>
    </w:p>
    <w:p>
      <w:pPr>
        <w:spacing w:after="0" w:line="11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HIPAA, as amended by HITECH, and regulations implemented thereunder,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2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0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07"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currently rely on third-party manufacturers to manufacture preclinical and clinical supplies of our product candidates and we intend to rely on third parties to produce commercial supplies of any approved product candidate. Business changes at any of these manufacturers, or their failure to provide us with sufficient quantities at acceptable quality levels, or at all, would materially and adversely affect our business.</w:t>
      </w:r>
    </w:p>
    <w:p>
      <w:pPr>
        <w:spacing w:after="0" w:line="131"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We do not currently have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We have successfully manufactured and tested several batches of our topical roflumilast product candidates at our primary commercial contract manufacturing site at the initial commercial scale. However, as a late-stage company with no prior history of product sales or commercialization of products, representative batches of our product candidate received to date may not represent what will be required to meet our future commercial requirements or be manufactured at final commercial scale.</w:t>
      </w:r>
    </w:p>
    <w:p>
      <w:pPr>
        <w:spacing w:after="0" w:line="131"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If there is a disruption to one or more of our third-party suppliers’ relevant operations, we will have no other means of producing our lead product candidates until the affected facilities are restored or alternative manufacturing facilities or sources of supply are procured.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either we or our manufacturers are unable to purchase the raw materials necessary for the manufacture of our product candidates on acceptable terms, at sufficient quality levels, or in adequate quantities, if at all, the commercial launch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our lead product candidates or any future product candidates would be delayed or there would be a shortage in supply, which would impair our ability to generate revenues from the sale of such product candidates, if approved.</w:t>
      </w:r>
    </w:p>
    <w:p>
      <w:pPr>
        <w:spacing w:after="0" w:line="11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1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121"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Before beginning commercial manufacture of ARQ-151 roflumilast cream, ARQ-154 roflumilast foam, ARQ-252, or ARQ-255, the processes and systems used in their manufacture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have very limited control over the day-to-day operations of our contract manufacturers, we are responsible for ensuring compliance with applicable laws and regulations, including cGMPs.</w:t>
      </w:r>
    </w:p>
    <w:p>
      <w:pPr>
        <w:spacing w:after="0" w:line="13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1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38"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10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2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38"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2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4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39"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117" w:lineRule="exact"/>
        <w:rPr>
          <w:sz w:val="20"/>
          <w:szCs w:val="20"/>
          <w:color w:val="auto"/>
        </w:rPr>
      </w:pPr>
    </w:p>
    <w:p>
      <w:pPr>
        <w:ind w:left="820" w:right="16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4"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240" w:hanging="164"/>
        <w:spacing w:after="0" w:line="256"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120"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and pharmacokinetic properties of topical roflumilast for improving delivery and extending half-life are currently projected to expire on June 7, 2037 and August 25,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PTE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10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125" w:lineRule="exact"/>
        <w:rPr>
          <w:sz w:val="20"/>
          <w:szCs w:val="20"/>
          <w:color w:val="auto"/>
        </w:rPr>
      </w:pPr>
    </w:p>
    <w:p>
      <w:pPr>
        <w:ind w:right="120" w:firstLine="648"/>
        <w:spacing w:after="0" w:line="265"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w:t>
      </w:r>
    </w:p>
    <w:p>
      <w:pPr>
        <w:spacing w:after="0" w:line="253" w:lineRule="auto"/>
        <w:rPr>
          <w:sz w:val="20"/>
          <w:szCs w:val="20"/>
          <w:color w:val="auto"/>
        </w:rPr>
      </w:pPr>
      <w:r>
        <w:rPr>
          <w:rFonts w:ascii="Arial" w:cs="Arial" w:eastAsia="Arial" w:hAnsi="Arial"/>
          <w:sz w:val="18"/>
          <w:szCs w:val="18"/>
          <w:color w:val="auto"/>
        </w:rPr>
        <w:t>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2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U.S. Patent and Trademark Office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18" w:lineRule="exact"/>
        <w:rPr>
          <w:sz w:val="20"/>
          <w:szCs w:val="20"/>
          <w:color w:val="auto"/>
        </w:rPr>
      </w:pPr>
    </w:p>
    <w:p>
      <w:pPr>
        <w:ind w:right="760"/>
        <w:spacing w:after="0" w:line="31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8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2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38"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94"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third-party files an abbreviated NDA, or ANDA, for a generic drug bioequivalent to roflumilast cream, roflumilast foam, ARQ-252, or ARQ-255, and relies in whole or in part on studies conducted by or for us, the third-party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drug. A certification that the new drug will not infringe the Orange Book-listed patents for the applicable approved drug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94" w:lineRule="exact"/>
        <w:rPr>
          <w:sz w:val="20"/>
          <w:szCs w:val="20"/>
          <w:color w:val="auto"/>
        </w:rPr>
      </w:pPr>
    </w:p>
    <w:p>
      <w:pPr>
        <w:ind w:right="40" w:firstLine="648"/>
        <w:spacing w:after="0" w:line="222"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and pharmacokinetic properties of topical roflumilast for improving delivery and extending half-life are currently projected to expire on June 7, 2037 and August 25,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4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1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1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10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44"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94"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4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105"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will require final regulatory approval of, and registered trademarks for, any commercial tradename and registered trademarks for a commercial trade name for our lead candidates in the United States or foreign jurisdictions and failure to secure such approval in a timely fashion could adversely affect our business.</w:t>
      </w:r>
    </w:p>
    <w:p>
      <w:pPr>
        <w:spacing w:after="0" w:line="1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have received Notices of Allowance from the USPTO for commercial trade names for certain of our lead product candidates in the United States. We will be required to obtain similar approvals in certain foreign jurisdictions and will be required to undertake similar registrations with respect to any future product candidates. During trademark registration proceedings, we may receive rejections and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While we have received Notices of Allowance from the USPTO for commercial trade names for certain of our lead product candidates, we have not received final FDA approval of such names. If the FDA objects to any of our proposed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0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22"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94"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that are covered by the licensed technology, or having to negotiate new or reinstated licenses on less favorable terms, or enable a competitor to gain access to the licensed technology.</w:t>
      </w:r>
    </w:p>
    <w:p>
      <w:pPr>
        <w:spacing w:after="0" w:line="9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10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28"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3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24"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ETASU,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43" w:lineRule="exact"/>
        <w:rPr>
          <w:sz w:val="20"/>
          <w:szCs w:val="20"/>
          <w:color w:val="auto"/>
        </w:rPr>
      </w:pPr>
    </w:p>
    <w:p>
      <w:pPr>
        <w:ind w:left="820" w:hanging="164"/>
        <w:spacing w:after="0" w:line="261"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57" w:lineRule="exact"/>
        <w:rPr>
          <w:rFonts w:ascii="Arial" w:cs="Arial" w:eastAsia="Arial" w:hAnsi="Arial"/>
          <w:sz w:val="18"/>
          <w:szCs w:val="18"/>
          <w:color w:val="auto"/>
        </w:rPr>
      </w:pPr>
    </w:p>
    <w:p>
      <w:pPr>
        <w:ind w:left="820" w:right="100" w:hanging="164"/>
        <w:spacing w:after="0" w:line="291"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106" w:lineRule="exact"/>
        <w:rPr>
          <w:rFonts w:ascii="Arial" w:cs="Arial" w:eastAsia="Arial" w:hAnsi="Arial"/>
          <w:sz w:val="17"/>
          <w:szCs w:val="17"/>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3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governmental regulations may be enacted that could prevent, limit, or delay regulatory approval of our product candidates. For example, certain policies of the new U.S. administration may impact our business and industry. Namely, the previous U.S.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or whether these executive actions, including the Executive Orders, will be implemented, or whether they will be rescinded or replaced by the new U.S. administration. Certain policies of U.S. presidential administrations may impact our business and industry, and changing presidential administrations may result in the issuance of Executive Orders that could impact our business, regulatory environment, and industry. It is difficult to predict how such requirements, Executive Orders, and policies will be implemented.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1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13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13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94"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36" w:lineRule="exact"/>
        <w:rPr>
          <w:sz w:val="20"/>
          <w:szCs w:val="20"/>
          <w:color w:val="auto"/>
        </w:rPr>
      </w:pPr>
    </w:p>
    <w:p>
      <w:pPr>
        <w:ind w:left="820" w:right="20" w:hanging="164"/>
        <w:spacing w:after="0" w:line="253"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37" w:lineRule="exact"/>
        <w:rPr>
          <w:rFonts w:ascii="Arial" w:cs="Arial" w:eastAsia="Arial" w:hAnsi="Arial"/>
          <w:sz w:val="18"/>
          <w:szCs w:val="18"/>
          <w:color w:val="auto"/>
        </w:rPr>
      </w:pPr>
    </w:p>
    <w:p>
      <w:pPr>
        <w:ind w:left="820" w:right="40" w:hanging="164"/>
        <w:spacing w:after="0" w:line="252"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25" w:lineRule="exact"/>
        <w:rPr>
          <w:rFonts w:ascii="Arial" w:cs="Arial" w:eastAsia="Arial" w:hAnsi="Arial"/>
          <w:sz w:val="18"/>
          <w:szCs w:val="18"/>
          <w:color w:val="auto"/>
        </w:rPr>
      </w:pPr>
    </w:p>
    <w:p>
      <w:pPr>
        <w:ind w:left="820" w:hanging="164"/>
        <w:spacing w:after="0" w:line="253"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37" w:lineRule="exact"/>
        <w:rPr>
          <w:rFonts w:ascii="Arial" w:cs="Arial" w:eastAsia="Arial" w:hAnsi="Arial"/>
          <w:sz w:val="18"/>
          <w:szCs w:val="18"/>
          <w:color w:val="auto"/>
        </w:rPr>
      </w:pPr>
    </w:p>
    <w:p>
      <w:pPr>
        <w:ind w:left="820" w:right="180" w:hanging="164"/>
        <w:spacing w:after="0" w:line="252"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the ownership and investment interests held by such physicians and their immediate family members. Beginning in 2022, manufacturers will also be required to report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37" w:lineRule="exact"/>
        <w:rPr>
          <w:rFonts w:ascii="Arial" w:cs="Arial" w:eastAsia="Arial" w:hAnsi="Arial"/>
          <w:sz w:val="18"/>
          <w:szCs w:val="18"/>
          <w:color w:val="auto"/>
        </w:rPr>
      </w:pPr>
    </w:p>
    <w:p>
      <w:pPr>
        <w:ind w:left="820" w:right="360" w:hanging="164"/>
        <w:spacing w:after="0" w:line="254"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22" w:lineRule="exact"/>
        <w:rPr>
          <w:rFonts w:ascii="Arial" w:cs="Arial" w:eastAsia="Arial" w:hAnsi="Arial"/>
          <w:sz w:val="18"/>
          <w:szCs w:val="18"/>
          <w:color w:val="auto"/>
        </w:rPr>
      </w:pPr>
    </w:p>
    <w:p>
      <w:pPr>
        <w:ind w:left="820" w:right="860" w:hanging="164"/>
        <w:spacing w:after="0" w:line="261"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line="269"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and state laws and regulations that require manufacturers to report information related to payments and other transfers of value to physicians and other healthcare providers or marketing expenditures and pricing information.</w:t>
      </w:r>
    </w:p>
    <w:p>
      <w:pPr>
        <w:spacing w:after="0" w:line="11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0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0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36"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For example, in March 2010, the Patient Protection and ACA, as amended by the Health Care and Education Reconciliation Act, collectively the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regulatory burdens and operating costs. Among the provisions of the ACA of importance to our potential product candidates are the following:</w:t>
      </w:r>
    </w:p>
    <w:p>
      <w:pPr>
        <w:spacing w:after="0" w:line="117" w:lineRule="exact"/>
        <w:rPr>
          <w:sz w:val="20"/>
          <w:szCs w:val="20"/>
          <w:color w:val="auto"/>
        </w:rPr>
      </w:pPr>
    </w:p>
    <w:p>
      <w:pPr>
        <w:ind w:left="820" w:right="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6"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57" w:lineRule="exact"/>
        <w:rPr>
          <w:rFonts w:ascii="Arial" w:cs="Arial" w:eastAsia="Arial" w:hAnsi="Arial"/>
          <w:sz w:val="18"/>
          <w:szCs w:val="18"/>
          <w:color w:val="auto"/>
        </w:rPr>
      </w:pPr>
    </w:p>
    <w:p>
      <w:pPr>
        <w:ind w:left="820" w:right="9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16"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13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December 14, 2018, a U.S. District Court Judge in the Northern District of Texas (Texas District Court Judge) ruled that the individual mandate is a critical and inseverable feature of the ACA, and therefore, because it was repealed as part of the TCJA,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to challenge, repeal, or replace the ACA will impact the law or our business. It is also unclear how other efforts, if any, to challenge, repeal, or replace the ACA will impact the ACA our business or financial condition.</w:t>
      </w:r>
    </w:p>
    <w:p>
      <w:pPr>
        <w:spacing w:after="0" w:line="144" w:lineRule="exact"/>
        <w:rPr>
          <w:sz w:val="20"/>
          <w:szCs w:val="20"/>
          <w:color w:val="auto"/>
        </w:rPr>
      </w:pPr>
    </w:p>
    <w:p>
      <w:pPr>
        <w:ind w:right="360" w:firstLine="648"/>
        <w:spacing w:after="0" w:line="250"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among other things, resulted in reductions to Medicare payments to providers of</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2% per fiscal year and will remain in effect through 2030, with the exception of a temporary suspension from May 1, 2020 through March 31, 2021;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be subject to enforcement action and we may not achieve or sustain profitability, which would adversely affect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2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94"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 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5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14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1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As of June 30, 2021, we determined that we will become a "large accelerated filer" under the rules of the SEC and we will no longer be classified as an emerging growth company as of December 31, 2021.</w:t>
      </w:r>
    </w:p>
    <w:p>
      <w:pPr>
        <w:spacing w:after="0" w:line="13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1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May 6, 2021, we entered into a sales agreement, or Sales Agreement, with Cowen and Company, LLC, or Cowen, to sell shares of our common stock, from time to time, with aggregate gross sales proceeds of up to $100,000,000, through an ATM equity offering program under which Cowen will act as our sales agent. During the nine months ended September 30, 2021, we did not issue or sell any shares of our common stock through our ATM Offering Program. If we issue common stock or securities convertible into common stock, our common stockholders would experience additional dilution and, as a result, our stock price may decline.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8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25.8 million shares of our common stock (including 1.4 million shares issued and sold pursuant to the private placement of shares in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connection with our follow-on financing)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2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income tax credit carryforwards may be limited.</w:t>
      </w:r>
    </w:p>
    <w:p>
      <w:pPr>
        <w:spacing w:after="0" w:line="9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We have NOL carryforwards available to reduce future taxable income, if any, for federal, California and other state income tax purposes. If not utilized, state NOL carryforwards will expire beginning in 2030. A small amount of our federal NOL that was originated before the 2018 tax year will expire beginning in 2036. Under the Tax Act and Jobs Act of 2017, the remaining amount of our federal NOL carryforwards generated after December 31, 2017 will carryforward indefinitely. 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12"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130" w:lineRule="exact"/>
        <w:rPr>
          <w:sz w:val="20"/>
          <w:szCs w:val="20"/>
          <w:color w:val="auto"/>
        </w:rPr>
      </w:pPr>
    </w:p>
    <w:p>
      <w:pPr>
        <w:ind w:left="820" w:right="76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34"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4"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130"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0"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120"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5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1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9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1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 Risk Factors</w:t>
      </w:r>
    </w:p>
    <w:p>
      <w:pPr>
        <w:spacing w:after="0" w:line="15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including developments involving subsequent COVID-19 variants,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w:t>
      </w:r>
    </w:p>
    <w:p>
      <w:pPr>
        <w:spacing w:after="0" w:line="180"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17" w:lineRule="exact"/>
        <w:rPr>
          <w:sz w:val="20"/>
          <w:szCs w:val="20"/>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78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we discontinue development or if any of our product candidates receive regulatory approval;</w:t>
      </w:r>
    </w:p>
    <w:p>
      <w:pPr>
        <w:spacing w:after="0" w:line="116"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5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116"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57"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116" w:lineRule="exact"/>
        <w:rPr>
          <w:rFonts w:ascii="Arial" w:cs="Arial" w:eastAsia="Arial" w:hAnsi="Arial"/>
          <w:sz w:val="18"/>
          <w:szCs w:val="18"/>
          <w:color w:val="auto"/>
        </w:rPr>
      </w:pPr>
    </w:p>
    <w:p>
      <w:pPr>
        <w:ind w:left="820" w:right="300" w:hanging="164"/>
        <w:spacing w:after="0" w:line="256"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7"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24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factors discussed in this Annual Report on Form 10-K.</w:t>
      </w:r>
    </w:p>
    <w:p>
      <w:pPr>
        <w:spacing w:after="0" w:line="15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1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9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2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1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0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3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11"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could have a material adverse effect on our business and results of operations.</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Lawsuits and other administrative or legal proceedings, including intellectual property litigation or other legal proceedings relating to intellectual property claims, that may arise in the course of our operations can involve substantial costs, including the costs associated with investigation, litigation and possible settlement, judgment, penalty or fine. In addition, lawsuits and other legal proceedings may be time-consuming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related prospectus dated January 30, 2020, filed with the SEC pursuant to Rule 424(b)(4) under the Securities Act of 1933, as amended.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0" w:type="dxa"/>
            <w:vAlign w:val="bottom"/>
            <w:gridSpan w:val="11"/>
            <w:vMerge w:val="restart"/>
          </w:tcPr>
          <w:p>
            <w:pPr>
              <w:ind w:left="520"/>
              <w:spacing w:after="0"/>
              <w:rPr>
                <w:sz w:val="20"/>
                <w:szCs w:val="20"/>
                <w:color w:val="auto"/>
              </w:rPr>
            </w:pPr>
            <w:r>
              <w:rPr>
                <w:rFonts w:ascii="Arial" w:cs="Arial" w:eastAsia="Arial" w:hAnsi="Arial"/>
                <w:sz w:val="14"/>
                <w:szCs w:val="14"/>
                <w:b w:val="1"/>
                <w:bCs w:val="1"/>
                <w:color w:val="auto"/>
              </w:rPr>
              <w:t>Description of Document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jc w:val="center"/>
              <w:ind w:left="19"/>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5"/>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11"/>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tcPr>
          <w:p>
            <w:pPr>
              <w:jc w:val="center"/>
              <w:ind w:left="19"/>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80" w:type="dxa"/>
            <w:vAlign w:val="bottom"/>
            <w:tcBorders>
              <w:top w:val="single" w:sz="8" w:color="auto"/>
            </w:tcBorders>
            <w:gridSpan w:val="13"/>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Restated Certificate of Incorporation.</w:t>
              </w:r>
            </w:hyperlink>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10-Q</w:t>
            </w:r>
          </w:p>
        </w:tc>
        <w:tc>
          <w:tcPr>
            <w:tcW w:w="9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5/12/20</w:t>
            </w:r>
          </w:p>
        </w:tc>
        <w:tc>
          <w:tcPr>
            <w:tcW w:w="8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3.1</w:t>
            </w: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top w:val="single" w:sz="8" w:color="0000FF"/>
            </w:tcBorders>
            <w:gridSpan w:val="4"/>
          </w:tcPr>
          <w:p>
            <w:pPr>
              <w:spacing w:after="0"/>
              <w:rPr>
                <w:rFonts w:ascii="Arial" w:cs="Arial" w:eastAsia="Arial" w:hAnsi="Arial"/>
                <w:sz w:val="18"/>
                <w:szCs w:val="18"/>
                <w:color w:val="0000FF"/>
              </w:rPr>
            </w:pPr>
            <w:hyperlink r:id="rId102">
              <w:r>
                <w:rPr>
                  <w:rFonts w:ascii="Arial" w:cs="Arial" w:eastAsia="Arial" w:hAnsi="Arial"/>
                  <w:sz w:val="18"/>
                  <w:szCs w:val="18"/>
                  <w:color w:val="0000FF"/>
                </w:rPr>
                <w:t>Restated Bylaws.</w:t>
              </w:r>
            </w:hyperlink>
          </w:p>
        </w:tc>
        <w:tc>
          <w:tcPr>
            <w:tcW w:w="2660" w:type="dxa"/>
            <w:vAlign w:val="bottom"/>
            <w:gridSpan w:val="9"/>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5/12/20</w:t>
            </w:r>
          </w:p>
        </w:tc>
        <w:tc>
          <w:tcPr>
            <w:tcW w:w="86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13"/>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Common Stock Certificate.</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5580" w:type="dxa"/>
            <w:vAlign w:val="bottom"/>
            <w:gridSpan w:val="13"/>
          </w:tcPr>
          <w:p>
            <w:pPr>
              <w:spacing w:after="0"/>
              <w:rPr>
                <w:rFonts w:ascii="Arial" w:cs="Arial" w:eastAsia="Arial" w:hAnsi="Arial"/>
                <w:sz w:val="18"/>
                <w:szCs w:val="18"/>
                <w:color w:val="0000FF"/>
              </w:rPr>
            </w:pPr>
            <w:hyperlink r:id="rId104">
              <w:r>
                <w:rPr>
                  <w:rFonts w:ascii="Arial" w:cs="Arial" w:eastAsia="Arial" w:hAnsi="Arial"/>
                  <w:sz w:val="18"/>
                  <w:szCs w:val="18"/>
                  <w:color w:val="0000FF"/>
                </w:rPr>
                <w:t>Amended and Restated Investors’ Rights Agreement, dated October</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8"/>
              </w:rPr>
            </w:pPr>
            <w:hyperlink r:id="rId104">
              <w:r>
                <w:rPr>
                  <w:rFonts w:ascii="Arial" w:cs="Arial" w:eastAsia="Arial" w:hAnsi="Arial"/>
                  <w:sz w:val="18"/>
                  <w:szCs w:val="18"/>
                  <w:color w:val="0000FF"/>
                  <w:w w:val="98"/>
                </w:rPr>
                <w:t>8, 2019, by and among the Registrant and certain of its stockholders.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1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Description of Arcutis Biotherapeutics’ Securities Registered</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3/19/20</w:t>
            </w:r>
          </w:p>
        </w:tc>
        <w:tc>
          <w:tcPr>
            <w:tcW w:w="860" w:type="dxa"/>
            <w:vAlign w:val="bottom"/>
          </w:tcPr>
          <w:p>
            <w:pPr>
              <w:jc w:val="center"/>
              <w:spacing w:after="0"/>
              <w:rPr>
                <w:sz w:val="20"/>
                <w:szCs w:val="20"/>
                <w:color w:val="auto"/>
              </w:rPr>
            </w:pPr>
            <w:r>
              <w:rPr>
                <w:rFonts w:ascii="Arial" w:cs="Arial" w:eastAsia="Arial" w:hAnsi="Arial"/>
                <w:sz w:val="18"/>
                <w:szCs w:val="18"/>
                <w:color w:val="auto"/>
              </w:rPr>
              <w:t>4.3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Pursuant to Section 12 of the Securities Exchange Act of 1934.</w:t>
              </w:r>
            </w:hyperlink>
          </w:p>
        </w:tc>
        <w:tc>
          <w:tcPr>
            <w:tcW w:w="560" w:type="dxa"/>
            <w:vAlign w:val="bottom"/>
            <w:gridSpan w:val="6"/>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5580" w:type="dxa"/>
            <w:vAlign w:val="bottom"/>
            <w:gridSpan w:val="1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Supply and Manufacturing Agreement, dated September 15, 2021,</w:t>
              </w:r>
            </w:hyperlink>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jc w:val="center"/>
              <w:ind w:left="1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between DPT Laboratories, Ltd. and the Registrant.</w:t>
              </w:r>
            </w:hyperlink>
          </w:p>
        </w:tc>
        <w:tc>
          <w:tcPr>
            <w:tcW w:w="1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vMerge w:val="restart"/>
          </w:tcPr>
          <w:p>
            <w:pPr>
              <w:jc w:val="center"/>
              <w:ind w:left="1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223"/>
        </w:trPr>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gridSpan w:val="13"/>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Certification of Principal Executive Officer Pursuant to Rules 13a-</w:t>
              </w:r>
            </w:hyperlink>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30">
              <w:r>
                <w:rPr>
                  <w:rFonts w:ascii="Arial" w:cs="Arial" w:eastAsia="Arial" w:hAnsi="Arial"/>
                  <w:sz w:val="18"/>
                  <w:szCs w:val="18"/>
                  <w:color w:val="0000FF"/>
                  <w:w w:val="99"/>
                </w:rPr>
                <w:t>14(a) and 15d-14(a) under the Securities and Exchange Act of 1934,</w:t>
              </w:r>
            </w:hyperlink>
          </w:p>
        </w:tc>
        <w:tc>
          <w:tcPr>
            <w:tcW w:w="12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13"/>
          </w:tcPr>
          <w:p>
            <w:pPr>
              <w:spacing w:after="0" w:line="182" w:lineRule="exact"/>
              <w:rPr>
                <w:rFonts w:ascii="Arial" w:cs="Arial" w:eastAsia="Arial" w:hAnsi="Arial"/>
                <w:sz w:val="18"/>
                <w:szCs w:val="18"/>
                <w:color w:val="0000FF"/>
              </w:rPr>
            </w:pPr>
            <w:hyperlink w:anchor="page130">
              <w:r>
                <w:rPr>
                  <w:rFonts w:ascii="Arial" w:cs="Arial" w:eastAsia="Arial" w:hAnsi="Arial"/>
                  <w:sz w:val="18"/>
                  <w:szCs w:val="18"/>
                  <w:color w:val="0000FF"/>
                </w:rPr>
                <w:t>as adopted pursuant to Section 302 of the Sarbanes-Oxley Act of</w:t>
              </w:r>
            </w:hyperlink>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ind w:left="20"/>
              <w:spacing w:after="0" w:line="182" w:lineRule="exact"/>
              <w:rPr>
                <w:rFonts w:ascii="Arial" w:cs="Arial" w:eastAsia="Arial" w:hAnsi="Arial"/>
                <w:sz w:val="18"/>
                <w:szCs w:val="18"/>
                <w:color w:val="0000FF"/>
                <w:w w:val="93"/>
              </w:rPr>
            </w:pPr>
            <w:hyperlink w:anchor="page130">
              <w:r>
                <w:rPr>
                  <w:rFonts w:ascii="Arial" w:cs="Arial" w:eastAsia="Arial" w:hAnsi="Arial"/>
                  <w:sz w:val="18"/>
                  <w:szCs w:val="18"/>
                  <w:color w:val="0000FF"/>
                  <w:w w:val="93"/>
                </w:rPr>
                <w:t>2002.</w:t>
              </w:r>
            </w:hyperlink>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5460" w:type="dxa"/>
            <w:vAlign w:val="bottom"/>
            <w:gridSpan w:val="7"/>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Certification of Principal Financial Officer Pursuant to Rules 13a-</w:t>
              </w:r>
            </w:hyperlink>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54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w:anchor="page131">
              <w:r>
                <w:rPr>
                  <w:rFonts w:ascii="Arial" w:cs="Arial" w:eastAsia="Arial" w:hAnsi="Arial"/>
                  <w:sz w:val="18"/>
                  <w:szCs w:val="18"/>
                  <w:color w:val="0000FF"/>
                  <w:w w:val="99"/>
                </w:rPr>
                <w:t>14(a) and 15d-14(a) under the Securities and Exchange Act of 1934,</w:t>
              </w:r>
            </w:hyperlink>
          </w:p>
        </w:tc>
      </w:tr>
      <w:tr>
        <w:trPr>
          <w:trHeight w:val="183"/>
        </w:trPr>
        <w:tc>
          <w:tcPr>
            <w:tcW w:w="1200" w:type="dxa"/>
            <w:vAlign w:val="bottom"/>
          </w:tcPr>
          <w:p>
            <w:pPr>
              <w:spacing w:after="0"/>
              <w:rPr>
                <w:sz w:val="15"/>
                <w:szCs w:val="15"/>
                <w:color w:val="auto"/>
              </w:rPr>
            </w:pPr>
          </w:p>
        </w:tc>
        <w:tc>
          <w:tcPr>
            <w:tcW w:w="5460" w:type="dxa"/>
            <w:vAlign w:val="bottom"/>
            <w:gridSpan w:val="7"/>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as adopted pursuant to Section 302 of the Sarbanes-Oxley Act of</w:t>
              </w:r>
            </w:hyperlink>
          </w:p>
        </w:tc>
      </w:tr>
      <w:tr>
        <w:trPr>
          <w:trHeight w:val="183"/>
        </w:trPr>
        <w:tc>
          <w:tcPr>
            <w:tcW w:w="1200" w:type="dxa"/>
            <w:vAlign w:val="bottom"/>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w:anchor="page131">
              <w:r>
                <w:rPr>
                  <w:rFonts w:ascii="Arial" w:cs="Arial" w:eastAsia="Arial" w:hAnsi="Arial"/>
                  <w:sz w:val="18"/>
                  <w:szCs w:val="18"/>
                  <w:color w:val="0000FF"/>
                  <w:w w:val="93"/>
                </w:rPr>
                <w:t>2002.</w:t>
              </w:r>
            </w:hyperlink>
          </w:p>
        </w:tc>
        <w:tc>
          <w:tcPr>
            <w:tcW w:w="33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516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32">
              <w:r>
                <w:rPr>
                  <w:rFonts w:ascii="Arial" w:cs="Arial" w:eastAsia="Arial" w:hAnsi="Arial"/>
                  <w:sz w:val="18"/>
                  <w:szCs w:val="18"/>
                  <w:color w:val="0000FF"/>
                  <w:w w:val="99"/>
                </w:rPr>
                <w:t>Certification of Principal Executive Officer and Principal Financial</w:t>
              </w:r>
            </w:hyperlink>
          </w:p>
        </w:tc>
        <w:tc>
          <w:tcPr>
            <w:tcW w:w="300" w:type="dxa"/>
            <w:vAlign w:val="bottom"/>
            <w:gridSpan w:val="3"/>
          </w:tcPr>
          <w:p>
            <w:pPr>
              <w:spacing w:after="0"/>
              <w:rPr>
                <w:sz w:val="20"/>
                <w:szCs w:val="20"/>
                <w:color w:val="auto"/>
              </w:rPr>
            </w:pPr>
          </w:p>
        </w:tc>
      </w:tr>
      <w:tr>
        <w:trPr>
          <w:trHeight w:val="183"/>
        </w:trPr>
        <w:tc>
          <w:tcPr>
            <w:tcW w:w="1200" w:type="dxa"/>
            <w:vAlign w:val="bottom"/>
          </w:tcPr>
          <w:p>
            <w:pPr>
              <w:spacing w:after="0"/>
              <w:rPr>
                <w:sz w:val="15"/>
                <w:szCs w:val="15"/>
                <w:color w:val="auto"/>
              </w:rPr>
            </w:pPr>
          </w:p>
        </w:tc>
        <w:tc>
          <w:tcPr>
            <w:tcW w:w="5460" w:type="dxa"/>
            <w:vAlign w:val="bottom"/>
            <w:gridSpan w:val="7"/>
          </w:tcPr>
          <w:p>
            <w:pPr>
              <w:spacing w:after="0" w:line="182" w:lineRule="exact"/>
              <w:rPr>
                <w:rFonts w:ascii="Arial" w:cs="Arial" w:eastAsia="Arial" w:hAnsi="Arial"/>
                <w:sz w:val="18"/>
                <w:szCs w:val="18"/>
                <w:color w:val="0000FF"/>
              </w:rPr>
            </w:pPr>
            <w:hyperlink w:anchor="page132">
              <w:r>
                <w:rPr>
                  <w:rFonts w:ascii="Arial" w:cs="Arial" w:eastAsia="Arial" w:hAnsi="Arial"/>
                  <w:sz w:val="18"/>
                  <w:szCs w:val="18"/>
                  <w:color w:val="0000FF"/>
                </w:rPr>
                <w:t>Officer Pursuant to 18 U.S.C. Section 1350, as adopted pursuant to</w:t>
              </w:r>
            </w:hyperlink>
          </w:p>
        </w:tc>
      </w:tr>
      <w:tr>
        <w:trPr>
          <w:trHeight w:val="183"/>
        </w:trPr>
        <w:tc>
          <w:tcPr>
            <w:tcW w:w="120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32">
              <w:r>
                <w:rPr>
                  <w:rFonts w:ascii="Arial" w:cs="Arial" w:eastAsia="Arial" w:hAnsi="Arial"/>
                  <w:sz w:val="18"/>
                  <w:szCs w:val="18"/>
                  <w:color w:val="0000FF"/>
                  <w:w w:val="99"/>
                </w:rPr>
                <w:t>Section 906 of the Sarbanes-Oxley Act of 2002.</w:t>
              </w:r>
            </w:hyperlink>
          </w:p>
        </w:tc>
        <w:tc>
          <w:tcPr>
            <w:tcW w:w="1560" w:type="dxa"/>
            <w:vAlign w:val="bottom"/>
            <w:tcBorders>
              <w:top w:val="single" w:sz="8" w:color="0000FF"/>
            </w:tcBorders>
            <w:gridSpan w:val="4"/>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03"/>
        </w:trPr>
        <w:tc>
          <w:tcPr>
            <w:tcW w:w="1200" w:type="dxa"/>
            <w:vAlign w:val="bottom"/>
          </w:tcPr>
          <w:p>
            <w:pPr>
              <w:spacing w:after="0"/>
              <w:rPr>
                <w:sz w:val="17"/>
                <w:szCs w:val="17"/>
                <w:color w:val="auto"/>
              </w:rPr>
            </w:pPr>
          </w:p>
        </w:tc>
        <w:tc>
          <w:tcPr>
            <w:tcW w:w="5460" w:type="dxa"/>
            <w:vAlign w:val="bottom"/>
            <w:gridSpan w:val="7"/>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17"/>
        </w:trPr>
        <w:tc>
          <w:tcPr>
            <w:tcW w:w="1200" w:type="dxa"/>
            <w:vAlign w:val="bottom"/>
          </w:tcPr>
          <w:p>
            <w:pPr>
              <w:spacing w:after="0"/>
              <w:rPr>
                <w:sz w:val="18"/>
                <w:szCs w:val="18"/>
                <w:color w:val="auto"/>
              </w:rPr>
            </w:pPr>
          </w:p>
        </w:tc>
        <w:tc>
          <w:tcPr>
            <w:tcW w:w="54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0" w:lineRule="exact"/>
        <w:rPr>
          <w:sz w:val="20"/>
          <w:szCs w:val="20"/>
          <w:color w:val="auto"/>
        </w:rPr>
      </w:pPr>
    </w:p>
    <w:p>
      <w:pPr>
        <w:ind w:left="1220" w:right="3600" w:hanging="1194"/>
        <w:spacing w:after="0" w:line="246"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884" w:lineRule="exact"/>
        <w:rPr>
          <w:sz w:val="20"/>
          <w:szCs w:val="20"/>
          <w:color w:val="auto"/>
        </w:rPr>
      </w:pPr>
    </w:p>
    <w:p>
      <w:pPr>
        <w:sectPr>
          <w:pgSz w:w="11900" w:h="16838" w:orient="portrait"/>
          <w:cols w:equalWidth="0" w:num="2">
            <w:col w:w="9880" w:space="720"/>
            <w:col w:w="620"/>
          </w:cols>
          <w:pgMar w:left="320" w:top="125" w:right="359" w:bottom="1440" w:gutter="0" w:footer="0" w:header="0"/>
          <w:type w:val="continuous"/>
        </w:sectPr>
      </w:pPr>
    </w:p>
    <w:p>
      <w:pPr>
        <w:ind w:left="660" w:right="280" w:hanging="652"/>
        <w:spacing w:after="0" w:line="254" w:lineRule="auto"/>
        <w:tabs>
          <w:tab w:leader="none" w:pos="2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0" w:name="page91"/>
    <w:bookmarkEnd w:id="90"/>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ind w:left="6540"/>
        <w:spacing w:after="0"/>
        <w:rPr>
          <w:sz w:val="20"/>
          <w:szCs w:val="20"/>
          <w:color w:val="auto"/>
        </w:rPr>
      </w:pPr>
      <w:r>
        <w:rPr>
          <w:rFonts w:ascii="Arial" w:cs="Arial" w:eastAsia="Arial" w:hAnsi="Arial"/>
          <w:sz w:val="18"/>
          <w:szCs w:val="18"/>
          <w:b w:val="1"/>
          <w:bCs w:val="1"/>
          <w:color w:val="auto"/>
        </w:rPr>
        <w:t>ARCUTIS BIOTHERAPEUTICS, INC.</w:t>
      </w:r>
    </w:p>
    <w:p>
      <w:pPr>
        <w:spacing w:after="0" w:line="315" w:lineRule="exact"/>
        <w:rPr>
          <w:sz w:val="20"/>
          <w:szCs w:val="20"/>
          <w:color w:val="auto"/>
        </w:rPr>
      </w:pPr>
    </w:p>
    <w:p>
      <w:pPr>
        <w:ind w:left="680"/>
        <w:spacing w:after="0"/>
        <w:tabs>
          <w:tab w:leader="none" w:pos="1780" w:val="left"/>
          <w:tab w:leader="none" w:pos="652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6350</wp:posOffset>
            </wp:positionV>
            <wp:extent cx="27603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Todd Franklin Watanabe</w:t>
      </w:r>
    </w:p>
    <w:p>
      <w:pPr>
        <w:ind w:left="7500"/>
        <w:spacing w:after="0" w:line="203" w:lineRule="auto"/>
        <w:rPr>
          <w:sz w:val="20"/>
          <w:szCs w:val="20"/>
          <w:color w:val="auto"/>
        </w:rPr>
      </w:pPr>
      <w:r>
        <w:rPr>
          <w:rFonts w:ascii="Arial" w:cs="Arial" w:eastAsia="Arial" w:hAnsi="Arial"/>
          <w:sz w:val="18"/>
          <w:szCs w:val="18"/>
          <w:i w:val="1"/>
          <w:iCs w:val="1"/>
          <w:color w:val="auto"/>
        </w:rPr>
        <w:t>President, Chief Executive Officer and</w:t>
      </w:r>
    </w:p>
    <w:p>
      <w:pPr>
        <w:ind w:left="6840"/>
        <w:spacing w:after="0" w:line="203" w:lineRule="auto"/>
        <w:rPr>
          <w:sz w:val="20"/>
          <w:szCs w:val="20"/>
          <w:color w:val="auto"/>
        </w:rPr>
      </w:pPr>
      <w:r>
        <w:rPr>
          <w:rFonts w:ascii="Arial" w:cs="Arial" w:eastAsia="Arial" w:hAnsi="Arial"/>
          <w:sz w:val="18"/>
          <w:szCs w:val="18"/>
          <w:i w:val="1"/>
          <w:iCs w:val="1"/>
          <w:color w:val="auto"/>
        </w:rPr>
        <w:t>Director</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680"/>
        <w:spacing w:after="0"/>
        <w:tabs>
          <w:tab w:leader="none" w:pos="1780" w:val="left"/>
          <w:tab w:leader="none" w:pos="652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6350</wp:posOffset>
            </wp:positionV>
            <wp:extent cx="27603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Scott L. Burrows</w:t>
      </w:r>
    </w:p>
    <w:p>
      <w:pPr>
        <w:ind w:left="7500"/>
        <w:spacing w:after="0" w:line="203" w:lineRule="auto"/>
        <w:rPr>
          <w:sz w:val="20"/>
          <w:szCs w:val="20"/>
          <w:color w:val="auto"/>
        </w:rPr>
      </w:pPr>
      <w:r>
        <w:rPr>
          <w:rFonts w:ascii="Arial" w:cs="Arial" w:eastAsia="Arial" w:hAnsi="Arial"/>
          <w:sz w:val="18"/>
          <w:szCs w:val="18"/>
          <w:i w:val="1"/>
          <w:iCs w:val="1"/>
          <w:color w:val="auto"/>
        </w:rPr>
        <w:t>Chief Financial Officer</w:t>
      </w:r>
    </w:p>
    <w:p>
      <w:pPr>
        <w:ind w:left="750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0940"/>
          </w:cols>
          <w:pgMar w:left="320" w:top="1035" w:right="639" w:bottom="1440" w:gutter="0" w:footer="0" w:header="0"/>
        </w:sectPr>
      </w:pPr>
    </w:p>
    <w:bookmarkStart w:id="91" w:name="page92"/>
    <w:bookmarkEnd w:id="91"/>
    <w:p>
      <w:pPr>
        <w:ind w:right="20" w:firstLine="8"/>
        <w:spacing w:after="0" w:line="280" w:lineRule="auto"/>
        <w:tabs>
          <w:tab w:leader="none" w:pos="576"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Certain information in this document has been excluded pursuant to Regulation S-K, Item 601(b)(10). Such excluded information is the type that the registrant treats as private or confidential and is not material.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SUPPLY AND MANUFACTURING AGREEMENT</w:t>
      </w:r>
    </w:p>
    <w:p>
      <w:pPr>
        <w:spacing w:after="0" w:line="20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This Supply and Manufacturing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made as of this 15th day of September 2021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DPT Laboratories, Ltd., a Texas Limited Partnership with a place of business at 307 East Josephine Street, San Antonio, Texas 78215 (hereinafter “</w:t>
      </w:r>
      <w:r>
        <w:rPr>
          <w:rFonts w:ascii="Arial" w:cs="Arial" w:eastAsia="Arial" w:hAnsi="Arial"/>
          <w:sz w:val="19"/>
          <w:szCs w:val="19"/>
          <w:b w:val="1"/>
          <w:bCs w:val="1"/>
          <w:color w:val="auto"/>
        </w:rPr>
        <w:t>DPT</w:t>
      </w:r>
      <w:r>
        <w:rPr>
          <w:rFonts w:ascii="Arial" w:cs="Arial" w:eastAsia="Arial" w:hAnsi="Arial"/>
          <w:sz w:val="19"/>
          <w:szCs w:val="19"/>
          <w:color w:val="auto"/>
        </w:rPr>
        <w:t>”) and Arcutis Biotherapeutics, Inc., a Delaware corporation having principal offices at 3027 Townsgate Road, Suite 300, Westlake Village, California 91361 (“</w:t>
      </w:r>
      <w:r>
        <w:rPr>
          <w:rFonts w:ascii="Arial" w:cs="Arial" w:eastAsia="Arial" w:hAnsi="Arial"/>
          <w:sz w:val="19"/>
          <w:szCs w:val="19"/>
          <w:b w:val="1"/>
          <w:bCs w:val="1"/>
          <w:color w:val="auto"/>
        </w:rPr>
        <w:t>COMPANY</w:t>
      </w:r>
      <w:r>
        <w:rPr>
          <w:rFonts w:ascii="Arial" w:cs="Arial" w:eastAsia="Arial" w:hAnsi="Arial"/>
          <w:sz w:val="19"/>
          <w:szCs w:val="19"/>
          <w:color w:val="auto"/>
        </w:rPr>
        <w:t>”). COMPANY and DPT may be referred to herein by name or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COMPANY is engaged in the development and commercialization of certain pharmaceutical or cosmetic products;</w:t>
      </w:r>
    </w:p>
    <w:p>
      <w:pPr>
        <w:spacing w:after="0" w:line="240" w:lineRule="exact"/>
        <w:rPr>
          <w:rFonts w:ascii="Arial" w:cs="Arial" w:eastAsia="Arial" w:hAnsi="Arial"/>
          <w:sz w:val="19"/>
          <w:szCs w:val="19"/>
          <w:color w:val="auto"/>
        </w:rPr>
      </w:pPr>
    </w:p>
    <w:p>
      <w:pPr>
        <w:ind w:firstLine="656"/>
        <w:spacing w:after="0" w:line="250" w:lineRule="auto"/>
        <w:tabs>
          <w:tab w:leader="none" w:pos="1062" w:val="left"/>
        </w:tabs>
        <w:numPr>
          <w:ilvl w:val="0"/>
          <w:numId w:val="44"/>
        </w:numPr>
        <w:rPr>
          <w:rFonts w:ascii="Arial" w:cs="Arial" w:eastAsia="Arial" w:hAnsi="Arial"/>
          <w:sz w:val="22"/>
          <w:szCs w:val="22"/>
          <w:color w:val="auto"/>
        </w:rPr>
      </w:pPr>
      <w:r>
        <w:rPr>
          <w:rFonts w:ascii="Arial" w:cs="Arial" w:eastAsia="Arial" w:hAnsi="Arial"/>
          <w:sz w:val="22"/>
          <w:szCs w:val="22"/>
          <w:color w:val="auto"/>
        </w:rPr>
        <w:t>DPT owns and has a broad spectrum of technologies for the development, formulation, testing, control, manufacture, filling and supply of pharmaceutical, over-the-counter and cosmetic products; and</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COMPANY desires DPT to manufacture and supply Product (as hereinafter defined) to COMPANY, and DPT desires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do so.</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covenants, conditions and undertakings hereinafter set forth,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is hereby acknowledged, the Parties hereby agree as follows:</w:t>
      </w:r>
    </w:p>
    <w:p>
      <w:pPr>
        <w:spacing w:after="0" w:line="17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DEFINITIONS/INTERPRETATION</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For the purposes of this Agreement, the following capitalized words and phrases shall have the following meanings</w:t>
      </w:r>
      <w:r>
        <w:rPr>
          <w:rFonts w:ascii="Arial" w:cs="Arial" w:eastAsia="Arial" w:hAnsi="Arial"/>
          <w:sz w:val="21"/>
          <w:szCs w:val="21"/>
          <w:b w:val="1"/>
          <w:bCs w:val="1"/>
          <w:color w:val="auto"/>
        </w:rPr>
        <w:t>:</w:t>
      </w:r>
    </w:p>
    <w:p>
      <w:pPr>
        <w:spacing w:after="0" w:line="21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means the US Federal Food, Drug and Cosmetic Act and Canada’s Food and Drug Act and Regulations,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regulations promulgated thereunder.</w:t>
      </w:r>
    </w:p>
    <w:p>
      <w:pPr>
        <w:spacing w:after="0" w:line="16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color w:val="auto"/>
        </w:rPr>
        <w:t>Administrative Expenses</w:t>
      </w:r>
      <w:r>
        <w:rPr>
          <w:rFonts w:ascii="Arial" w:cs="Arial" w:eastAsia="Arial" w:hAnsi="Arial"/>
          <w:sz w:val="19"/>
          <w:szCs w:val="19"/>
          <w:color w:val="auto"/>
        </w:rPr>
        <w:t>” means, in the context of any Product recall, the reasonable documented out-of-pocket</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of notification or return of the recalled Product incurred by either of the Parties in any such corrective action.</w:t>
      </w:r>
    </w:p>
    <w:p>
      <w:pPr>
        <w:spacing w:after="0" w:line="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Party, any corporation, limited liability company or other business entity</w:t>
      </w:r>
      <w:r>
        <w:rPr>
          <w:rFonts w:ascii="Arial" w:cs="Arial" w:eastAsia="Arial" w:hAnsi="Arial"/>
          <w:sz w:val="22"/>
          <w:szCs w:val="22"/>
          <w:b w:val="1"/>
          <w:bCs w:val="1"/>
          <w:color w:val="auto"/>
        </w:rPr>
        <w:t xml:space="preserve"> </w:t>
      </w:r>
      <w:r>
        <w:rPr>
          <w:rFonts w:ascii="Arial" w:cs="Arial" w:eastAsia="Arial" w:hAnsi="Arial"/>
          <w:sz w:val="22"/>
          <w:szCs w:val="22"/>
          <w:color w:val="auto"/>
        </w:rPr>
        <w:t>controlling, controlled by or under common control with such Party, for so long as such relationship exists. For the purposes of this definition, control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33</w:t>
      </w:r>
    </w:p>
    <w:p>
      <w:pPr>
        <w:sectPr>
          <w:pgSz w:w="11900" w:h="16838" w:orient="portrait"/>
          <w:cols w:equalWidth="0" w:num="1">
            <w:col w:w="11240"/>
          </w:cols>
          <w:pgMar w:left="320" w:top="1408" w:right="339" w:bottom="1440" w:gutter="0" w:footer="0" w:header="0"/>
        </w:sectPr>
      </w:pPr>
    </w:p>
    <w:bookmarkStart w:id="92" w:name="page93"/>
    <w:bookmarkEnd w:id="92"/>
    <w:p>
      <w:pPr>
        <w:spacing w:after="0" w:line="191" w:lineRule="exact"/>
        <w:rPr>
          <w:sz w:val="20"/>
          <w:szCs w:val="20"/>
          <w:color w:val="auto"/>
        </w:rPr>
      </w:pPr>
    </w:p>
    <w:p>
      <w:pPr>
        <w:jc w:val="both"/>
        <w:ind w:firstLine="8"/>
        <w:spacing w:after="0" w:line="249" w:lineRule="auto"/>
        <w:tabs>
          <w:tab w:leader="none" w:pos="308" w:val="left"/>
        </w:tabs>
        <w:numPr>
          <w:ilvl w:val="0"/>
          <w:numId w:val="45"/>
        </w:numPr>
        <w:rPr>
          <w:rFonts w:ascii="Arial" w:cs="Arial" w:eastAsia="Arial" w:hAnsi="Arial"/>
          <w:sz w:val="21"/>
          <w:szCs w:val="21"/>
          <w:color w:val="auto"/>
        </w:rPr>
      </w:pPr>
      <w:r>
        <w:rPr>
          <w:rFonts w:ascii="Arial" w:cs="Arial" w:eastAsia="Arial" w:hAnsi="Arial"/>
          <w:sz w:val="21"/>
          <w:szCs w:val="21"/>
          <w:color w:val="auto"/>
        </w:rPr>
        <w:t>to possess, directly or indirectly, the power to direct affirmatively the management and policies of such corporation, limited liability company or other business entity, whether through ownership of voting securities or by contract relating to voting rights or corporate governance; or (b) ownership of more than fifty percent (50%) of the voting stock in such corporation, limited liability company or other business entity (or such lesser percent as may be the maximum that may be owned pursuant to Applicable Law of the country of incorporation or domicile), as applicable.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Drug Application</w:t>
      </w:r>
      <w:r>
        <w:rPr>
          <w:rFonts w:ascii="Arial" w:cs="Arial" w:eastAsia="Arial" w:hAnsi="Arial"/>
          <w:sz w:val="19"/>
          <w:szCs w:val="19"/>
          <w:color w:val="auto"/>
        </w:rPr>
        <w:t>”: “NDA” means a New Drug Application filed with the FDA as described in 21 C.F.R. §</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314 (including any amendments and supplements thereto).</w:t>
      </w:r>
    </w:p>
    <w:p>
      <w:pPr>
        <w:spacing w:after="0" w:line="182"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Annual Product Review</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A regular quality review of every licensed medicinal product as required per regulatory</w:t>
      </w:r>
      <w:r>
        <w:rPr>
          <w:rFonts w:ascii="Arial" w:cs="Arial" w:eastAsia="Arial" w:hAnsi="Arial"/>
          <w:sz w:val="22"/>
          <w:szCs w:val="22"/>
          <w:b w:val="1"/>
          <w:bCs w:val="1"/>
          <w:color w:val="auto"/>
        </w:rPr>
        <w:t xml:space="preserve"> </w:t>
      </w:r>
      <w:r>
        <w:rPr>
          <w:rFonts w:ascii="Arial" w:cs="Arial" w:eastAsia="Arial" w:hAnsi="Arial"/>
          <w:sz w:val="17"/>
          <w:szCs w:val="17"/>
          <w:color w:val="auto"/>
        </w:rPr>
        <w:t>requirements. The purpose of this annual review is to verify the consistency of the existing process, the appropriateness of the current specifications, manufacturing, and control procedures, to highlight trends and identify product and process improvements, and to act where needed.</w:t>
      </w:r>
    </w:p>
    <w:p>
      <w:pPr>
        <w:spacing w:after="0" w:line="36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color w:val="auto"/>
        </w:rPr>
        <w:t>“</w:t>
      </w:r>
      <w:r>
        <w:rPr>
          <w:rFonts w:ascii="Arial" w:cs="Arial" w:eastAsia="Arial" w:hAnsi="Arial"/>
          <w:sz w:val="21"/>
          <w:szCs w:val="21"/>
          <w:b w:val="1"/>
          <w:bCs w:val="1"/>
          <w:color w:val="auto"/>
        </w:rPr>
        <w:t>API</w:t>
      </w:r>
      <w:r>
        <w:rPr>
          <w:rFonts w:ascii="Arial" w:cs="Arial" w:eastAsia="Arial" w:hAnsi="Arial"/>
          <w:sz w:val="21"/>
          <w:szCs w:val="21"/>
          <w:color w:val="auto"/>
        </w:rPr>
        <w:t>” means the active pharmaceutical ingredient identified on and having the chemical composition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that is contained in the Product(s), also referenced herein as the “Processing Material”.</w:t>
      </w:r>
    </w:p>
    <w:p>
      <w:pPr>
        <w:spacing w:after="0" w:line="1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1.7 </w:t>
      </w: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means all laws, ordinances, rules, rulings, directives and regulations of any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that apply to the development, manufacture, supply or commercialization of any Product or the other activities contemplated under this Agreement, including (i) all applicable federal, state and local laws, rules and regulations; (ii) the Act;</w:t>
      </w:r>
    </w:p>
    <w:p>
      <w:pPr>
        <w:spacing w:after="0" w:line="2" w:lineRule="exact"/>
        <w:rPr>
          <w:sz w:val="20"/>
          <w:szCs w:val="20"/>
          <w:color w:val="auto"/>
        </w:rPr>
      </w:pPr>
    </w:p>
    <w:p>
      <w:pPr>
        <w:jc w:val="both"/>
        <w:ind w:firstLine="8"/>
        <w:spacing w:after="0" w:line="248" w:lineRule="auto"/>
        <w:tabs>
          <w:tab w:leader="none" w:pos="383" w:val="left"/>
        </w:tabs>
        <w:numPr>
          <w:ilvl w:val="0"/>
          <w:numId w:val="46"/>
        </w:numPr>
        <w:rPr>
          <w:rFonts w:ascii="Arial" w:cs="Arial" w:eastAsia="Arial" w:hAnsi="Arial"/>
          <w:sz w:val="21"/>
          <w:szCs w:val="21"/>
          <w:color w:val="auto"/>
        </w:rPr>
      </w:pPr>
      <w:r>
        <w:rPr>
          <w:rFonts w:ascii="Arial" w:cs="Arial" w:eastAsia="Arial" w:hAnsi="Arial"/>
          <w:sz w:val="21"/>
          <w:szCs w:val="21"/>
          <w:color w:val="auto"/>
        </w:rPr>
        <w:t>regulations and guidelines of the FDA and other Regulatory Authorities, including cGMPs; and (iv) any applicable non-U.S. equivalents of any of the foregoing, including guidelines of the International Conference on Harmonization of Technical Requirements for Registration of Pharmaceuticals for Human Use (as amended from time to time).</w:t>
      </w:r>
    </w:p>
    <w:p>
      <w:pPr>
        <w:spacing w:after="0" w:line="17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b w:val="1"/>
          <w:bCs w:val="1"/>
          <w:color w:val="auto"/>
        </w:rPr>
        <w:t>Bankruptcy Event</w:t>
      </w:r>
      <w:r>
        <w:rPr>
          <w:rFonts w:ascii="Arial" w:cs="Arial" w:eastAsia="Arial" w:hAnsi="Arial"/>
          <w:sz w:val="22"/>
          <w:szCs w:val="22"/>
          <w:color w:val="auto"/>
        </w:rPr>
        <w:t>” means, with respect to a Party, (a) the making by it of a general assignment for the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of creditors, (b) the commencement by it of any voluntary petition in bankruptcy or suffering by it of the filing of an involuntary petition of its creditors, (c) the suffering by it of the appointment of a receiver to take possession of all, or substantially all, of its assets, (d) the suffering by it of the attachment or other judicial seizure of all, or substantially all, of its assets, (e) the admission by it in writing of its inability to pay its debts as they come due, or (f) the making by it of an offer of settlement, extension or composition to its creditors generally.</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any day on which commercial banks located in</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City, New York, U.S.A. are authorized or required to remain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33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cGMPs</w:t>
      </w:r>
      <w:r>
        <w:rPr>
          <w:rFonts w:ascii="Arial" w:cs="Arial" w:eastAsia="Arial" w:hAnsi="Arial"/>
          <w:sz w:val="21"/>
          <w:szCs w:val="21"/>
          <w:color w:val="auto"/>
        </w:rPr>
        <w:t>” means current good manufacturing practices and standards as set forth (and as amended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in the current Good Manufacturing Practice Regulations of the U.S. Code of Federal Regulations, including 21 C.F.R. Sections 210 and 211, and any corresponding practices and standards under Applicable Law in the Territory, or the country in which the Product is manufactured hereunder, subject to any arrangements, additions or clarifications, and the respective roles and responsibilities, agreed from time to time between the Parties.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Change Control Request</w:t>
      </w:r>
      <w:r>
        <w:rPr>
          <w:rFonts w:ascii="Arial" w:cs="Arial" w:eastAsia="Arial" w:hAnsi="Arial"/>
          <w:sz w:val="22"/>
          <w:szCs w:val="22"/>
          <w:color w:val="auto"/>
        </w:rPr>
        <w:t>” or “</w:t>
      </w:r>
      <w:r>
        <w:rPr>
          <w:rFonts w:ascii="Arial" w:cs="Arial" w:eastAsia="Arial" w:hAnsi="Arial"/>
          <w:sz w:val="22"/>
          <w:szCs w:val="22"/>
          <w:b w:val="1"/>
          <w:bCs w:val="1"/>
          <w:color w:val="auto"/>
        </w:rPr>
        <w:t>CCR</w:t>
      </w:r>
      <w:r>
        <w:rPr>
          <w:rFonts w:ascii="Arial" w:cs="Arial" w:eastAsia="Arial" w:hAnsi="Arial"/>
          <w:sz w:val="22"/>
          <w:szCs w:val="22"/>
          <w:color w:val="auto"/>
        </w:rPr>
        <w:t>” means the primary record in which the overall details of a change are</w:t>
      </w:r>
      <w:r>
        <w:rPr>
          <w:rFonts w:ascii="Arial" w:cs="Arial" w:eastAsia="Arial" w:hAnsi="Arial"/>
          <w:sz w:val="22"/>
          <w:szCs w:val="22"/>
          <w:b w:val="1"/>
          <w:bCs w:val="1"/>
          <w:color w:val="auto"/>
        </w:rPr>
        <w:t xml:space="preserve"> </w:t>
      </w:r>
      <w:r>
        <w:rPr>
          <w:rFonts w:ascii="Arial" w:cs="Arial" w:eastAsia="Arial" w:hAnsi="Arial"/>
          <w:sz w:val="22"/>
          <w:szCs w:val="22"/>
          <w:color w:val="auto"/>
        </w:rPr>
        <w:t>captured and monitored.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or any successor agency thereto performing</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functions.</w:t>
      </w:r>
    </w:p>
    <w:p>
      <w:pPr>
        <w:spacing w:after="0" w:line="1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color w:val="auto"/>
        </w:rPr>
        <w:t>Forecasted Needs</w:t>
      </w:r>
      <w:r>
        <w:rPr>
          <w:rFonts w:ascii="Arial" w:cs="Arial" w:eastAsia="Arial" w:hAnsi="Arial"/>
          <w:sz w:val="19"/>
          <w:szCs w:val="19"/>
          <w:color w:val="auto"/>
        </w:rPr>
        <w:t>” means COMPANY’s written estimate of the quantity of each Product that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anticipates ordering from DPT for each of the [***] ([***]) months following the month in which such estimate is provided. The [***] ([***]) months of Forecasted Needs is non-binding provided, however, the first [***] ([***]) months are firm and binding.</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court, agency, department, authority or other instrumentality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nation, state, country, city or other political subdivision, including any Regulatory Authority.</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Label</w:t>
      </w:r>
      <w:r>
        <w:rPr>
          <w:rFonts w:ascii="Arial" w:cs="Arial" w:eastAsia="Arial" w:hAnsi="Arial"/>
          <w:sz w:val="22"/>
          <w:szCs w:val="22"/>
          <w:color w:val="auto"/>
        </w:rPr>
        <w:t>”, “</w:t>
      </w:r>
      <w:r>
        <w:rPr>
          <w:rFonts w:ascii="Arial" w:cs="Arial" w:eastAsia="Arial" w:hAnsi="Arial"/>
          <w:sz w:val="22"/>
          <w:szCs w:val="22"/>
          <w:b w:val="1"/>
          <w:bCs w:val="1"/>
          <w:color w:val="auto"/>
        </w:rPr>
        <w:t>Labeled</w:t>
      </w:r>
      <w:r>
        <w:rPr>
          <w:rFonts w:ascii="Arial" w:cs="Arial" w:eastAsia="Arial" w:hAnsi="Arial"/>
          <w:sz w:val="22"/>
          <w:szCs w:val="22"/>
          <w:color w:val="auto"/>
        </w:rPr>
        <w:t>”, or “</w:t>
      </w:r>
      <w:r>
        <w:rPr>
          <w:rFonts w:ascii="Arial" w:cs="Arial" w:eastAsia="Arial" w:hAnsi="Arial"/>
          <w:sz w:val="22"/>
          <w:szCs w:val="22"/>
          <w:b w:val="1"/>
          <w:bCs w:val="1"/>
          <w:color w:val="auto"/>
        </w:rPr>
        <w:t>Labeling</w:t>
      </w:r>
      <w:r>
        <w:rPr>
          <w:rFonts w:ascii="Arial" w:cs="Arial" w:eastAsia="Arial" w:hAnsi="Arial"/>
          <w:sz w:val="22"/>
          <w:szCs w:val="22"/>
          <w:color w:val="auto"/>
        </w:rPr>
        <w:t>” means all labels and other written, printed, or graphic matter included or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upon: (i) the Product or any container or wrapper utilized with Product or (ii) any written material accompanying Product.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color w:val="auto"/>
        </w:rPr>
        <w:t>Launch Year</w:t>
      </w:r>
      <w:r>
        <w:rPr>
          <w:rFonts w:ascii="Arial" w:cs="Arial" w:eastAsia="Arial" w:hAnsi="Arial"/>
          <w:sz w:val="22"/>
          <w:szCs w:val="22"/>
          <w:color w:val="auto"/>
        </w:rPr>
        <w:t>” means the period commencing on the first day following DPT’s delivery of the initial invoice for</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to COMPANY and ending on December 31 of such calendar year.</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color w:val="auto"/>
        </w:rPr>
        <w:t>“</w:t>
      </w:r>
      <w:r>
        <w:rPr>
          <w:rFonts w:ascii="Arial" w:cs="Arial" w:eastAsia="Arial" w:hAnsi="Arial"/>
          <w:sz w:val="19"/>
          <w:szCs w:val="19"/>
          <w:b w:val="1"/>
          <w:bCs w:val="1"/>
          <w:color w:val="auto"/>
        </w:rPr>
        <w:t>Manufacturing Fee</w:t>
      </w:r>
      <w:r>
        <w:rPr>
          <w:rFonts w:ascii="Arial" w:cs="Arial" w:eastAsia="Arial" w:hAnsi="Arial"/>
          <w:sz w:val="19"/>
          <w:szCs w:val="19"/>
          <w:color w:val="auto"/>
        </w:rPr>
        <w:t>” means the fee invoiced to COMPANY by DPT for services required of DPT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manufacture and package each Product. The Manufacturing Fee is quoted in single final Product unit increments (i.e., by the bottle or tube). The Manufacturing Fee shall include services for incoming inspection of materials, compounding of bulk Product, Packaging, testing Product for release, making Product ready for shipment, and one copy of the Certificate of Analysis. The Manufacturing Fee does not include, without limitation, any technical or development services support, Package engineering studies, validation studies or support, FDA audit support, extensive reporting requirements, or additional laboratory testing performed by an outside testing laboratory or testing beyond that required in the Specifications. These services are in addition to the Manufacturing Fee and shall be billed by the hour at DPT’s then-prevailing Technical and Development Hourly Rate (as hereinafter defined) in accordance with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contained herein. In addition, the Manufacturing Fee does not include warehousing or distribution of Product, any materials costs or costs associated with establishing or manufacturing new materials such as art charges, die costs, plate costs, and packaging equipment change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33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Safety Data Sheet</w:t>
      </w:r>
      <w:r>
        <w:rPr>
          <w:rFonts w:ascii="Arial" w:cs="Arial" w:eastAsia="Arial" w:hAnsi="Arial"/>
          <w:sz w:val="22"/>
          <w:szCs w:val="22"/>
          <w:color w:val="auto"/>
        </w:rPr>
        <w:t>” or “</w:t>
      </w:r>
      <w:r>
        <w:rPr>
          <w:rFonts w:ascii="Arial" w:cs="Arial" w:eastAsia="Arial" w:hAnsi="Arial"/>
          <w:sz w:val="22"/>
          <w:szCs w:val="22"/>
          <w:b w:val="1"/>
          <w:bCs w:val="1"/>
          <w:color w:val="auto"/>
        </w:rPr>
        <w:t>SDS</w:t>
      </w:r>
      <w:r>
        <w:rPr>
          <w:rFonts w:ascii="Arial" w:cs="Arial" w:eastAsia="Arial" w:hAnsi="Arial"/>
          <w:sz w:val="22"/>
          <w:szCs w:val="22"/>
          <w:color w:val="auto"/>
        </w:rPr>
        <w:t>” means written or printed material concerning a hazardous chemical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prepared in accordance with the regulations promulgated by the Occupational Safety &amp; Health Administration, or any successor entity thereto.</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color w:val="auto"/>
        </w:rPr>
        <w:t>“</w:t>
      </w:r>
      <w:r>
        <w:rPr>
          <w:rFonts w:ascii="Arial" w:cs="Arial" w:eastAsia="Arial" w:hAnsi="Arial"/>
          <w:sz w:val="19"/>
          <w:szCs w:val="19"/>
          <w:b w:val="1"/>
          <w:bCs w:val="1"/>
          <w:color w:val="auto"/>
        </w:rPr>
        <w:t>Materials Fee</w:t>
      </w:r>
      <w:r>
        <w:rPr>
          <w:rFonts w:ascii="Arial" w:cs="Arial" w:eastAsia="Arial" w:hAnsi="Arial"/>
          <w:sz w:val="19"/>
          <w:szCs w:val="19"/>
          <w:color w:val="auto"/>
        </w:rPr>
        <w:t>” is quoted in single final Product unit increments and is defined as DPT’s Standard Cost (as</w:t>
      </w:r>
      <w:r>
        <w:rPr>
          <w:rFonts w:ascii="Arial" w:cs="Arial" w:eastAsia="Arial" w:hAnsi="Arial"/>
          <w:sz w:val="19"/>
          <w:szCs w:val="19"/>
          <w:b w:val="1"/>
          <w:bCs w:val="1"/>
          <w:color w:val="auto"/>
        </w:rPr>
        <w:t xml:space="preserve"> </w:t>
      </w:r>
      <w:r>
        <w:rPr>
          <w:rFonts w:ascii="Arial" w:cs="Arial" w:eastAsia="Arial" w:hAnsi="Arial"/>
          <w:sz w:val="19"/>
          <w:szCs w:val="19"/>
          <w:color w:val="auto"/>
        </w:rPr>
        <w:t>hereinafter defined) plus a mark-up of ten percent (10%) for administration and carrying costs. Materials Fee does not include, without limitation, costs associated with establishing, testing or manufacturing components or new materials such as reference standards, reagents, art charges, die costs, molding or tooling costs, plate costs, and packaging equipment change parts.</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Minimum Order Quantity</w:t>
      </w:r>
      <w:r>
        <w:rPr>
          <w:rFonts w:ascii="Arial" w:cs="Arial" w:eastAsia="Arial" w:hAnsi="Arial"/>
          <w:sz w:val="22"/>
          <w:szCs w:val="22"/>
          <w:color w:val="auto"/>
        </w:rPr>
        <w:t>” means the smallest amount or number of a chemical, device, excipient, Labeling or</w:t>
      </w:r>
      <w:r>
        <w:rPr>
          <w:rFonts w:ascii="Arial" w:cs="Arial" w:eastAsia="Arial" w:hAnsi="Arial"/>
          <w:sz w:val="22"/>
          <w:szCs w:val="22"/>
          <w:b w:val="1"/>
          <w:bCs w:val="1"/>
          <w:color w:val="auto"/>
        </w:rPr>
        <w:t xml:space="preserve"> </w:t>
      </w:r>
      <w:r>
        <w:rPr>
          <w:rFonts w:ascii="Arial" w:cs="Arial" w:eastAsia="Arial" w:hAnsi="Arial"/>
          <w:sz w:val="22"/>
          <w:szCs w:val="22"/>
          <w:color w:val="auto"/>
        </w:rPr>
        <w:t>Packaging component that a vendor will supply to DPT when it submits a purchase order to such vendor for such chemical, device, excipient, Labeling or Packaging component.</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Package</w:t>
      </w:r>
      <w:r>
        <w:rPr>
          <w:rFonts w:ascii="Arial" w:cs="Arial" w:eastAsia="Arial" w:hAnsi="Arial"/>
          <w:sz w:val="22"/>
          <w:szCs w:val="22"/>
          <w:color w:val="auto"/>
        </w:rPr>
        <w:t>” or “</w:t>
      </w:r>
      <w:r>
        <w:rPr>
          <w:rFonts w:ascii="Arial" w:cs="Arial" w:eastAsia="Arial" w:hAnsi="Arial"/>
          <w:sz w:val="22"/>
          <w:szCs w:val="22"/>
          <w:b w:val="1"/>
          <w:bCs w:val="1"/>
          <w:color w:val="auto"/>
        </w:rPr>
        <w:t>Packaging</w:t>
      </w:r>
      <w:r>
        <w:rPr>
          <w:rFonts w:ascii="Arial" w:cs="Arial" w:eastAsia="Arial" w:hAnsi="Arial"/>
          <w:sz w:val="22"/>
          <w:szCs w:val="22"/>
          <w:color w:val="auto"/>
        </w:rPr>
        <w:t>” means all primary containers, cartons, shipping cases, inserts or any other like</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used in packaging, or accompanying, a Product.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corporation, a partnership, an association, a trust or other entity or organization,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government or political subdivision or an agency thereof.</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each product set forth in a Project Protocol.</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Project Protocol</w:t>
      </w:r>
      <w:r>
        <w:rPr>
          <w:rFonts w:ascii="Arial" w:cs="Arial" w:eastAsia="Arial" w:hAnsi="Arial"/>
          <w:sz w:val="22"/>
          <w:szCs w:val="22"/>
          <w:color w:val="auto"/>
        </w:rPr>
        <w:t>” means a precise and detailed plan that is mutually agreed and executed by DPT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which carefully describes the nature and scope of services to be rendered, Product to be delivered, and fees to be charged, including the relevant Specifications therefor. Project Protocols are generated for activities not included in the manufacturing and material fees.</w:t>
      </w:r>
    </w:p>
    <w:p>
      <w:pPr>
        <w:spacing w:after="0" w:line="180"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federal, national, multinational, state, provincial or local regulatory agency,</w:t>
      </w:r>
      <w:r>
        <w:rPr>
          <w:rFonts w:ascii="Arial" w:cs="Arial" w:eastAsia="Arial" w:hAnsi="Arial"/>
          <w:sz w:val="19"/>
          <w:szCs w:val="19"/>
          <w:b w:val="1"/>
          <w:bCs w:val="1"/>
          <w:color w:val="auto"/>
        </w:rPr>
        <w:t xml:space="preserve"> </w:t>
      </w:r>
      <w:r>
        <w:rPr>
          <w:rFonts w:ascii="Arial" w:cs="Arial" w:eastAsia="Arial" w:hAnsi="Arial"/>
          <w:sz w:val="19"/>
          <w:szCs w:val="19"/>
          <w:color w:val="auto"/>
        </w:rPr>
        <w:t>department, bureau or other governmental entity, including the FDA, with authority over the development, manufacture or commercialization of any Product(s) in any jurisdiction in any country where COMPANY may commercialize Product.</w:t>
      </w:r>
    </w:p>
    <w:p>
      <w:pPr>
        <w:spacing w:after="0" w:line="1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1.26 </w:t>
      </w:r>
      <w:r>
        <w:rPr>
          <w:rFonts w:ascii="Arial" w:cs="Arial" w:eastAsia="Arial" w:hAnsi="Arial"/>
          <w:sz w:val="19"/>
          <w:szCs w:val="19"/>
          <w:color w:val="auto"/>
        </w:rPr>
        <w:t>“</w:t>
      </w:r>
      <w:r>
        <w:rPr>
          <w:rFonts w:ascii="Arial" w:cs="Arial" w:eastAsia="Arial" w:hAnsi="Arial"/>
          <w:sz w:val="19"/>
          <w:szCs w:val="19"/>
          <w:b w:val="1"/>
          <w:bCs w:val="1"/>
          <w:color w:val="auto"/>
        </w:rPr>
        <w:t>Specifications</w:t>
      </w:r>
      <w:r>
        <w:rPr>
          <w:rFonts w:ascii="Arial" w:cs="Arial" w:eastAsia="Arial" w:hAnsi="Arial"/>
          <w:sz w:val="19"/>
          <w:szCs w:val="19"/>
          <w:color w:val="auto"/>
        </w:rPr>
        <w:t>” means the requirements and standards for each Product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B</w:t>
      </w:r>
      <w:r>
        <w:rPr>
          <w:rFonts w:ascii="Arial" w:cs="Arial" w:eastAsia="Arial" w:hAnsi="Arial"/>
          <w:sz w:val="19"/>
          <w:szCs w:val="19"/>
          <w:color w:val="auto"/>
        </w:rPr>
        <w:t>, which may</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(i) raw material specifications (including chemical, micro, and Labeling and Packaging specifications); (ii) sampling requirements (i.e., lab, chemical, and micro); (iii) compounding module, including compounding process and major equipment;</w:t>
      </w:r>
    </w:p>
    <w:p>
      <w:pPr>
        <w:spacing w:after="0" w:line="2" w:lineRule="exact"/>
        <w:rPr>
          <w:sz w:val="20"/>
          <w:szCs w:val="20"/>
          <w:color w:val="auto"/>
        </w:rPr>
      </w:pPr>
    </w:p>
    <w:p>
      <w:pPr>
        <w:jc w:val="both"/>
        <w:ind w:firstLine="8"/>
        <w:spacing w:after="0" w:line="233" w:lineRule="auto"/>
        <w:tabs>
          <w:tab w:leader="none" w:pos="4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intermediate specifications; (v) Packaging modules (including Packaging procedures, torque and fill weights); and (vi) finished Product specifications release criteria including DPT’s Acceptable Quality Limits (“</w:t>
      </w:r>
      <w:r>
        <w:rPr>
          <w:rFonts w:ascii="Arial" w:cs="Arial" w:eastAsia="Arial" w:hAnsi="Arial"/>
          <w:sz w:val="22"/>
          <w:szCs w:val="22"/>
          <w:b w:val="1"/>
          <w:bCs w:val="1"/>
          <w:color w:val="auto"/>
        </w:rPr>
        <w:t>AQLs</w:t>
      </w:r>
      <w:r>
        <w:rPr>
          <w:rFonts w:ascii="Arial" w:cs="Arial" w:eastAsia="Arial" w:hAnsi="Arial"/>
          <w:sz w:val="22"/>
          <w:szCs w:val="22"/>
          <w:color w:val="auto"/>
        </w:rPr>
        <w:t xml:space="preserve">”). Specifications shall be established or amended from time to time upon the written agreement of both DPT and COMPANY via a Change Control Request in accordance with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33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Standard Cost</w:t>
      </w:r>
      <w:r>
        <w:rPr>
          <w:rFonts w:ascii="Arial" w:cs="Arial" w:eastAsia="Arial" w:hAnsi="Arial"/>
          <w:sz w:val="22"/>
          <w:szCs w:val="22"/>
          <w:color w:val="auto"/>
        </w:rPr>
        <w:t>” means, with respect to materials, the average actual cost to DPT of materials plus shipping and</w:t>
      </w:r>
      <w:r>
        <w:rPr>
          <w:rFonts w:ascii="Arial" w:cs="Arial" w:eastAsia="Arial" w:hAnsi="Arial"/>
          <w:sz w:val="22"/>
          <w:szCs w:val="22"/>
          <w:b w:val="1"/>
          <w:bCs w:val="1"/>
          <w:color w:val="auto"/>
        </w:rPr>
        <w:t xml:space="preserve"> </w:t>
      </w:r>
      <w:r>
        <w:rPr>
          <w:rFonts w:ascii="Arial" w:cs="Arial" w:eastAsia="Arial" w:hAnsi="Arial"/>
          <w:sz w:val="22"/>
          <w:szCs w:val="22"/>
          <w:color w:val="auto"/>
        </w:rPr>
        <w:t>handling charges, incoming freight, scrap/yield loss adjustments and any other recurring costs directly attributable to acquiring such material(s).</w:t>
      </w:r>
    </w:p>
    <w:p>
      <w:pPr>
        <w:spacing w:after="0" w:line="177"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color w:val="auto"/>
        </w:rPr>
        <w:t>“</w:t>
      </w:r>
      <w:r>
        <w:rPr>
          <w:rFonts w:ascii="Arial" w:cs="Arial" w:eastAsia="Arial" w:hAnsi="Arial"/>
          <w:sz w:val="19"/>
          <w:szCs w:val="19"/>
          <w:b w:val="1"/>
          <w:bCs w:val="1"/>
          <w:color w:val="auto"/>
        </w:rPr>
        <w:t>Standard Operating Procedures</w:t>
      </w:r>
      <w:r>
        <w:rPr>
          <w:rFonts w:ascii="Arial" w:cs="Arial" w:eastAsia="Arial" w:hAnsi="Arial"/>
          <w:sz w:val="19"/>
          <w:szCs w:val="19"/>
          <w:color w:val="auto"/>
        </w:rPr>
        <w:t>” or “</w:t>
      </w:r>
      <w:r>
        <w:rPr>
          <w:rFonts w:ascii="Arial" w:cs="Arial" w:eastAsia="Arial" w:hAnsi="Arial"/>
          <w:sz w:val="19"/>
          <w:szCs w:val="19"/>
          <w:b w:val="1"/>
          <w:bCs w:val="1"/>
          <w:color w:val="auto"/>
        </w:rPr>
        <w:t>SOPs</w:t>
      </w:r>
      <w:r>
        <w:rPr>
          <w:rFonts w:ascii="Arial" w:cs="Arial" w:eastAsia="Arial" w:hAnsi="Arial"/>
          <w:sz w:val="19"/>
          <w:szCs w:val="19"/>
          <w:color w:val="auto"/>
        </w:rPr>
        <w:t>” means DPT’s detailed, written instructions to achieve uniformity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performance of a specific process; the instructions usually cover more than one task or area covered by cGMP regulations.</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Stock Keeping Unit</w:t>
      </w:r>
      <w:r>
        <w:rPr>
          <w:rFonts w:ascii="Arial" w:cs="Arial" w:eastAsia="Arial" w:hAnsi="Arial"/>
          <w:sz w:val="19"/>
          <w:szCs w:val="19"/>
          <w:color w:val="auto"/>
        </w:rPr>
        <w:t>” or “</w:t>
      </w:r>
      <w:r>
        <w:rPr>
          <w:rFonts w:ascii="Arial" w:cs="Arial" w:eastAsia="Arial" w:hAnsi="Arial"/>
          <w:sz w:val="19"/>
          <w:szCs w:val="19"/>
          <w:b w:val="1"/>
          <w:bCs w:val="1"/>
          <w:color w:val="auto"/>
        </w:rPr>
        <w:t>sku</w:t>
      </w:r>
      <w:r>
        <w:rPr>
          <w:rFonts w:ascii="Arial" w:cs="Arial" w:eastAsia="Arial" w:hAnsi="Arial"/>
          <w:sz w:val="19"/>
          <w:szCs w:val="19"/>
          <w:color w:val="auto"/>
        </w:rPr>
        <w:t>” or “</w:t>
      </w:r>
      <w:r>
        <w:rPr>
          <w:rFonts w:ascii="Arial" w:cs="Arial" w:eastAsia="Arial" w:hAnsi="Arial"/>
          <w:sz w:val="19"/>
          <w:szCs w:val="19"/>
          <w:b w:val="1"/>
          <w:bCs w:val="1"/>
          <w:color w:val="auto"/>
        </w:rPr>
        <w:t>SKU</w:t>
      </w:r>
      <w:r>
        <w:rPr>
          <w:rFonts w:ascii="Arial" w:cs="Arial" w:eastAsia="Arial" w:hAnsi="Arial"/>
          <w:sz w:val="19"/>
          <w:szCs w:val="19"/>
          <w:color w:val="auto"/>
        </w:rPr>
        <w:t>” means a unique number assigned to a finished product.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Technical and Development Hourly Rate</w:t>
      </w:r>
      <w:r>
        <w:rPr>
          <w:rFonts w:ascii="Arial" w:cs="Arial" w:eastAsia="Arial" w:hAnsi="Arial"/>
          <w:sz w:val="22"/>
          <w:szCs w:val="22"/>
          <w:color w:val="auto"/>
        </w:rPr>
        <w:t>” means the hourly rate charged by DPT technical and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personnel for services provided to customers of DPT at the time such services are provided.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xml:space="preserve">” means those countries set forth in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DPT, COMPANY or their respective Affiliates.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Total Price</w:t>
      </w:r>
      <w:r>
        <w:rPr>
          <w:rFonts w:ascii="Arial" w:cs="Arial" w:eastAsia="Arial" w:hAnsi="Arial"/>
          <w:sz w:val="19"/>
          <w:szCs w:val="19"/>
          <w:color w:val="auto"/>
        </w:rPr>
        <w:t>” means, for a unit of Product, the sum of the Manufacturing Fee and the Materials Fee.</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color w:val="auto"/>
        </w:rPr>
        <w:t>“</w:t>
      </w:r>
      <w:r>
        <w:rPr>
          <w:rFonts w:ascii="Arial" w:cs="Arial" w:eastAsia="Arial" w:hAnsi="Arial"/>
          <w:sz w:val="19"/>
          <w:szCs w:val="19"/>
          <w:b w:val="1"/>
          <w:bCs w:val="1"/>
          <w:color w:val="auto"/>
        </w:rPr>
        <w:t>DPT’s Fault</w:t>
      </w:r>
      <w:r>
        <w:rPr>
          <w:rFonts w:ascii="Arial" w:cs="Arial" w:eastAsia="Arial" w:hAnsi="Arial"/>
          <w:sz w:val="19"/>
          <w:szCs w:val="19"/>
          <w:color w:val="auto"/>
        </w:rPr>
        <w:t>” means and includes one or more of the following: (i) acts or omissions of DPT or its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(including those of its Affiliates designated to perform and/or carry out on its behalf activities under this Agreement) that amount to gross negligence or willful misconduct, (ii) failure of DPT or its representatives (including such Affiliates) to a) follow DPT’s or such Affiliates’ written procedures and standard operating procedures) (“DPT’s Requirements”) applicable to Processing and b) complete preventative maintenance activities pursuant to DPT’s Requirements. For the avoidance of doubt, any Processing failure and/or damage or loss of API, Product or Processing Material, or any delay in making Product available to Company, arising out of a Processing Material Latent Defect shall not be DPT’s Fault unless such Processing Material Latent Defect is attributable to aspects under DPT’s control as stated in subsections (ii)(a) or (iii), above.</w:t>
      </w:r>
    </w:p>
    <w:p>
      <w:pPr>
        <w:spacing w:after="0" w:line="15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means either the release or rejection of a Batch, or part thereof, of Product by the quality unity of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pursuant to such Party’s quality systems and, with respect to DPT, in compliance with the Quality Agreement. For purposes of this Agreement, any rejection by Company shall be in accordance with the provisions of the Quality Agreement.</w:t>
      </w:r>
    </w:p>
    <w:p>
      <w:pPr>
        <w:spacing w:after="0" w:line="12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Processing Material Latent Defect</w:t>
      </w:r>
      <w:r>
        <w:rPr>
          <w:rFonts w:ascii="Arial" w:cs="Arial" w:eastAsia="Arial" w:hAnsi="Arial"/>
          <w:sz w:val="22"/>
          <w:szCs w:val="22"/>
          <w:color w:val="auto"/>
        </w:rPr>
        <w:t>” shall mean any defect in a Processing Material rendering the Processing</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nonconforming to the Processing Specifications, as applicable and with any other specifications agreed to for such Processing Material, or is otherwise defective, which defect is not reasonably discoverable through DPT’s incoming goods inspection verification methods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33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1.37 </w:t>
      </w:r>
      <w:r>
        <w:rPr>
          <w:rFonts w:ascii="Arial" w:cs="Arial" w:eastAsia="Arial" w:hAnsi="Arial"/>
          <w:sz w:val="21"/>
          <w:szCs w:val="21"/>
          <w:color w:val="auto"/>
        </w:rPr>
        <w:t>“</w:t>
      </w:r>
      <w:r>
        <w:rPr>
          <w:rFonts w:ascii="Arial" w:cs="Arial" w:eastAsia="Arial" w:hAnsi="Arial"/>
          <w:sz w:val="21"/>
          <w:szCs w:val="21"/>
          <w:b w:val="1"/>
          <w:bCs w:val="1"/>
          <w:color w:val="auto"/>
        </w:rPr>
        <w:t>Expected Yield</w:t>
      </w:r>
      <w:r>
        <w:rPr>
          <w:rFonts w:ascii="Arial" w:cs="Arial" w:eastAsia="Arial" w:hAnsi="Arial"/>
          <w:sz w:val="21"/>
          <w:szCs w:val="21"/>
          <w:color w:val="auto"/>
        </w:rPr>
        <w:t>” shall mean, for each Product after Processing of the first [***]Batches thereof, a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units to be calculated as follows: the adjusted mean of the final yield minus three standard deviations; provided, however, after Validation and prior to completion of [***] Batches for the Product, the Expected Yield shall mean the number equal to the average of the number of units at [***]% of the theoretical yield of the Product. The adjusted mean of the final yield is the average Actual Yield for all previous Batches of the Product processed up to that point in time on a cumulative basis excluding any Batches agreed in writing by the Parties, through the process set forth below as having low yield due to identified production-related root causes not normally be expected during Processing. The Expected Yield for each presentation shall be recalculated after each subsequent [***] Batches of that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33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ind w:left="660"/>
        <w:spacing w:after="0"/>
        <w:tabs>
          <w:tab w:leader="none" w:pos="1280" w:val="left"/>
          <w:tab w:leader="none" w:pos="3600" w:val="left"/>
        </w:tabs>
        <w:rPr>
          <w:sz w:val="20"/>
          <w:szCs w:val="20"/>
          <w:color w:val="auto"/>
        </w:rPr>
      </w:pPr>
      <w:r>
        <w:rPr>
          <w:rFonts w:ascii="Arial" w:cs="Arial" w:eastAsia="Arial" w:hAnsi="Arial"/>
          <w:sz w:val="22"/>
          <w:szCs w:val="22"/>
          <w:b w:val="1"/>
          <w:bCs w:val="1"/>
          <w:color w:val="auto"/>
        </w:rPr>
        <w:t>1.38</w:t>
        <w:tab/>
        <w:t>Additional Definitions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Each of the following terms shall have the meaning described in the corresponding</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Section of this Agreement indicated below:</w:t>
      </w:r>
    </w:p>
    <w:p>
      <w:pPr>
        <w:spacing w:after="0" w:line="20" w:lineRule="exact"/>
        <w:rPr>
          <w:sz w:val="20"/>
          <w:szCs w:val="20"/>
          <w:color w:val="auto"/>
        </w:rPr>
      </w:pPr>
    </w:p>
    <w:tbl>
      <w:tblPr>
        <w:tblLayout w:type="fixed"/>
        <w:tblInd w:w="620" w:type="dxa"/>
        <w:tblCellMar>
          <w:top w:w="0" w:type="dxa"/>
          <w:left w:w="0" w:type="dxa"/>
          <w:bottom w:w="0" w:type="dxa"/>
          <w:right w:w="0" w:type="dxa"/>
        </w:tblCellMar>
      </w:tblPr>
      <w:tr>
        <w:trPr>
          <w:trHeight w:val="280"/>
        </w:trPr>
        <w:tc>
          <w:tcPr>
            <w:tcW w:w="4740" w:type="dxa"/>
            <w:vAlign w:val="bottom"/>
          </w:tcPr>
          <w:p>
            <w:pPr>
              <w:spacing w:after="0"/>
              <w:rPr>
                <w:sz w:val="20"/>
                <w:szCs w:val="20"/>
                <w:color w:val="auto"/>
              </w:rPr>
            </w:pPr>
            <w:r>
              <w:rPr>
                <w:rFonts w:ascii="Arial" w:cs="Arial" w:eastAsia="Arial" w:hAnsi="Arial"/>
                <w:sz w:val="22"/>
                <w:szCs w:val="22"/>
                <w:b w:val="1"/>
                <w:bCs w:val="1"/>
                <w:color w:val="auto"/>
              </w:rPr>
              <w:t>Term</w:t>
            </w:r>
          </w:p>
        </w:tc>
        <w:tc>
          <w:tcPr>
            <w:tcW w:w="3340" w:type="dxa"/>
            <w:vAlign w:val="bottom"/>
          </w:tcPr>
          <w:p>
            <w:pPr>
              <w:ind w:left="2520"/>
              <w:spacing w:after="0"/>
              <w:rPr>
                <w:sz w:val="20"/>
                <w:szCs w:val="20"/>
                <w:color w:val="auto"/>
              </w:rPr>
            </w:pPr>
            <w:r>
              <w:rPr>
                <w:rFonts w:ascii="Arial" w:cs="Arial" w:eastAsia="Arial" w:hAnsi="Arial"/>
                <w:sz w:val="22"/>
                <w:szCs w:val="22"/>
                <w:b w:val="1"/>
                <w:bCs w:val="1"/>
                <w:color w:val="auto"/>
              </w:rPr>
              <w:t>Section</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Agreement</w:t>
            </w:r>
          </w:p>
        </w:tc>
        <w:tc>
          <w:tcPr>
            <w:tcW w:w="3340" w:type="dxa"/>
            <w:vAlign w:val="bottom"/>
          </w:tcPr>
          <w:p>
            <w:pPr>
              <w:ind w:left="2520"/>
              <w:spacing w:after="0"/>
              <w:rPr>
                <w:sz w:val="20"/>
                <w:szCs w:val="20"/>
                <w:color w:val="auto"/>
              </w:rPr>
            </w:pPr>
            <w:r>
              <w:rPr>
                <w:rFonts w:ascii="Arial" w:cs="Arial" w:eastAsia="Arial" w:hAnsi="Arial"/>
                <w:sz w:val="22"/>
                <w:szCs w:val="22"/>
                <w:color w:val="auto"/>
                <w:w w:val="84"/>
              </w:rPr>
              <w:t>Preamble</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Anti-Corruption Laws</w:t>
            </w:r>
          </w:p>
        </w:tc>
        <w:tc>
          <w:tcPr>
            <w:tcW w:w="3340" w:type="dxa"/>
            <w:vAlign w:val="bottom"/>
          </w:tcPr>
          <w:p>
            <w:pPr>
              <w:ind w:left="2580"/>
              <w:spacing w:after="0"/>
              <w:rPr>
                <w:sz w:val="20"/>
                <w:szCs w:val="20"/>
                <w:color w:val="auto"/>
              </w:rPr>
            </w:pPr>
            <w:r>
              <w:rPr>
                <w:rFonts w:ascii="Arial" w:cs="Arial" w:eastAsia="Arial" w:hAnsi="Arial"/>
                <w:sz w:val="22"/>
                <w:szCs w:val="22"/>
                <w:color w:val="auto"/>
              </w:rPr>
              <w:t>10.3.1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AQLs</w:t>
            </w:r>
          </w:p>
        </w:tc>
        <w:tc>
          <w:tcPr>
            <w:tcW w:w="3340" w:type="dxa"/>
            <w:vAlign w:val="bottom"/>
          </w:tcPr>
          <w:p>
            <w:pPr>
              <w:ind w:left="2580"/>
              <w:spacing w:after="0"/>
              <w:rPr>
                <w:sz w:val="20"/>
                <w:szCs w:val="20"/>
                <w:color w:val="auto"/>
              </w:rPr>
            </w:pPr>
            <w:r>
              <w:rPr>
                <w:rFonts w:ascii="Arial" w:cs="Arial" w:eastAsia="Arial" w:hAnsi="Arial"/>
                <w:sz w:val="22"/>
                <w:szCs w:val="22"/>
                <w:color w:val="auto"/>
              </w:rPr>
              <w:t>1.26</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COMPANY</w:t>
            </w:r>
          </w:p>
        </w:tc>
        <w:tc>
          <w:tcPr>
            <w:tcW w:w="3340" w:type="dxa"/>
            <w:vAlign w:val="bottom"/>
          </w:tcPr>
          <w:p>
            <w:pPr>
              <w:ind w:left="2520"/>
              <w:spacing w:after="0"/>
              <w:rPr>
                <w:sz w:val="20"/>
                <w:szCs w:val="20"/>
                <w:color w:val="auto"/>
              </w:rPr>
            </w:pPr>
            <w:r>
              <w:rPr>
                <w:rFonts w:ascii="Arial" w:cs="Arial" w:eastAsia="Arial" w:hAnsi="Arial"/>
                <w:sz w:val="22"/>
                <w:szCs w:val="22"/>
                <w:color w:val="auto"/>
                <w:w w:val="84"/>
              </w:rPr>
              <w:t>Preamble</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COMPANY Indemnitees</w:t>
            </w:r>
          </w:p>
        </w:tc>
        <w:tc>
          <w:tcPr>
            <w:tcW w:w="3340" w:type="dxa"/>
            <w:vAlign w:val="bottom"/>
          </w:tcPr>
          <w:p>
            <w:pPr>
              <w:ind w:left="2580"/>
              <w:spacing w:after="0"/>
              <w:rPr>
                <w:sz w:val="20"/>
                <w:szCs w:val="20"/>
                <w:color w:val="auto"/>
              </w:rPr>
            </w:pPr>
            <w:r>
              <w:rPr>
                <w:rFonts w:ascii="Arial" w:cs="Arial" w:eastAsia="Arial" w:hAnsi="Arial"/>
                <w:sz w:val="22"/>
                <w:szCs w:val="22"/>
                <w:color w:val="auto"/>
              </w:rPr>
              <w:t>12.1.1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Confidential Information</w:t>
            </w:r>
          </w:p>
        </w:tc>
        <w:tc>
          <w:tcPr>
            <w:tcW w:w="3340" w:type="dxa"/>
            <w:vAlign w:val="bottom"/>
          </w:tcPr>
          <w:p>
            <w:pPr>
              <w:ind w:left="2580"/>
              <w:spacing w:after="0"/>
              <w:rPr>
                <w:sz w:val="20"/>
                <w:szCs w:val="20"/>
                <w:color w:val="auto"/>
              </w:rPr>
            </w:pPr>
            <w:r>
              <w:rPr>
                <w:rFonts w:ascii="Arial" w:cs="Arial" w:eastAsia="Arial" w:hAnsi="Arial"/>
                <w:sz w:val="22"/>
                <w:szCs w:val="22"/>
                <w:color w:val="auto"/>
              </w:rPr>
              <w:t>11.1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Development Costs</w:t>
            </w:r>
          </w:p>
        </w:tc>
        <w:tc>
          <w:tcPr>
            <w:tcW w:w="3340" w:type="dxa"/>
            <w:vAlign w:val="bottom"/>
          </w:tcPr>
          <w:p>
            <w:pPr>
              <w:ind w:left="2580"/>
              <w:spacing w:after="0"/>
              <w:rPr>
                <w:sz w:val="20"/>
                <w:szCs w:val="20"/>
                <w:color w:val="auto"/>
              </w:rPr>
            </w:pPr>
            <w:r>
              <w:rPr>
                <w:rFonts w:ascii="Arial" w:cs="Arial" w:eastAsia="Arial" w:hAnsi="Arial"/>
                <w:sz w:val="22"/>
                <w:szCs w:val="22"/>
                <w:color w:val="auto"/>
              </w:rPr>
              <w:t>8.1.2</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Development Product</w:t>
            </w:r>
          </w:p>
        </w:tc>
        <w:tc>
          <w:tcPr>
            <w:tcW w:w="3340" w:type="dxa"/>
            <w:vAlign w:val="bottom"/>
          </w:tcPr>
          <w:p>
            <w:pPr>
              <w:ind w:left="2580"/>
              <w:spacing w:after="0"/>
              <w:rPr>
                <w:sz w:val="20"/>
                <w:szCs w:val="20"/>
                <w:color w:val="auto"/>
              </w:rPr>
            </w:pPr>
            <w:r>
              <w:rPr>
                <w:rFonts w:ascii="Arial" w:cs="Arial" w:eastAsia="Arial" w:hAnsi="Arial"/>
                <w:sz w:val="22"/>
                <w:szCs w:val="22"/>
                <w:color w:val="auto"/>
              </w:rPr>
              <w:t>8.1.1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Disclosing Party</w:t>
            </w:r>
          </w:p>
        </w:tc>
        <w:tc>
          <w:tcPr>
            <w:tcW w:w="3340" w:type="dxa"/>
            <w:vAlign w:val="bottom"/>
          </w:tcPr>
          <w:p>
            <w:pPr>
              <w:ind w:left="2580"/>
              <w:spacing w:after="0"/>
              <w:rPr>
                <w:sz w:val="20"/>
                <w:szCs w:val="20"/>
                <w:color w:val="auto"/>
              </w:rPr>
            </w:pPr>
            <w:r>
              <w:rPr>
                <w:rFonts w:ascii="Arial" w:cs="Arial" w:eastAsia="Arial" w:hAnsi="Arial"/>
                <w:sz w:val="22"/>
                <w:szCs w:val="22"/>
                <w:color w:val="auto"/>
              </w:rPr>
              <w:t>11.1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Dispute</w:t>
            </w:r>
          </w:p>
        </w:tc>
        <w:tc>
          <w:tcPr>
            <w:tcW w:w="3340" w:type="dxa"/>
            <w:vAlign w:val="bottom"/>
          </w:tcPr>
          <w:p>
            <w:pPr>
              <w:ind w:left="2580"/>
              <w:spacing w:after="0"/>
              <w:rPr>
                <w:sz w:val="20"/>
                <w:szCs w:val="20"/>
                <w:color w:val="auto"/>
              </w:rPr>
            </w:pPr>
            <w:r>
              <w:rPr>
                <w:rFonts w:ascii="Arial" w:cs="Arial" w:eastAsia="Arial" w:hAnsi="Arial"/>
                <w:sz w:val="22"/>
                <w:szCs w:val="22"/>
                <w:color w:val="auto"/>
              </w:rPr>
              <w:t>14.1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DPT</w:t>
            </w:r>
          </w:p>
        </w:tc>
        <w:tc>
          <w:tcPr>
            <w:tcW w:w="3340" w:type="dxa"/>
            <w:vAlign w:val="bottom"/>
          </w:tcPr>
          <w:p>
            <w:pPr>
              <w:ind w:left="2520"/>
              <w:spacing w:after="0"/>
              <w:rPr>
                <w:sz w:val="20"/>
                <w:szCs w:val="20"/>
                <w:color w:val="auto"/>
              </w:rPr>
            </w:pPr>
            <w:r>
              <w:rPr>
                <w:rFonts w:ascii="Arial" w:cs="Arial" w:eastAsia="Arial" w:hAnsi="Arial"/>
                <w:sz w:val="22"/>
                <w:szCs w:val="22"/>
                <w:color w:val="auto"/>
                <w:w w:val="84"/>
              </w:rPr>
              <w:t>Preamble</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DPT Indemnitees</w:t>
            </w:r>
          </w:p>
        </w:tc>
        <w:tc>
          <w:tcPr>
            <w:tcW w:w="3340" w:type="dxa"/>
            <w:vAlign w:val="bottom"/>
          </w:tcPr>
          <w:p>
            <w:pPr>
              <w:ind w:left="2580"/>
              <w:spacing w:after="0"/>
              <w:rPr>
                <w:sz w:val="20"/>
                <w:szCs w:val="20"/>
                <w:color w:val="auto"/>
              </w:rPr>
            </w:pPr>
            <w:r>
              <w:rPr>
                <w:rFonts w:ascii="Arial" w:cs="Arial" w:eastAsia="Arial" w:hAnsi="Arial"/>
                <w:sz w:val="22"/>
                <w:szCs w:val="22"/>
                <w:color w:val="auto"/>
              </w:rPr>
              <w:t>12.1.2</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Effective Date</w:t>
            </w:r>
          </w:p>
        </w:tc>
        <w:tc>
          <w:tcPr>
            <w:tcW w:w="3340" w:type="dxa"/>
            <w:vAlign w:val="bottom"/>
          </w:tcPr>
          <w:p>
            <w:pPr>
              <w:ind w:left="2520"/>
              <w:spacing w:after="0"/>
              <w:rPr>
                <w:sz w:val="20"/>
                <w:szCs w:val="20"/>
                <w:color w:val="auto"/>
              </w:rPr>
            </w:pPr>
            <w:r>
              <w:rPr>
                <w:rFonts w:ascii="Arial" w:cs="Arial" w:eastAsia="Arial" w:hAnsi="Arial"/>
                <w:sz w:val="22"/>
                <w:szCs w:val="22"/>
                <w:color w:val="auto"/>
                <w:w w:val="84"/>
              </w:rPr>
              <w:t>Preamble</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Extended Term</w:t>
            </w:r>
          </w:p>
        </w:tc>
        <w:tc>
          <w:tcPr>
            <w:tcW w:w="3340" w:type="dxa"/>
            <w:vAlign w:val="bottom"/>
          </w:tcPr>
          <w:p>
            <w:pPr>
              <w:ind w:left="2580"/>
              <w:spacing w:after="0"/>
              <w:rPr>
                <w:sz w:val="20"/>
                <w:szCs w:val="20"/>
                <w:color w:val="auto"/>
              </w:rPr>
            </w:pPr>
            <w:r>
              <w:rPr>
                <w:rFonts w:ascii="Arial" w:cs="Arial" w:eastAsia="Arial" w:hAnsi="Arial"/>
                <w:sz w:val="22"/>
                <w:szCs w:val="22"/>
                <w:color w:val="auto"/>
              </w:rPr>
              <w:t>13.1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Force Majeure</w:t>
            </w:r>
          </w:p>
        </w:tc>
        <w:tc>
          <w:tcPr>
            <w:tcW w:w="3340" w:type="dxa"/>
            <w:vAlign w:val="bottom"/>
          </w:tcPr>
          <w:p>
            <w:pPr>
              <w:ind w:left="2580"/>
              <w:spacing w:after="0"/>
              <w:rPr>
                <w:sz w:val="20"/>
                <w:szCs w:val="20"/>
                <w:color w:val="auto"/>
              </w:rPr>
            </w:pPr>
            <w:r>
              <w:rPr>
                <w:rFonts w:ascii="Arial" w:cs="Arial" w:eastAsia="Arial" w:hAnsi="Arial"/>
                <w:sz w:val="22"/>
                <w:szCs w:val="22"/>
                <w:color w:val="auto"/>
              </w:rPr>
              <w:t>15.4</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Indemnify</w:t>
            </w:r>
          </w:p>
        </w:tc>
        <w:tc>
          <w:tcPr>
            <w:tcW w:w="3340" w:type="dxa"/>
            <w:vAlign w:val="bottom"/>
          </w:tcPr>
          <w:p>
            <w:pPr>
              <w:ind w:left="2580"/>
              <w:spacing w:after="0"/>
              <w:rPr>
                <w:sz w:val="20"/>
                <w:szCs w:val="20"/>
                <w:color w:val="auto"/>
              </w:rPr>
            </w:pPr>
            <w:r>
              <w:rPr>
                <w:rFonts w:ascii="Arial" w:cs="Arial" w:eastAsia="Arial" w:hAnsi="Arial"/>
                <w:sz w:val="22"/>
                <w:szCs w:val="22"/>
                <w:color w:val="auto"/>
              </w:rPr>
              <w:t>12.1.1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Initial Term</w:t>
            </w:r>
          </w:p>
        </w:tc>
        <w:tc>
          <w:tcPr>
            <w:tcW w:w="3340" w:type="dxa"/>
            <w:vAlign w:val="bottom"/>
          </w:tcPr>
          <w:p>
            <w:pPr>
              <w:ind w:left="2580"/>
              <w:spacing w:after="0"/>
              <w:rPr>
                <w:sz w:val="20"/>
                <w:szCs w:val="20"/>
                <w:color w:val="auto"/>
              </w:rPr>
            </w:pPr>
            <w:r>
              <w:rPr>
                <w:rFonts w:ascii="Arial" w:cs="Arial" w:eastAsia="Arial" w:hAnsi="Arial"/>
                <w:sz w:val="22"/>
                <w:szCs w:val="22"/>
                <w:color w:val="auto"/>
              </w:rPr>
              <w:t>13.1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Laboratory</w:t>
            </w:r>
          </w:p>
        </w:tc>
        <w:tc>
          <w:tcPr>
            <w:tcW w:w="3340" w:type="dxa"/>
            <w:vAlign w:val="bottom"/>
          </w:tcPr>
          <w:p>
            <w:pPr>
              <w:ind w:left="2580"/>
              <w:spacing w:after="0"/>
              <w:rPr>
                <w:sz w:val="20"/>
                <w:szCs w:val="20"/>
                <w:color w:val="auto"/>
              </w:rPr>
            </w:pPr>
            <w:r>
              <w:rPr>
                <w:rFonts w:ascii="Arial" w:cs="Arial" w:eastAsia="Arial" w:hAnsi="Arial"/>
                <w:sz w:val="22"/>
                <w:szCs w:val="22"/>
                <w:color w:val="auto"/>
              </w:rPr>
              <w:t>5.4.4</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Liabilities</w:t>
            </w:r>
          </w:p>
        </w:tc>
        <w:tc>
          <w:tcPr>
            <w:tcW w:w="3340" w:type="dxa"/>
            <w:vAlign w:val="bottom"/>
          </w:tcPr>
          <w:p>
            <w:pPr>
              <w:ind w:left="2580"/>
              <w:spacing w:after="0"/>
              <w:rPr>
                <w:sz w:val="20"/>
                <w:szCs w:val="20"/>
                <w:color w:val="auto"/>
              </w:rPr>
            </w:pPr>
            <w:r>
              <w:rPr>
                <w:rFonts w:ascii="Arial" w:cs="Arial" w:eastAsia="Arial" w:hAnsi="Arial"/>
                <w:sz w:val="22"/>
                <w:szCs w:val="22"/>
                <w:color w:val="auto"/>
              </w:rPr>
              <w:t>12.1.1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Party or Parties</w:t>
            </w:r>
          </w:p>
        </w:tc>
        <w:tc>
          <w:tcPr>
            <w:tcW w:w="3340" w:type="dxa"/>
            <w:vAlign w:val="bottom"/>
          </w:tcPr>
          <w:p>
            <w:pPr>
              <w:ind w:left="2520"/>
              <w:spacing w:after="0"/>
              <w:rPr>
                <w:sz w:val="20"/>
                <w:szCs w:val="20"/>
                <w:color w:val="auto"/>
              </w:rPr>
            </w:pPr>
            <w:r>
              <w:rPr>
                <w:rFonts w:ascii="Arial" w:cs="Arial" w:eastAsia="Arial" w:hAnsi="Arial"/>
                <w:sz w:val="22"/>
                <w:szCs w:val="22"/>
                <w:color w:val="auto"/>
                <w:w w:val="84"/>
              </w:rPr>
              <w:t>Preamble</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PPI</w:t>
            </w:r>
          </w:p>
        </w:tc>
        <w:tc>
          <w:tcPr>
            <w:tcW w:w="3340" w:type="dxa"/>
            <w:vAlign w:val="bottom"/>
          </w:tcPr>
          <w:p>
            <w:pPr>
              <w:ind w:left="2580"/>
              <w:spacing w:after="0"/>
              <w:rPr>
                <w:sz w:val="20"/>
                <w:szCs w:val="20"/>
                <w:color w:val="auto"/>
              </w:rPr>
            </w:pPr>
            <w:r>
              <w:rPr>
                <w:rFonts w:ascii="Arial" w:cs="Arial" w:eastAsia="Arial" w:hAnsi="Arial"/>
                <w:sz w:val="22"/>
                <w:szCs w:val="22"/>
                <w:color w:val="auto"/>
              </w:rPr>
              <w:t>3.1.1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Prior CDA</w:t>
            </w:r>
          </w:p>
        </w:tc>
        <w:tc>
          <w:tcPr>
            <w:tcW w:w="3340" w:type="dxa"/>
            <w:vAlign w:val="bottom"/>
          </w:tcPr>
          <w:p>
            <w:pPr>
              <w:ind w:left="2580"/>
              <w:spacing w:after="0"/>
              <w:rPr>
                <w:sz w:val="20"/>
                <w:szCs w:val="20"/>
                <w:color w:val="auto"/>
              </w:rPr>
            </w:pPr>
            <w:r>
              <w:rPr>
                <w:rFonts w:ascii="Arial" w:cs="Arial" w:eastAsia="Arial" w:hAnsi="Arial"/>
                <w:sz w:val="22"/>
                <w:szCs w:val="22"/>
                <w:color w:val="auto"/>
              </w:rPr>
              <w:t>11.1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Receiving Party</w:t>
            </w:r>
          </w:p>
        </w:tc>
        <w:tc>
          <w:tcPr>
            <w:tcW w:w="3340" w:type="dxa"/>
            <w:vAlign w:val="bottom"/>
          </w:tcPr>
          <w:p>
            <w:pPr>
              <w:ind w:left="2580"/>
              <w:spacing w:after="0"/>
              <w:rPr>
                <w:sz w:val="20"/>
                <w:szCs w:val="20"/>
                <w:color w:val="auto"/>
              </w:rPr>
            </w:pPr>
            <w:r>
              <w:rPr>
                <w:rFonts w:ascii="Arial" w:cs="Arial" w:eastAsia="Arial" w:hAnsi="Arial"/>
                <w:sz w:val="22"/>
                <w:szCs w:val="22"/>
                <w:color w:val="auto"/>
              </w:rPr>
              <w:t>11.1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Recipients</w:t>
            </w:r>
          </w:p>
        </w:tc>
        <w:tc>
          <w:tcPr>
            <w:tcW w:w="3340" w:type="dxa"/>
            <w:vAlign w:val="bottom"/>
          </w:tcPr>
          <w:p>
            <w:pPr>
              <w:ind w:left="2580"/>
              <w:spacing w:after="0"/>
              <w:rPr>
                <w:sz w:val="20"/>
                <w:szCs w:val="20"/>
                <w:color w:val="auto"/>
              </w:rPr>
            </w:pPr>
            <w:r>
              <w:rPr>
                <w:rFonts w:ascii="Arial" w:cs="Arial" w:eastAsia="Arial" w:hAnsi="Arial"/>
                <w:sz w:val="22"/>
                <w:szCs w:val="22"/>
                <w:color w:val="auto"/>
              </w:rPr>
              <w:t>11.2</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Rejected Product</w:t>
            </w:r>
          </w:p>
        </w:tc>
        <w:tc>
          <w:tcPr>
            <w:tcW w:w="3340" w:type="dxa"/>
            <w:vAlign w:val="bottom"/>
          </w:tcPr>
          <w:p>
            <w:pPr>
              <w:ind w:left="2580"/>
              <w:spacing w:after="0"/>
              <w:rPr>
                <w:sz w:val="20"/>
                <w:szCs w:val="20"/>
                <w:color w:val="auto"/>
              </w:rPr>
            </w:pPr>
            <w:r>
              <w:rPr>
                <w:rFonts w:ascii="Arial" w:cs="Arial" w:eastAsia="Arial" w:hAnsi="Arial"/>
                <w:sz w:val="22"/>
                <w:szCs w:val="22"/>
                <w:color w:val="auto"/>
              </w:rPr>
              <w:t>5.4.1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Term</w:t>
            </w:r>
          </w:p>
        </w:tc>
        <w:tc>
          <w:tcPr>
            <w:tcW w:w="3340" w:type="dxa"/>
            <w:vAlign w:val="bottom"/>
          </w:tcPr>
          <w:p>
            <w:pPr>
              <w:ind w:left="2580"/>
              <w:spacing w:after="0"/>
              <w:rPr>
                <w:sz w:val="20"/>
                <w:szCs w:val="20"/>
                <w:color w:val="auto"/>
              </w:rPr>
            </w:pPr>
            <w:r>
              <w:rPr>
                <w:rFonts w:ascii="Arial" w:cs="Arial" w:eastAsia="Arial" w:hAnsi="Arial"/>
                <w:sz w:val="22"/>
                <w:szCs w:val="22"/>
                <w:color w:val="auto"/>
              </w:rPr>
              <w:t>13.1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Third-Party Claim</w:t>
            </w:r>
          </w:p>
        </w:tc>
        <w:tc>
          <w:tcPr>
            <w:tcW w:w="3340" w:type="dxa"/>
            <w:vAlign w:val="bottom"/>
          </w:tcPr>
          <w:p>
            <w:pPr>
              <w:ind w:left="2580"/>
              <w:spacing w:after="0"/>
              <w:rPr>
                <w:sz w:val="20"/>
                <w:szCs w:val="20"/>
                <w:color w:val="auto"/>
              </w:rPr>
            </w:pPr>
            <w:r>
              <w:rPr>
                <w:rFonts w:ascii="Arial" w:cs="Arial" w:eastAsia="Arial" w:hAnsi="Arial"/>
                <w:sz w:val="22"/>
                <w:szCs w:val="22"/>
                <w:color w:val="auto"/>
              </w:rPr>
              <w:t>12.1.1</w:t>
            </w:r>
          </w:p>
        </w:tc>
      </w:tr>
      <w:tr>
        <w:trPr>
          <w:trHeight w:val="297"/>
        </w:trPr>
        <w:tc>
          <w:tcPr>
            <w:tcW w:w="4740" w:type="dxa"/>
            <w:vAlign w:val="bottom"/>
          </w:tcPr>
          <w:p>
            <w:pPr>
              <w:ind w:left="60"/>
              <w:spacing w:after="0"/>
              <w:rPr>
                <w:sz w:val="20"/>
                <w:szCs w:val="20"/>
                <w:color w:val="auto"/>
              </w:rPr>
            </w:pPr>
            <w:r>
              <w:rPr>
                <w:rFonts w:ascii="Arial" w:cs="Arial" w:eastAsia="Arial" w:hAnsi="Arial"/>
                <w:sz w:val="22"/>
                <w:szCs w:val="22"/>
                <w:color w:val="auto"/>
              </w:rPr>
              <w:t>Trade Control Laws</w:t>
            </w:r>
          </w:p>
        </w:tc>
        <w:tc>
          <w:tcPr>
            <w:tcW w:w="3340" w:type="dxa"/>
            <w:vAlign w:val="bottom"/>
          </w:tcPr>
          <w:p>
            <w:pPr>
              <w:ind w:left="2580"/>
              <w:spacing w:after="0"/>
              <w:rPr>
                <w:sz w:val="20"/>
                <w:szCs w:val="20"/>
                <w:color w:val="auto"/>
              </w:rPr>
            </w:pPr>
            <w:r>
              <w:rPr>
                <w:rFonts w:ascii="Arial" w:cs="Arial" w:eastAsia="Arial" w:hAnsi="Arial"/>
                <w:sz w:val="22"/>
                <w:szCs w:val="22"/>
                <w:color w:val="auto"/>
              </w:rPr>
              <w:t>10.4.1</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1.39 Interpretations</w:t>
      </w:r>
      <w:r>
        <w:rPr>
          <w:rFonts w:ascii="Arial" w:cs="Arial" w:eastAsia="Arial" w:hAnsi="Arial"/>
          <w:sz w:val="19"/>
          <w:szCs w:val="19"/>
          <w:color w:val="auto"/>
        </w:rPr>
        <w:t>. The captions and headings to this Agreement are for convenience only, and are to be of no force</w:t>
      </w:r>
      <w:r>
        <w:rPr>
          <w:rFonts w:ascii="Arial" w:cs="Arial" w:eastAsia="Arial" w:hAnsi="Arial"/>
          <w:sz w:val="19"/>
          <w:szCs w:val="19"/>
          <w:b w:val="1"/>
          <w:bCs w:val="1"/>
          <w:color w:val="auto"/>
        </w:rPr>
        <w:t xml:space="preserve"> </w:t>
      </w:r>
      <w:r>
        <w:rPr>
          <w:rFonts w:ascii="Arial" w:cs="Arial" w:eastAsia="Arial" w:hAnsi="Arial"/>
          <w:sz w:val="19"/>
          <w:szCs w:val="19"/>
          <w:color w:val="auto"/>
        </w:rPr>
        <w:t>or effect in construing or interpreting any of the provisions of this Agreement. Unless specified to the contrary, references to Articles, Sections, Schedules mean the particular Articles, Sections, Schedules to this Agreement and references to this Agreement include all Schedules hereto. Unless context clearly requires otherwise, whenever used in this Agreement: (i) the words “include” or “including” shall be construed as incorporating, also, “but not limited to” or “without limitation;” (ii) the word “or” shall have its inclusive meaning of “and/or;” (iii) the word “notice” shall require notice in writing (whether 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7 of 33</w:t>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not specifically stated) and shall include notices, consents, approvals and other written communications contemplated under this Agreement; (iv) the words “hereof,” “herein,” “hereunder,” “hereby” and derivative or similar words refer to this Agreement (including any Schedules); (v) provisions that require that a Party or the Parties “agree,” “consent” or “approve” or the like shall require that such agreement, consent or approval be specific and in writing; (vi) words of any gender include the other gender;</w:t>
      </w:r>
    </w:p>
    <w:p>
      <w:pPr>
        <w:spacing w:after="0" w:line="3" w:lineRule="exact"/>
        <w:rPr>
          <w:sz w:val="20"/>
          <w:szCs w:val="20"/>
          <w:color w:val="auto"/>
        </w:rPr>
      </w:pPr>
    </w:p>
    <w:p>
      <w:pPr>
        <w:jc w:val="both"/>
        <w:ind w:firstLine="8"/>
        <w:spacing w:after="0" w:line="244" w:lineRule="auto"/>
        <w:tabs>
          <w:tab w:leader="none" w:pos="442" w:val="left"/>
        </w:tabs>
        <w:numPr>
          <w:ilvl w:val="0"/>
          <w:numId w:val="48"/>
        </w:numPr>
        <w:rPr>
          <w:rFonts w:ascii="Arial" w:cs="Arial" w:eastAsia="Arial" w:hAnsi="Arial"/>
          <w:sz w:val="21"/>
          <w:szCs w:val="21"/>
          <w:color w:val="auto"/>
        </w:rPr>
      </w:pPr>
      <w:r>
        <w:rPr>
          <w:rFonts w:ascii="Arial" w:cs="Arial" w:eastAsia="Arial" w:hAnsi="Arial"/>
          <w:sz w:val="21"/>
          <w:szCs w:val="21"/>
          <w:color w:val="auto"/>
        </w:rPr>
        <w:t>words using the singular or plural number also include the plural or singular number, respectively; (viii) references to any specific law, or article, section or other division thereof, shall be deemed to include the then-current amendments thereto or any replacement thereof; and (ix) provisions that refer to Persons acting “under the authority of DPT” shall include DPT’s Affiliates and those Persons acting “under the authority of COMPANY” shall include COMPANY’s Affiliates; conversely, those Persons acting “under the authority of DPT” shall exclude COMPANY and its Affiliates and those Persons acting “under the authority of COMPANY” shall exclude DPT and its Affiliates.</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MANUFACTURE AND SUPPLY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Manufacture and Purchase</w:t>
      </w:r>
    </w:p>
    <w:p>
      <w:pPr>
        <w:spacing w:after="0" w:line="212" w:lineRule="exact"/>
        <w:rPr>
          <w:sz w:val="20"/>
          <w:szCs w:val="20"/>
          <w:color w:val="auto"/>
        </w:rPr>
      </w:pPr>
    </w:p>
    <w:p>
      <w:pPr>
        <w:jc w:val="both"/>
        <w:ind w:firstLine="656"/>
        <w:spacing w:after="0" w:line="279" w:lineRule="auto"/>
        <w:tabs>
          <w:tab w:leader="none" w:pos="846" w:val="left"/>
        </w:tabs>
        <w:numPr>
          <w:ilvl w:val="0"/>
          <w:numId w:val="49"/>
        </w:numPr>
        <w:rPr>
          <w:rFonts w:ascii="Arial" w:cs="Arial" w:eastAsia="Arial" w:hAnsi="Arial"/>
          <w:sz w:val="19"/>
          <w:szCs w:val="19"/>
          <w:color w:val="auto"/>
        </w:rPr>
      </w:pPr>
      <w:r>
        <w:rPr>
          <w:rFonts w:ascii="Arial" w:cs="Arial" w:eastAsia="Arial" w:hAnsi="Arial"/>
          <w:sz w:val="19"/>
          <w:szCs w:val="19"/>
          <w:color w:val="auto"/>
        </w:rPr>
        <w:t>During the Term and subject to the terms and conditions of this Agreement, DPT agrees that it will manufacture and provide Product to COMPANY. COMPANY agrees to purchase from DPT, at least [***] ([***]) units from DPT. If COMPANY fails to purchase the Minimum Volume in any contract year, then within [***] ([***]) days after the end of such contract year, COMPANY shall pay DPT such dollar amount equal to the difference between the Minimum Volume less the actual number of units purchased by COMPANY from DPT for such contract year. DPT shall use commercially reasonable efforts to manufacture Product in accordance with the Specifications therefor, and in sufficient quantity to meet COMPANY’s Forecasted Needs.</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the avoidance of doubt, it is clarified that, during the Initial Term of this Agreement and any subsequent renewal periods, DPT may not conduct any formulation development, but may manufacture and supply products utilizing Roflumilast as an active pharmaceutical ingredient (including performing a site transfer for such products, if needed), either by itself or through its Affiliates, for and/or to Third Parties, if and only if, DPT does not utilize any of Company’s Roflumilast active pharmaceutical ingredient or Company’s associated intellectual property (if any), in the process of such manufacture and supply.</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Commencement of Manufacturing for New Product</w:t>
      </w:r>
    </w:p>
    <w:p>
      <w:pPr>
        <w:spacing w:after="0" w:line="212" w:lineRule="exact"/>
        <w:rPr>
          <w:sz w:val="20"/>
          <w:szCs w:val="20"/>
          <w:color w:val="auto"/>
        </w:rPr>
      </w:pPr>
    </w:p>
    <w:p>
      <w:pPr>
        <w:jc w:val="both"/>
        <w:ind w:firstLine="656"/>
        <w:spacing w:after="0" w:line="282" w:lineRule="auto"/>
        <w:tabs>
          <w:tab w:leader="none" w:pos="857"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 later than [***] ([***]) months prior to the estimated first delivery date of a new Product (or a new SKU of an existing Product), COMPANY agrees to notify DPT of its delivery requirements for such new Product (or new SKU of an existing Product) Forecast. COMPANY shall provide Forecasted Needs covering the [***] ([***]) month period commencing on the first day of the Launch Year in order to ensure timely delivery of Product. Firm orders shall be issued for the first [***] ([***]) months of the COMPANY’s Forecasted Needs with delivery dates based on the longest component lead time.</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Supply of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33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Materials Supplied by COMPANY</w:t>
      </w:r>
      <w:r>
        <w:rPr>
          <w:rFonts w:ascii="Arial" w:cs="Arial" w:eastAsia="Arial" w:hAnsi="Arial"/>
          <w:sz w:val="19"/>
          <w:szCs w:val="19"/>
          <w:color w:val="auto"/>
        </w:rPr>
        <w:t>. Each Project Protocol shall set forth any material to be supplied by COMPANY to DPT for the manufacture and supply of Product thereunder. COMPANY shall, at COMPANY’s cost and expense, provide DPT with such materials at a minimum of [***] ([***]) days prior to DPT’s scheduled start of production of Product requiring said materials and in sufficient amounts for DPT’s manufacture of Product but not to exceed quantities necessary to support [***] ([***]) months of the most recently supplied Forecasted Needs or the Minimum Order Quantity, whichever is greater. DPT will initiate required testing and release activities for Materials Supplied by the COMPANY, so as to not delay the planned start of any batch manufacturing per the agreed upon production schedule. COMPANY-supplied material in excess of these amounts shall be either subject to storage fees or returned to COMPANY at COMPANY’s expense. All COMPANY-supplied material shall be shipped to DPT DDP (Incoterms 2020). In the event COMPANY ships or causes to ship such material freight collect, DPT shall invoice COMPANY for the cost of the freight plus a reasonable administrative fee which invoice shall be paid by COMPANY promptly upon receipt. DPT is hereby authorized by COMPANY to return to COMPANY, at COMPANY’s cost and expense, any portion of COMPANY-supplied material for which no future production is planned. COMPANY shall be responsible for the quality of all COMPANY-supplied materials. COMPANY shall be responsible for the payment of all personal property and other taxes incident to the storage of COMPANY-supplied material at DPT. DPT warrants that, during the Term, it will maintain, for the benefit of COMPANY, complete and accurate records of the inventory of all such COMPANY-supplied materials. DPT will provide to COMPANY a monthly report of the ending monthly inventory balance of all COMPANY-supplied materials stored at DPT. This reporting will be supplied exclusively on DPT forms.</w:t>
      </w:r>
    </w:p>
    <w:p>
      <w:pPr>
        <w:spacing w:after="0" w:line="16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u w:val="single" w:color="auto"/>
          <w:color w:val="auto"/>
        </w:rPr>
        <w:t>Title and Risk of Loss.</w:t>
      </w:r>
    </w:p>
    <w:p>
      <w:pPr>
        <w:spacing w:after="0" w:line="206" w:lineRule="exact"/>
        <w:rPr>
          <w:sz w:val="20"/>
          <w:szCs w:val="20"/>
          <w:color w:val="auto"/>
        </w:rPr>
      </w:pPr>
    </w:p>
    <w:p>
      <w:pPr>
        <w:jc w:val="both"/>
        <w:ind w:left="2540" w:hanging="318"/>
        <w:spacing w:after="0" w:line="238" w:lineRule="auto"/>
        <w:tabs>
          <w:tab w:leader="none" w:pos="253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Title to API supplied by or on behalf of Arcutis to DPT, and Product Processed therefrom, shall be and remain in Arcutis. DPT shall not grant, nor permit any creditor or other Third Party to acquire any security interest, lien, or other encumbrance in the API supplied by on behalf of Arcutis or the Product Processed by DPT.</w:t>
      </w:r>
    </w:p>
    <w:p>
      <w:pPr>
        <w:spacing w:after="0" w:line="184" w:lineRule="exact"/>
        <w:rPr>
          <w:rFonts w:ascii="Arial" w:cs="Arial" w:eastAsia="Arial" w:hAnsi="Arial"/>
          <w:sz w:val="22"/>
          <w:szCs w:val="22"/>
          <w:color w:val="auto"/>
        </w:rPr>
      </w:pPr>
    </w:p>
    <w:p>
      <w:pPr>
        <w:jc w:val="both"/>
        <w:ind w:left="2540" w:hanging="318"/>
        <w:spacing w:after="0" w:line="246" w:lineRule="auto"/>
        <w:tabs>
          <w:tab w:leader="none" w:pos="2535" w:val="left"/>
        </w:tabs>
        <w:numPr>
          <w:ilvl w:val="0"/>
          <w:numId w:val="51"/>
        </w:numPr>
        <w:rPr>
          <w:rFonts w:ascii="Arial" w:cs="Arial" w:eastAsia="Arial" w:hAnsi="Arial"/>
          <w:sz w:val="21"/>
          <w:szCs w:val="21"/>
          <w:color w:val="auto"/>
        </w:rPr>
      </w:pPr>
      <w:r>
        <w:rPr>
          <w:rFonts w:ascii="Arial" w:cs="Arial" w:eastAsia="Arial" w:hAnsi="Arial"/>
          <w:sz w:val="21"/>
          <w:szCs w:val="21"/>
          <w:color w:val="auto"/>
        </w:rPr>
        <w:t>DPT’s risk of loss or damage for Product Processed shall remain with DPT until collected by Arcutis or Arcutis’ nominee at the Facility. Notwithstanding the foregoing, provided DPT makes Product available to Arcutis at the Facility on or before the Delivery Date, in the event that Arcutis does not remove from the Facility such Product on such Delivery Date, expect to the extent of DPT’s Fault or failure to comply with storage and handling of the Product prior to such date, and always subject to the provisions of this Agreement, risk for loss and damage for such Product shall pass to Arcutis at 11:59 on such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33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u w:val="single" w:color="auto"/>
          <w:color w:val="auto"/>
        </w:rPr>
        <w:t>Materials Supplied by DPT</w:t>
      </w:r>
      <w:r>
        <w:rPr>
          <w:rFonts w:ascii="Arial" w:cs="Arial" w:eastAsia="Arial" w:hAnsi="Arial"/>
          <w:sz w:val="21"/>
          <w:szCs w:val="21"/>
          <w:color w:val="auto"/>
        </w:rPr>
        <w:t>. DPT shall be responsible for the supply, at the expense of COMPANY, of all other components necessary for the manufacture of Product. DPT will initiate required testing and release activities for Materials Supplied by the DPT so as not to delay the planned start of any batch manufacturing per the agreed production schedule. DPT will maintain released quantities of Materials Supplied by DPT in inventory to not delay the planned start of any batch manufacturing per the agreed production schedule. If the applicable Project Protocol requires that DPT utilize suppliers for raw materials and components that are not validated and approved DPT suppliers as of the Effective Date, then materials and components from such suppliers shall be treated as COMPANY-supplied materials. Unless supplier qualification services are part of the manufacturing services to be performed under a Project Protocol, DPT shall have no obligation to qualify new suppliers. All DPT-supplied materials will be billed to COMPANY on the respective invoice for Product, into which such DPT-supplied material was converted, as part of the Materials Fee.</w:t>
      </w:r>
    </w:p>
    <w:p>
      <w:pPr>
        <w:spacing w:after="0" w:line="18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2.3.4 </w:t>
      </w:r>
      <w:r>
        <w:rPr>
          <w:rFonts w:ascii="Arial" w:cs="Arial" w:eastAsia="Arial" w:hAnsi="Arial"/>
          <w:sz w:val="22"/>
          <w:szCs w:val="22"/>
          <w:u w:val="single" w:color="auto"/>
          <w:color w:val="auto"/>
        </w:rPr>
        <w:t>Packaging and Labeling</w:t>
      </w:r>
      <w:r>
        <w:rPr>
          <w:rFonts w:ascii="Arial" w:cs="Arial" w:eastAsia="Arial" w:hAnsi="Arial"/>
          <w:sz w:val="22"/>
          <w:szCs w:val="22"/>
          <w:color w:val="auto"/>
        </w:rPr>
        <w:t>. COMPANY shall provide DPT with Specifications (including art proofs) for Packaging and Labeling of each Product, and DPT shall purchase, at the expense of COMPANY, such Packaging and Labeling in accordance with the Specifications. COMPANY assumes responsibility and liability for the content of all COMPANY-approved Labeling and Packaging and compliance with Applicable Laws.</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2.3.5 </w:t>
      </w:r>
      <w:r>
        <w:rPr>
          <w:rFonts w:ascii="Arial" w:cs="Arial" w:eastAsia="Arial" w:hAnsi="Arial"/>
          <w:sz w:val="22"/>
          <w:szCs w:val="22"/>
          <w:u w:val="single" w:color="auto"/>
          <w:color w:val="auto"/>
        </w:rPr>
        <w:t>Additional Charges</w:t>
      </w:r>
      <w:r>
        <w:rPr>
          <w:rFonts w:ascii="Arial" w:cs="Arial" w:eastAsia="Arial" w:hAnsi="Arial"/>
          <w:sz w:val="22"/>
          <w:szCs w:val="22"/>
          <w:color w:val="auto"/>
        </w:rPr>
        <w:t>. COMPANY shall be responsible for any additional charges (including, but not limited to, items such as brokerage fees, courier expenses, duty fees payable, etc.) that are incurred in the procurement of any materials, including Packaging and Labeling components, as detailed in the immediately preceding sub-sections 2.3.1, 2.3.2 and 2.3.3; required for the manufacture of each Product, irrespective of which Party to the Agreement is responsible for supplying such items.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Supply of Product</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2.4.1 </w:t>
      </w:r>
      <w:r>
        <w:rPr>
          <w:rFonts w:ascii="Arial" w:cs="Arial" w:eastAsia="Arial" w:hAnsi="Arial"/>
          <w:sz w:val="22"/>
          <w:szCs w:val="22"/>
          <w:u w:val="single" w:color="auto"/>
          <w:color w:val="auto"/>
        </w:rPr>
        <w:t>Purchase of Product</w:t>
      </w:r>
      <w:r>
        <w:rPr>
          <w:rFonts w:ascii="Arial" w:cs="Arial" w:eastAsia="Arial" w:hAnsi="Arial"/>
          <w:sz w:val="22"/>
          <w:szCs w:val="22"/>
          <w:color w:val="auto"/>
        </w:rPr>
        <w:t>. COMPANY agrees to purchase from DPT all Product manufactured for COMPANY by DPT in accordance with COMPANY’s purchase orders or Forecasted Needs in alignment with Section 2.1. Product shall be ordered by COMPANY by the issuance of separate, pre-numbered purchase orders in increments of full batches. Compounding batches may be split into a maximum of two (2) fill batches</w:t>
      </w:r>
    </w:p>
    <w:p>
      <w:pPr>
        <w:spacing w:after="0" w:line="18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 xml:space="preserve">2.4.2 </w:t>
      </w:r>
      <w:r>
        <w:rPr>
          <w:rFonts w:ascii="Arial" w:cs="Arial" w:eastAsia="Arial" w:hAnsi="Arial"/>
          <w:sz w:val="22"/>
          <w:szCs w:val="22"/>
          <w:u w:val="single" w:color="auto"/>
          <w:color w:val="auto"/>
        </w:rPr>
        <w:t>Forecasted Needs</w:t>
      </w:r>
      <w:r>
        <w:rPr>
          <w:rFonts w:ascii="Arial" w:cs="Arial" w:eastAsia="Arial" w:hAnsi="Arial"/>
          <w:sz w:val="22"/>
          <w:szCs w:val="22"/>
          <w:color w:val="auto"/>
        </w:rPr>
        <w:t>. COMPANY shall provide DPT with its non-binding [***] ([***]) month projection with specific data as to its Forecasted Needs on or before August 31, 2021. Such Forecasted Needs shall be updated by COMPANY [***] on or before [***]on a rolling [***] ([***]) month basis. It is understood and agreed that with respect to all Forecasted Needs issued to DPT by COMPANY pursuant to the terms hereof, the forecast for the first [***] ([***]) months thereof shall constitute a firm order for Product, to the extent not the subject of a previous firm order, regardless of receipt of COMPANY’s actual purchase order. COMPANY shall provide DPT with a confirmatory purchase order on or before the [***]day of [***]. DPT shall confirm receipt of a Forecast or purchase order within [***] business days of receipt. DPT may produce Product up to [***] ([***]) days prior to the requested delivery date in order to accommodate fluctuations in production demands. The remaining [***] ([***]) months of the Forecasted Needs shall be utilized by DPT for purposes of material acquisition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33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COMPANY and DPT production planning. DPT shall attempt to minimize the material inventory purchased on behalf of COMPANY. Certain materials, however, may have long lead times or require a Minimum Order Quantity. Therefore, DPT must order and maintain the chemical and Packaging components necessary to support at least [***] ([***]) months of COMPANY’s Forecasted Needs, or the applicable Minimum Order Quantity, whichever is greater. Should COMPANY subsequently reduce its Forecasted Needs, COMPANY will be financially responsible for any material purchased by DPT on COMPANY’s behalf; provided that COMPANY is not permitted to reduce COMPANY’s Forecasted Needs for any [***] ([***])-month period constituting a firm order. Any such material which is subsequently rendered in excess of that required to support up to [***] ([***]) months of COMPANY’s Forecasted Needs may be subject to storage and inventory carrying fees. DPT may require a deposit for such materials.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Orders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2.5.1 </w:t>
      </w:r>
      <w:r>
        <w:rPr>
          <w:rFonts w:ascii="Arial" w:cs="Arial" w:eastAsia="Arial" w:hAnsi="Arial"/>
          <w:sz w:val="22"/>
          <w:szCs w:val="22"/>
          <w:u w:val="single" w:color="auto"/>
          <w:color w:val="auto"/>
        </w:rPr>
        <w:t>Time of Issuance</w:t>
      </w:r>
      <w:r>
        <w:rPr>
          <w:rFonts w:ascii="Arial" w:cs="Arial" w:eastAsia="Arial" w:hAnsi="Arial"/>
          <w:sz w:val="22"/>
          <w:szCs w:val="22"/>
          <w:color w:val="auto"/>
        </w:rPr>
        <w:t>. COMPANY shall issue written purchase orders for Product to DPT at least [***] ([***]) months prior to the requested delivery dates if the requirements are at or below [***] percent ([***]%) of the applicable Forecasted Needs. Each such written purchase order shall be subject to acceptance by DPT.</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2.5.2 </w:t>
      </w:r>
      <w:r>
        <w:rPr>
          <w:rFonts w:ascii="Arial" w:cs="Arial" w:eastAsia="Arial" w:hAnsi="Arial"/>
          <w:sz w:val="22"/>
          <w:szCs w:val="22"/>
          <w:u w:val="single" w:color="auto"/>
          <w:color w:val="auto"/>
        </w:rPr>
        <w:t>Contents of Purchase Orders</w:t>
      </w:r>
      <w:r>
        <w:rPr>
          <w:rFonts w:ascii="Arial" w:cs="Arial" w:eastAsia="Arial" w:hAnsi="Arial"/>
          <w:sz w:val="22"/>
          <w:szCs w:val="22"/>
          <w:color w:val="auto"/>
        </w:rPr>
        <w:t xml:space="preserve">. COMPANY’s purchase orders shall designate the desired quantities of each Product, delivery dates and destinations, each in accordance with this </w:t>
      </w:r>
      <w:r>
        <w:rPr>
          <w:rFonts w:ascii="Arial" w:cs="Arial" w:eastAsia="Arial" w:hAnsi="Arial"/>
          <w:sz w:val="22"/>
          <w:szCs w:val="22"/>
          <w:u w:val="single" w:color="auto"/>
          <w:color w:val="auto"/>
        </w:rPr>
        <w:t>Section 2.5</w:t>
      </w:r>
      <w:r>
        <w:rPr>
          <w:rFonts w:ascii="Arial" w:cs="Arial" w:eastAsia="Arial" w:hAnsi="Arial"/>
          <w:sz w:val="22"/>
          <w:szCs w:val="22"/>
          <w:color w:val="auto"/>
        </w:rPr>
        <w:t>. This Agreement allows for up to [***] ([***]) shipping destinations per batch of Product. Additional destinations can be accommodated for a shipping preparation fee to be negotiated by DPT and COMPANY.</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2.5.3 </w:t>
      </w:r>
      <w:r>
        <w:rPr>
          <w:rFonts w:ascii="Arial" w:cs="Arial" w:eastAsia="Arial" w:hAnsi="Arial"/>
          <w:sz w:val="21"/>
          <w:szCs w:val="21"/>
          <w:u w:val="single" w:color="auto"/>
          <w:color w:val="auto"/>
        </w:rPr>
        <w:t>Shipment</w:t>
      </w:r>
      <w:r>
        <w:rPr>
          <w:rFonts w:ascii="Arial" w:cs="Arial" w:eastAsia="Arial" w:hAnsi="Arial"/>
          <w:sz w:val="21"/>
          <w:szCs w:val="21"/>
          <w:color w:val="auto"/>
        </w:rPr>
        <w:t xml:space="preserve">. Shipment of Product shall be in accordance with COMPANY instructions, provided that such instructions comply with Applicable Law. Product will be shipped to COMPANY or its designee promptly following release, freight collect. At COMPANY’s request, DPT may hold fully released Product in DPT’s warehouse for a storage fee. Product held at DPT will be subject to payment in accordance with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as if such Product was shipped. If COMPANY requests DPT to make any miscellaneous small shipments of Product, material, or other items on COMPANY’s behalf, COMPANY agrees to reimburse DPT for any shipping charges incurred by DPT.</w:t>
      </w:r>
    </w:p>
    <w:p>
      <w:pPr>
        <w:spacing w:after="0" w:line="17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2.5.4 </w:t>
      </w:r>
      <w:r>
        <w:rPr>
          <w:rFonts w:ascii="Arial" w:cs="Arial" w:eastAsia="Arial" w:hAnsi="Arial"/>
          <w:sz w:val="22"/>
          <w:szCs w:val="22"/>
          <w:u w:val="single" w:color="auto"/>
          <w:color w:val="auto"/>
        </w:rPr>
        <w:t>Delivery Terms</w:t>
      </w:r>
      <w:r>
        <w:rPr>
          <w:rFonts w:ascii="Arial" w:cs="Arial" w:eastAsia="Arial" w:hAnsi="Arial"/>
          <w:sz w:val="22"/>
          <w:szCs w:val="22"/>
          <w:color w:val="auto"/>
        </w:rPr>
        <w:t xml:space="preserve">. All shipment of Product detailed in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hereof shall be EXW (Incoterms 2020) DPT’s plant of manufacture. Title to, and risk of loss for, Product, shall transfer from DPT to COMPANY when DPT makes the Product available to COMPANY at DPT’s plant of manufacture. COMPANY shall bear all risk of loss, delay, or damage in transit, as well as cost of freight and insurance.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color w:val="auto"/>
        </w:rPr>
        <w:t>Joint Steering Committee. A Joint Steering Committee shall be formed within 30 days of Effective Date. The Joint</w:t>
      </w:r>
      <w:r>
        <w:rPr>
          <w:rFonts w:ascii="Arial" w:cs="Arial" w:eastAsia="Arial" w:hAnsi="Arial"/>
          <w:sz w:val="22"/>
          <w:szCs w:val="22"/>
          <w:b w:val="1"/>
          <w:bCs w:val="1"/>
          <w:color w:val="auto"/>
        </w:rPr>
        <w:t xml:space="preserve"> </w:t>
      </w:r>
      <w:r>
        <w:rPr>
          <w:rFonts w:ascii="Arial" w:cs="Arial" w:eastAsia="Arial" w:hAnsi="Arial"/>
          <w:sz w:val="22"/>
          <w:szCs w:val="22"/>
          <w:color w:val="auto"/>
        </w:rPr>
        <w:t>Steering Committee may meet quarterly to review performance. To the extent that there are any performance issues, escalation will be made to an Executive Steering Committee comprised of, at a minimum, respective Heads of Operations and Heads of Quality for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33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color w:val="auto"/>
        </w:rPr>
        <w:t>No Conflicting Terms. The terms and conditions of this Agreement shall be controlling over any conflicting terms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conditions stated in the Project Protocol or Specifications (unless otherwise stipulated in writing referencing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w:t>
      </w:r>
      <w:r>
        <w:rPr>
          <w:rFonts w:ascii="Arial" w:cs="Arial" w:eastAsia="Arial" w:hAnsi="Arial"/>
          <w:sz w:val="19"/>
          <w:szCs w:val="19"/>
          <w:color w:val="auto"/>
        </w:rPr>
        <w:t>). The Parties acknowledge that SOPs are considered to supplemental to master batch records, specification documents and standard methods of analysis. Specific instructions in master batch records, specification documents and standard methods of analysis will supersede instructions in SOPs (unless otherwise stipulated in the SOP document.</w:t>
      </w:r>
    </w:p>
    <w:p>
      <w:pPr>
        <w:spacing w:after="0" w:line="14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b w:val="1"/>
          <w:bCs w:val="1"/>
          <w:u w:val="single" w:color="auto"/>
          <w:color w:val="auto"/>
        </w:rPr>
        <w:t>Supply Failure</w:t>
      </w:r>
      <w:r>
        <w:rPr>
          <w:rFonts w:ascii="Arial" w:cs="Arial" w:eastAsia="Arial" w:hAnsi="Arial"/>
          <w:sz w:val="22"/>
          <w:szCs w:val="22"/>
          <w:color w:val="auto"/>
        </w:rPr>
        <w:t>. Subject to the terms of this Agreement, and provided that such failure is not attributable to any</w:t>
      </w:r>
      <w:r>
        <w:rPr>
          <w:rFonts w:ascii="Arial" w:cs="Arial" w:eastAsia="Arial" w:hAnsi="Arial"/>
          <w:sz w:val="22"/>
          <w:szCs w:val="22"/>
          <w:b w:val="1"/>
          <w:bCs w:val="1"/>
          <w:color w:val="auto"/>
        </w:rPr>
        <w:t xml:space="preserve"> </w:t>
      </w:r>
      <w:r>
        <w:rPr>
          <w:rFonts w:ascii="Arial" w:cs="Arial" w:eastAsia="Arial" w:hAnsi="Arial"/>
          <w:sz w:val="22"/>
          <w:szCs w:val="22"/>
          <w:color w:val="auto"/>
        </w:rPr>
        <w:t>inaction or action caused by COMPANY and accepting normal yield losses associated with the production of each Batch, in the event that DPT fails to deliver at least [***] ([***]%) of the quantity of Product set forth in any purchase order: (i) on or before the date that is [***] ([***]) days after the delivery date, COMPANY will issue letter of potential Supply Failure to DPT Site Head. In the event that supply issue is not rectified within [***] ([***]) days from initial delivery date, DPT shall be considered to be in “Supply Failure” status. Further, in the event of [***] [***] ([***]) day delivery delays in one calendar year, DPT shall be considered to be in “Supply Failure”. Without limiting its obligations herein, DPT shall, within [***] ([***]) business days of becoming aware (if commercially feasible), inform COMPANY of any known or anticipated events or conditions that may result in such a Supply Failure.</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2.9 </w:t>
      </w:r>
      <w:r>
        <w:rPr>
          <w:rFonts w:ascii="Arial" w:cs="Arial" w:eastAsia="Arial" w:hAnsi="Arial"/>
          <w:sz w:val="21"/>
          <w:szCs w:val="21"/>
          <w:b w:val="1"/>
          <w:bCs w:val="1"/>
          <w:u w:val="single" w:color="auto"/>
          <w:color w:val="auto"/>
        </w:rPr>
        <w:t>Consequences of and Remedies for a Supply Failure</w:t>
      </w:r>
      <w:r>
        <w:rPr>
          <w:rFonts w:ascii="Arial" w:cs="Arial" w:eastAsia="Arial" w:hAnsi="Arial"/>
          <w:sz w:val="21"/>
          <w:szCs w:val="21"/>
          <w:color w:val="auto"/>
        </w:rPr>
        <w:t>. In the event of a Supply Failure, and without limiting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remedy available to the COMPANY at law or equity: (i) DPT shall fulfill outstanding purchase order(s) with such quantities of Conforming Product as are immediately available; and (ii) unless and until such Supply Failure is remedied to COMPANY’s satisfaction, COMPANY shall be entitled to source Product from an alternative manufacturing facility (that DPT shall provide non-financial technology transfer assistance to COMPANY in qualifying) and shall be relieved from its obligations under this Agreement to (x) purchase any quantities of Product subject to any outstanding purchase orders or forecasts and (y) submit any further purchase orders or forecasts.</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b w:val="1"/>
          <w:bCs w:val="1"/>
          <w:u w:val="single" w:color="auto"/>
          <w:color w:val="auto"/>
        </w:rPr>
        <w:t>PRICING AND PAYMENT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Product Price</w:t>
      </w:r>
    </w:p>
    <w:p>
      <w:pPr>
        <w:spacing w:after="0" w:line="21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Manufacturing Fees</w:t>
      </w:r>
      <w:r>
        <w:rPr>
          <w:rFonts w:ascii="Arial" w:cs="Arial" w:eastAsia="Arial" w:hAnsi="Arial"/>
          <w:sz w:val="19"/>
          <w:szCs w:val="19"/>
          <w:color w:val="auto"/>
        </w:rPr>
        <w:t xml:space="preserve">. The initial Manufacturing Fees to be paid by COMPANY to DPT are set forth in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DPT reserves the right to raise the prices set forth in any Project Protocol if change(s) to Applicable Law, including, but not limited to GMP or changes made under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increase the cost of manufacturing of the Product or of any other activities contemplated under this Agreement. In addition, the Parties hereto agree that increases to the Manufacturing Fees set forth in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shall be negotiated, in good faith, [***]. If the Parties are unable to agree on a re-negotiated price at least</w:t>
      </w:r>
    </w:p>
    <w:p>
      <w:pPr>
        <w:spacing w:after="0" w:line="4" w:lineRule="exact"/>
        <w:rPr>
          <w:sz w:val="20"/>
          <w:szCs w:val="20"/>
          <w:color w:val="auto"/>
        </w:rPr>
      </w:pPr>
    </w:p>
    <w:p>
      <w:pPr>
        <w:jc w:val="both"/>
        <w:ind w:firstLine="8"/>
        <w:spacing w:after="0" w:line="233" w:lineRule="auto"/>
        <w:tabs>
          <w:tab w:leader="none" w:pos="539" w:val="left"/>
        </w:tabs>
        <w:numPr>
          <w:ilvl w:val="0"/>
          <w:numId w:val="52"/>
        </w:numPr>
        <w:rPr>
          <w:rFonts w:ascii="Arial" w:cs="Arial" w:eastAsia="Arial" w:hAnsi="Arial"/>
          <w:sz w:val="22"/>
          <w:szCs w:val="22"/>
          <w:color w:val="auto"/>
        </w:rPr>
      </w:pPr>
      <w:r>
        <w:rPr>
          <w:rFonts w:ascii="Arial" w:cs="Arial" w:eastAsia="Arial" w:hAnsi="Arial"/>
          <w:sz w:val="22"/>
          <w:szCs w:val="22"/>
          <w:color w:val="auto"/>
        </w:rPr>
        <w:t>([***]) days prior to [***], then this Agreement, effective [***], shall continue in full force and effect with prices being adjusted to reflect the change in the most recently published monthly Producer Price Index for Pharmaceutical Preparation Manufacturing PCU 325412, issued by the Bureau of Labor Statistics, US Department of Labor (“</w:t>
      </w:r>
      <w:r>
        <w:rPr>
          <w:rFonts w:ascii="Arial" w:cs="Arial" w:eastAsia="Arial" w:hAnsi="Arial"/>
          <w:sz w:val="22"/>
          <w:szCs w:val="22"/>
          <w:b w:val="1"/>
          <w:bCs w:val="1"/>
          <w:color w:val="auto"/>
        </w:rPr>
        <w:t>PPI</w:t>
      </w:r>
      <w:r>
        <w:rPr>
          <w:rFonts w:ascii="Arial" w:cs="Arial" w:eastAsia="Arial" w:hAnsi="Arial"/>
          <w:sz w:val="22"/>
          <w:szCs w:val="22"/>
          <w:color w:val="auto"/>
        </w:rPr>
        <w:t>”), or comparable successor index, in July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33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preceding year as compared to the same month of the year prior thereto until such time as to when price negotiation can be completed.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example: If in July 2014 the PPI is 548.3 and then the previous year 2013 reflects a PPI of 530.5 the difference would be 17.8. The 17.8 would be divided by 530.5 resulting in a PPI increase of 3.4% in year 2015).</w:t>
      </w:r>
    </w:p>
    <w:p>
      <w:pPr>
        <w:spacing w:after="0" w:line="17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In addition, Manufacturing Fees are based on annual volumes for Product. DPT reserves the right to increase the Manufacturing Fees at the beginning of [***] ([***]) in the event that actual volumes are less than those volumes listed in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by more than [***] percent ([***]%).</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Prices for new Product or new Product sizes, new batch sizes or Product configuration changes not initially included in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shall be negotiated and DPT and COMPANY shall arrive at a mutual agreement with respect to prices at the time said new Product or new Product sizes are added to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Costs associated with establishing, testing or manufacturing components or new materials such as reference standards, reagents, art charges, die costs, molding or tooling costs, plate costs, and packing equipment change parts will be invoiced to COMPANY at DPT’s cost on a net [***] ([***]) basis and COMPANY agrees to reimburse DPT for any such authorized expenditures made on COMPANY’s behalf.</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Materials Fees and Other Costs</w:t>
      </w:r>
      <w:r>
        <w:rPr>
          <w:rFonts w:ascii="Arial" w:cs="Arial" w:eastAsia="Arial" w:hAnsi="Arial"/>
          <w:sz w:val="21"/>
          <w:szCs w:val="21"/>
          <w:color w:val="auto"/>
        </w:rPr>
        <w:t xml:space="preserve">. The initial Materials Fees to be paid by COMPANY to DPT are listed in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For the Launch Year, the Materials Fee will be listed in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within [***] ([***]) days of commencement of the initial commercial production of the applicable Product. After the Launch Year, the Materials Fee will be increased [***] and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shall be amended accordingly based on changes in DPT’s Standard Cost for materials. In the event, however, the total underlying costs of Material Fee for a Product increases during any [***] by more than [***] percent ([***]%), DPT will provide documented cost justifications to COMPANY in connection with such cost change(s). Thereafter DPT may promptly upon the effective date of such increase of more than [***] percent ([***]%), increase its Materials Fee for said Product to COMPANY to compensate for the increase in such costs.</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Material Fees for new Product or new Product sizes, new batch sizes or Product configuration changes not initially included in </w:t>
      </w:r>
      <w:r>
        <w:rPr>
          <w:rFonts w:ascii="Arial" w:cs="Arial" w:eastAsia="Arial" w:hAnsi="Arial"/>
          <w:sz w:val="22"/>
          <w:szCs w:val="22"/>
          <w:u w:val="single" w:color="auto"/>
          <w:color w:val="auto"/>
        </w:rPr>
        <w:t>Schedule C</w:t>
      </w:r>
      <w:r>
        <w:rPr>
          <w:rFonts w:ascii="Arial" w:cs="Arial" w:eastAsia="Arial" w:hAnsi="Arial"/>
          <w:sz w:val="22"/>
          <w:szCs w:val="22"/>
          <w:color w:val="auto"/>
        </w:rPr>
        <w:t>, shall be established prior to the time of first production.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Payment</w:t>
      </w:r>
    </w:p>
    <w:p>
      <w:pPr>
        <w:spacing w:after="0" w:line="212" w:lineRule="exact"/>
        <w:rPr>
          <w:sz w:val="20"/>
          <w:szCs w:val="20"/>
          <w:color w:val="auto"/>
        </w:rPr>
      </w:pPr>
    </w:p>
    <w:p>
      <w:pPr>
        <w:jc w:val="both"/>
        <w:ind w:firstLine="656"/>
        <w:spacing w:after="0" w:line="249" w:lineRule="auto"/>
        <w:tabs>
          <w:tab w:leader="none" w:pos="821"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Payment for all deliveries of Product and services shall be made in U.S. Dollars (USD), net [***] ([***]) days after the date of DPT’s invoice therefor. Invoices shall be generated upon shipment of Product from DPT. Total invoice price shall be equal to the quantity of Product times the Total Price per unit of Product effective on the date of the Product release, as listed in </w:t>
      </w:r>
      <w:r>
        <w:rPr>
          <w:rFonts w:ascii="Arial" w:cs="Arial" w:eastAsia="Arial" w:hAnsi="Arial"/>
          <w:sz w:val="21"/>
          <w:szCs w:val="21"/>
          <w:u w:val="single" w:color="auto"/>
          <w:color w:val="auto"/>
        </w:rPr>
        <w:t>Schedule B</w:t>
      </w:r>
      <w:r>
        <w:rPr>
          <w:rFonts w:ascii="Arial" w:cs="Arial" w:eastAsia="Arial" w:hAnsi="Arial"/>
          <w:sz w:val="21"/>
          <w:szCs w:val="21"/>
          <w:color w:val="auto"/>
        </w:rPr>
        <w:t>. Payments shall be made by check, wire transfer, electronic fund transfer or through other instrument accepted by DPT. Payments by wire or electronic fund transfer should be made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33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DPT Laboratories, Ltd.</w:t>
      </w:r>
    </w:p>
    <w:p>
      <w:pPr>
        <w:ind w:left="1300"/>
        <w:spacing w:after="0" w:line="238" w:lineRule="auto"/>
        <w:tabs>
          <w:tab w:leader="none" w:pos="3060" w:val="left"/>
        </w:tabs>
        <w:rPr>
          <w:sz w:val="20"/>
          <w:szCs w:val="20"/>
          <w:color w:val="auto"/>
        </w:rPr>
      </w:pPr>
      <w:r>
        <w:rPr>
          <w:rFonts w:ascii="Arial" w:cs="Arial" w:eastAsia="Arial" w:hAnsi="Arial"/>
          <w:sz w:val="22"/>
          <w:szCs w:val="22"/>
          <w:color w:val="auto"/>
        </w:rPr>
        <w:t>Account Number:</w:t>
        <w:tab/>
        <w:t>[***]</w:t>
      </w:r>
    </w:p>
    <w:p>
      <w:pPr>
        <w:ind w:left="1300"/>
        <w:spacing w:after="0"/>
        <w:tabs>
          <w:tab w:leader="none" w:pos="258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19"/>
          <w:szCs w:val="19"/>
          <w:color w:val="auto"/>
        </w:rPr>
        <w:t>The Private Bank</w:t>
      </w:r>
    </w:p>
    <w:p>
      <w:pPr>
        <w:ind w:left="1300"/>
        <w:spacing w:after="0" w:line="231" w:lineRule="auto"/>
        <w:tabs>
          <w:tab w:leader="none" w:pos="3580" w:val="left"/>
        </w:tabs>
        <w:rPr>
          <w:sz w:val="20"/>
          <w:szCs w:val="20"/>
          <w:color w:val="auto"/>
        </w:rPr>
      </w:pPr>
      <w:r>
        <w:rPr>
          <w:rFonts w:ascii="Arial" w:cs="Arial" w:eastAsia="Arial" w:hAnsi="Arial"/>
          <w:sz w:val="22"/>
          <w:szCs w:val="22"/>
          <w:color w:val="auto"/>
        </w:rPr>
        <w:t>ABA Routing Number:</w:t>
        <w:tab/>
        <w:t>(ACH/WIRE): [***]</w:t>
      </w:r>
    </w:p>
    <w:p>
      <w:pPr>
        <w:ind w:left="1300"/>
        <w:spacing w:after="0" w:line="230" w:lineRule="auto"/>
        <w:tabs>
          <w:tab w:leader="none" w:pos="3240" w:val="left"/>
        </w:tabs>
        <w:rPr>
          <w:sz w:val="20"/>
          <w:szCs w:val="20"/>
          <w:color w:val="auto"/>
        </w:rPr>
      </w:pPr>
      <w:r>
        <w:rPr>
          <w:rFonts w:ascii="Arial" w:cs="Arial" w:eastAsia="Arial" w:hAnsi="Arial"/>
          <w:sz w:val="22"/>
          <w:szCs w:val="22"/>
          <w:color w:val="auto"/>
        </w:rPr>
        <w:t>SWIFT Code (US$)</w:t>
        <w:tab/>
        <w:t>[***]</w:t>
      </w:r>
    </w:p>
    <w:p>
      <w:pPr>
        <w:ind w:left="1300"/>
        <w:spacing w:after="0"/>
        <w:tabs>
          <w:tab w:leader="none" w:pos="2840" w:val="left"/>
        </w:tabs>
        <w:rPr>
          <w:sz w:val="20"/>
          <w:szCs w:val="20"/>
          <w:color w:val="auto"/>
        </w:rPr>
      </w:pPr>
      <w:r>
        <w:rPr>
          <w:rFonts w:ascii="Arial" w:cs="Arial" w:eastAsia="Arial" w:hAnsi="Arial"/>
          <w:sz w:val="22"/>
          <w:szCs w:val="22"/>
          <w:color w:val="auto"/>
        </w:rPr>
        <w:t>Bank Location:</w:t>
      </w:r>
      <w:r>
        <w:rPr>
          <w:sz w:val="20"/>
          <w:szCs w:val="20"/>
          <w:color w:val="auto"/>
        </w:rPr>
        <w:tab/>
      </w:r>
      <w:r>
        <w:rPr>
          <w:rFonts w:ascii="Arial" w:cs="Arial" w:eastAsia="Arial" w:hAnsi="Arial"/>
          <w:sz w:val="19"/>
          <w:szCs w:val="19"/>
          <w:color w:val="auto"/>
        </w:rPr>
        <w:t>Chicago, IL USA</w:t>
      </w:r>
    </w:p>
    <w:p>
      <w:pPr>
        <w:ind w:left="1300"/>
        <w:spacing w:after="0"/>
        <w:tabs>
          <w:tab w:leader="none" w:pos="2240" w:val="left"/>
        </w:tabs>
        <w:rPr>
          <w:sz w:val="20"/>
          <w:szCs w:val="20"/>
          <w:color w:val="auto"/>
        </w:rPr>
      </w:pPr>
      <w:r>
        <w:rPr>
          <w:rFonts w:ascii="Arial" w:cs="Arial" w:eastAsia="Arial" w:hAnsi="Arial"/>
          <w:sz w:val="22"/>
          <w:szCs w:val="22"/>
          <w:color w:val="auto"/>
        </w:rPr>
        <w:t>Contact:</w:t>
        <w:tab/>
        <w:t>[***]</w:t>
      </w:r>
    </w:p>
    <w:p>
      <w:pPr>
        <w:spacing w:after="0" w:line="1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3.3 Late Payment</w:t>
      </w:r>
      <w:r>
        <w:rPr>
          <w:rFonts w:ascii="Arial" w:cs="Arial" w:eastAsia="Arial" w:hAnsi="Arial"/>
          <w:sz w:val="22"/>
          <w:szCs w:val="22"/>
          <w:color w:val="auto"/>
        </w:rPr>
        <w:t>. A late fee of [***] percent ([***]%) of total invoice can be added [***]. DPT, at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has the right to discontinue COMPANY’s credit on future orders and to put a hold on any production or shipment of Product if COMPANY’s account is not current. Such hold on production or shipment shall not constitute a breach of this Agreement by DPT. In the event credit is discontinued, a [***] percent ([***]%) material deposit paid by COMPANY to DPT will be required prior to DPT ordering any additional materials. In addition, a [***] percent ([***]%) Manufacturing Fee deposit will be required prior to DPT manufacturing any Product and the balance of the invoice for such Product must be paid in full prior to shipment.</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3.4 Destruction Costs</w:t>
      </w:r>
      <w:r>
        <w:rPr>
          <w:rFonts w:ascii="Arial" w:cs="Arial" w:eastAsia="Arial" w:hAnsi="Arial"/>
          <w:sz w:val="22"/>
          <w:szCs w:val="22"/>
          <w:color w:val="auto"/>
        </w:rPr>
        <w:t>. DPT reserves the right to invoice COMPANY for all of the costs of destruction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unless such destruction relates to a Rejected Product arising from DPT’s failure to comply with applicable written procedures.</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3.5 Taxes</w:t>
      </w:r>
      <w:r>
        <w:rPr>
          <w:rFonts w:ascii="Arial" w:cs="Arial" w:eastAsia="Arial" w:hAnsi="Arial"/>
          <w:sz w:val="22"/>
          <w:szCs w:val="22"/>
          <w:color w:val="auto"/>
        </w:rPr>
        <w:t>. COMPANY shall bear all taxes, whether direct or indirect (including, by way of example,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income, sales and transfer taxes, and VAT), levies, and duties (including customs duties) as may be imposed on COMPANY (or for which COMPANY is required to act as withholding agent by any governmental body or authority on the subject matter of this Agreement), and COMPANY shall be responsible for the timely payment of such amounts to such governmental body or authority.</w:t>
      </w:r>
    </w:p>
    <w:p>
      <w:pPr>
        <w:spacing w:after="0" w:line="182"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b w:val="1"/>
          <w:bCs w:val="1"/>
          <w:u w:val="single" w:color="auto"/>
          <w:color w:val="auto"/>
        </w:rPr>
        <w:t>PRODUCT TESTING</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4.1 Certificates of Analysis</w:t>
      </w:r>
      <w:r>
        <w:rPr>
          <w:rFonts w:ascii="Arial" w:cs="Arial" w:eastAsia="Arial" w:hAnsi="Arial"/>
          <w:sz w:val="22"/>
          <w:szCs w:val="22"/>
          <w:color w:val="auto"/>
        </w:rPr>
        <w:t>. DPT shall test each lot of Product purchased pursuant to this Agreement before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to COMPANY. Each Certificate of Analysis shall set forth the items tested, specifications and test results for each lot delivered. DPT shall send one (1) Certificate of Analysis to COMPANY at the time of the release of Product. Extraordinary reporting or documentation, outside this Agreement, may be subject to an additional charge by DPT. Requests for raw data for specification testing of Product will not be considered extraordinary.</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4.2 Stability Testing</w:t>
      </w:r>
      <w:r>
        <w:rPr>
          <w:rFonts w:ascii="Arial" w:cs="Arial" w:eastAsia="Arial" w:hAnsi="Arial"/>
          <w:sz w:val="22"/>
          <w:szCs w:val="22"/>
          <w:color w:val="auto"/>
        </w:rPr>
        <w:t>. DPT shall perform its standard stability test program as defined in DPT’s SOPs or as separately</w:t>
      </w:r>
      <w:r>
        <w:rPr>
          <w:rFonts w:ascii="Arial" w:cs="Arial" w:eastAsia="Arial" w:hAnsi="Arial"/>
          <w:sz w:val="22"/>
          <w:szCs w:val="22"/>
          <w:b w:val="1"/>
          <w:bCs w:val="1"/>
          <w:color w:val="auto"/>
        </w:rPr>
        <w:t xml:space="preserve"> </w:t>
      </w:r>
      <w:r>
        <w:rPr>
          <w:rFonts w:ascii="Arial" w:cs="Arial" w:eastAsia="Arial" w:hAnsi="Arial"/>
          <w:sz w:val="22"/>
          <w:szCs w:val="22"/>
          <w:color w:val="auto"/>
        </w:rPr>
        <w:t>agreed to in accordance with a Change Control Record for each Product contained herein. Stability requirements will be defined in a stability protocol with COMPANY APPROVAL. COMPANY shall receive a copy of the report generated in DPT’s Annual Product Review for each Product in DPT’s standard form as long as DPT is continuing to produce such Product for COMPANY and for as long as COMPANY’s account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 of 33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current. If COMPANY elects to perform its own stability testing on Product, COMPANY agrees to provide DPT with a copy of the results from such testing on an annual basis.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4.3 Validation Studies or Additional Testing</w:t>
      </w:r>
      <w:r>
        <w:rPr>
          <w:rFonts w:ascii="Arial" w:cs="Arial" w:eastAsia="Arial" w:hAnsi="Arial"/>
          <w:sz w:val="21"/>
          <w:szCs w:val="21"/>
          <w:color w:val="auto"/>
        </w:rPr>
        <w:t>. It is understood and agreed by the Parties hereto that unless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agreed, any validation studies costs shall be the sole responsibility of COMPANY. The Parties agree that for any validation studies or additional testing to be performed by DPT in connection with the Product, DPT and COMPANY shall enter into a specific written Project Protocol establishing methodology and pricing for such services.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Rejected Product</w:t>
      </w:r>
    </w:p>
    <w:p>
      <w:pPr>
        <w:spacing w:after="0" w:line="21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 xml:space="preserve">4.4.1 </w:t>
      </w:r>
      <w:r>
        <w:rPr>
          <w:rFonts w:ascii="Arial" w:cs="Arial" w:eastAsia="Arial" w:hAnsi="Arial"/>
          <w:sz w:val="19"/>
          <w:szCs w:val="19"/>
          <w:u w:val="single" w:color="auto"/>
          <w:color w:val="auto"/>
        </w:rPr>
        <w:t>Rejection of Product by COMPANY</w:t>
      </w:r>
      <w:r>
        <w:rPr>
          <w:rFonts w:ascii="Arial" w:cs="Arial" w:eastAsia="Arial" w:hAnsi="Arial"/>
          <w:sz w:val="19"/>
          <w:szCs w:val="19"/>
          <w:color w:val="auto"/>
        </w:rPr>
        <w:t xml:space="preserve">. COMPANY shall have the right to reject any Product which fails to meet the Specifications or Applicable Law, in accordance with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w:t>
      </w:r>
      <w:r>
        <w:rPr>
          <w:rFonts w:ascii="Arial" w:cs="Arial" w:eastAsia="Arial" w:hAnsi="Arial"/>
          <w:sz w:val="19"/>
          <w:szCs w:val="19"/>
          <w:b w:val="1"/>
          <w:bCs w:val="1"/>
          <w:color w:val="auto"/>
        </w:rPr>
        <w:t>Rejected Product</w:t>
      </w:r>
      <w:r>
        <w:rPr>
          <w:rFonts w:ascii="Arial" w:cs="Arial" w:eastAsia="Arial" w:hAnsi="Arial"/>
          <w:sz w:val="19"/>
          <w:szCs w:val="19"/>
          <w:color w:val="auto"/>
        </w:rPr>
        <w:t>”). COMPANY shall, within</w:t>
      </w:r>
    </w:p>
    <w:p>
      <w:pPr>
        <w:spacing w:after="0" w:line="1" w:lineRule="exact"/>
        <w:rPr>
          <w:sz w:val="20"/>
          <w:szCs w:val="20"/>
          <w:color w:val="auto"/>
        </w:rPr>
      </w:pPr>
    </w:p>
    <w:p>
      <w:pPr>
        <w:jc w:val="both"/>
        <w:ind w:firstLine="8"/>
        <w:spacing w:after="0" w:line="231" w:lineRule="auto"/>
        <w:tabs>
          <w:tab w:leader="none" w:pos="532"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 days after its receipt of any shipment of Product and related Certificate of Analysis of Product batch (as described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hereof), notify DPT in writing of COMPANY’s rejection of the Product, specifying why the Product batch failed to meet the Specifications or Applicable Law, and any other claim relating to the Rejected Product batch accompanied with the supporting analyses or documentation. COMPANY’s failure to provide such rejection notification within the [***] ([***]) day period specified above will be deemed for purposes of the Agreement to constitute COMPANY’s acceptance of such Product batch. COMPANY shall grant to DPT the right to inspect, or test said Product batch. Inspection shall only be granted upon written approval by COMPANY. Additional testing or inspection of a lot being considered for rejection can only be tested under investigation with COMPANY approval. All necessary samples of Rejected Product shall be delivered to DPT and submitted for inspection and evaluation by DPT in accordance with DPT’s SOPs to determine whether or not said Product meets the Specifications.</w:t>
      </w:r>
    </w:p>
    <w:p>
      <w:pPr>
        <w:spacing w:after="0" w:line="19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4.4.2 </w:t>
      </w:r>
      <w:r>
        <w:rPr>
          <w:rFonts w:ascii="Arial" w:cs="Arial" w:eastAsia="Arial" w:hAnsi="Arial"/>
          <w:sz w:val="22"/>
          <w:szCs w:val="22"/>
          <w:u w:val="single" w:color="auto"/>
          <w:color w:val="auto"/>
        </w:rPr>
        <w:t>Replacement of Rejected Product</w:t>
      </w:r>
      <w:r>
        <w:rPr>
          <w:rFonts w:ascii="Arial" w:cs="Arial" w:eastAsia="Arial" w:hAnsi="Arial"/>
          <w:sz w:val="22"/>
          <w:szCs w:val="22"/>
          <w:color w:val="auto"/>
        </w:rPr>
        <w:t xml:space="preserve">. As to any Rejected Product agreed by the Parties as failing to meet the Specifications or determined by the Laboratory not to meet the Specifications, pursuant to </w:t>
      </w:r>
      <w:r>
        <w:rPr>
          <w:rFonts w:ascii="Arial" w:cs="Arial" w:eastAsia="Arial" w:hAnsi="Arial"/>
          <w:sz w:val="22"/>
          <w:szCs w:val="22"/>
          <w:u w:val="single" w:color="auto"/>
          <w:color w:val="auto"/>
        </w:rPr>
        <w:t>Section 4.4.4</w:t>
      </w:r>
      <w:r>
        <w:rPr>
          <w:rFonts w:ascii="Arial" w:cs="Arial" w:eastAsia="Arial" w:hAnsi="Arial"/>
          <w:sz w:val="22"/>
          <w:szCs w:val="22"/>
          <w:color w:val="auto"/>
        </w:rPr>
        <w:t xml:space="preserve"> below (including in each case phases of or complete batches of bulk Product), DPT shall replace such Rejected Product (in an agreed upon batch order quantity, but in no event less than full batch increments) promptly after all requisite materials are available to DPT for the manufacture of replacement Product. If requested, DPT shall make arrangements with COMPANY for the return or disposal of Rejected Product.</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4.4.3 </w:t>
      </w:r>
      <w:r>
        <w:rPr>
          <w:rFonts w:ascii="Arial" w:cs="Arial" w:eastAsia="Arial" w:hAnsi="Arial"/>
          <w:sz w:val="19"/>
          <w:szCs w:val="19"/>
          <w:u w:val="single" w:color="auto"/>
          <w:color w:val="auto"/>
        </w:rPr>
        <w:t>Responsibility for Costs</w:t>
      </w:r>
      <w:r>
        <w:rPr>
          <w:rFonts w:ascii="Arial" w:cs="Arial" w:eastAsia="Arial" w:hAnsi="Arial"/>
          <w:sz w:val="19"/>
          <w:szCs w:val="19"/>
          <w:color w:val="auto"/>
        </w:rPr>
        <w:t>. For all of the validation batches of a Product produced by DPT, or in the event a Rejected Product fails to comply with the Specification due to COMPANY-supplied information, formulations or materials, or otherwise due to improper storage, transport or other mishandling by COMPANY, COMPANY shall bear [***]percent ([***]%) of all costs directly related to and invoiced for such validation or batch of Rejected Product including the cost of destruction of the Rejected Product, which shall be conducted and managed by DPT. Upon the completion of all necessary validation batches in the event a Rejected Product fails to comply with the Specification due to DPT’s failure to comply with the applicable written procedures and such failure renders the Product unmarketable, DPT shall bear [***]percent ([***]%) of the Manufacturing Fees, costs of all materials used in manufacturing, including Company-supplied API, and costs of destruction. In the event Rejected Product fails to comply with the Specification, but such failure is not due to either COMPANY-supplied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 of 33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information, formulations or materials or otherwise due to improper storage, transport or other mishandling by COMPANY, the COMPANY shall bear the cost of destruction and all Materials Fees and DPT shall bear the Manufacturing Fees related to such Rejected Product. Destruction of Rejected Product shall be in accordance with all Applicable Laws.</w:t>
      </w:r>
    </w:p>
    <w:p>
      <w:pPr>
        <w:spacing w:after="0" w:line="13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4.4.4 </w:t>
      </w:r>
      <w:r>
        <w:rPr>
          <w:rFonts w:ascii="Arial" w:cs="Arial" w:eastAsia="Arial" w:hAnsi="Arial"/>
          <w:sz w:val="19"/>
          <w:szCs w:val="19"/>
          <w:u w:val="single" w:color="auto"/>
          <w:color w:val="auto"/>
        </w:rPr>
        <w:t>Resolution of Conflict</w:t>
      </w:r>
      <w:r>
        <w:rPr>
          <w:rFonts w:ascii="Arial" w:cs="Arial" w:eastAsia="Arial" w:hAnsi="Arial"/>
          <w:sz w:val="19"/>
          <w:szCs w:val="19"/>
          <w:color w:val="auto"/>
        </w:rPr>
        <w:t>. If DPT does not agree with COMPANY’s determination that the Product fails to conform to the Specifications, then DPT shall so notify COMPANY within [***] ([***]) days of receipt of COMPANY’s notice of non-conformity with respect to such Product and (if requested) Product sample. In the event of: (i) a conflict between the Parties with respect to the conclusions to be drawn from any test results or, (ii) a difference of opinion between the Parties regarding the rejection of any batch by DPT with respect to any shipment of Product in such batch, a sample of such Product batch shall be submitted by DPT to an independent testing organization, or to a consultant of recognized repute within the United States pharmaceutical industry, in either case mutually agreed upon by the Parties (such organization or consultant, the “</w:t>
      </w:r>
      <w:r>
        <w:rPr>
          <w:rFonts w:ascii="Arial" w:cs="Arial" w:eastAsia="Arial" w:hAnsi="Arial"/>
          <w:sz w:val="19"/>
          <w:szCs w:val="19"/>
          <w:b w:val="1"/>
          <w:bCs w:val="1"/>
          <w:color w:val="auto"/>
        </w:rPr>
        <w:t>Laboratory</w:t>
      </w:r>
      <w:r>
        <w:rPr>
          <w:rFonts w:ascii="Arial" w:cs="Arial" w:eastAsia="Arial" w:hAnsi="Arial"/>
          <w:sz w:val="19"/>
          <w:szCs w:val="19"/>
          <w:color w:val="auto"/>
        </w:rPr>
        <w:t xml:space="preserve">”), the appointment of which shall not be unreasonably withheld or delayed by either Party, for testing against the Specifications utilizing the methods set out in the Specifications. The determination of the Laboratory with respect to all or part of any shipment of Product shall be final and binding on the Parties. The fees and expenses of the Laboratory testing shall be borne entirely by the Party against whom such Laboratory’s findings are made. If results from the Laboratory are inconclusive, final resolution will be settled in accordance with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4.4.5 </w:t>
      </w:r>
      <w:r>
        <w:rPr>
          <w:rFonts w:ascii="Arial" w:cs="Arial" w:eastAsia="Arial" w:hAnsi="Arial"/>
          <w:sz w:val="19"/>
          <w:szCs w:val="19"/>
          <w:u w:val="single" w:color="auto"/>
          <w:color w:val="auto"/>
        </w:rPr>
        <w:t>Product Recall</w:t>
      </w:r>
      <w:r>
        <w:rPr>
          <w:rFonts w:ascii="Arial" w:cs="Arial" w:eastAsia="Arial" w:hAnsi="Arial"/>
          <w:sz w:val="19"/>
          <w:szCs w:val="19"/>
          <w:color w:val="auto"/>
        </w:rPr>
        <w:t>. Each of DPT and COMPANY will immediately inform the other in writing if it believes one or more lots of any Product(s) should be subject to recall from distribution, withdrawal or some other field action. In the event it is determined that such a recall resulted from a breach by either Party of any of its representations, warranties, duties or obligations under the Agreement, such Party shall be responsible for the costs of the recall and shall reimburse the other Party as necessary; provided that if both Parties share responsibility with respect to such recall, the costs shall be shared in the ratio of the Parties’ contributory responsibility. COMPANY shall, with respect to any recall of any Product, abide by all Healthcare Distribution Management Association published guidelines for product recall reimbursement in effect at the time of the recall. In the event that any such recall results solely from the breach of DPT’s warranties under this Agreement, DPT shall be responsible for the Administrative Expenses of such recall, in any case not to exceed [***] U.S. dollars ($[***] USD) per Product recall incident, as well as for the cost of replacing the recalled Product.</w:t>
      </w:r>
    </w:p>
    <w:p>
      <w:pPr>
        <w:spacing w:after="0" w:line="15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3040"/>
        <w:spacing w:after="0"/>
        <w:rPr>
          <w:sz w:val="20"/>
          <w:szCs w:val="20"/>
          <w:color w:val="auto"/>
        </w:rPr>
      </w:pPr>
      <w:r>
        <w:rPr>
          <w:rFonts w:ascii="Arial" w:cs="Arial" w:eastAsia="Arial" w:hAnsi="Arial"/>
          <w:sz w:val="22"/>
          <w:szCs w:val="22"/>
          <w:b w:val="1"/>
          <w:bCs w:val="1"/>
          <w:u w:val="single" w:color="auto"/>
          <w:color w:val="auto"/>
        </w:rPr>
        <w:t>REGULATORY AND QUALITY RESPONSIBILITIES</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5.1 Materials Testing</w:t>
      </w:r>
      <w:r>
        <w:rPr>
          <w:rFonts w:ascii="Arial" w:cs="Arial" w:eastAsia="Arial" w:hAnsi="Arial"/>
          <w:sz w:val="22"/>
          <w:szCs w:val="22"/>
          <w:color w:val="auto"/>
        </w:rPr>
        <w:t>. For each lot of materials supplied by COMPANY, DPT shall perform the quality control and</w:t>
      </w:r>
      <w:r>
        <w:rPr>
          <w:rFonts w:ascii="Arial" w:cs="Arial" w:eastAsia="Arial" w:hAnsi="Arial"/>
          <w:sz w:val="22"/>
          <w:szCs w:val="22"/>
          <w:b w:val="1"/>
          <w:bCs w:val="1"/>
          <w:color w:val="auto"/>
        </w:rPr>
        <w:t xml:space="preserve"> </w:t>
      </w:r>
      <w:r>
        <w:rPr>
          <w:rFonts w:ascii="Arial" w:cs="Arial" w:eastAsia="Arial" w:hAnsi="Arial"/>
          <w:sz w:val="22"/>
          <w:szCs w:val="22"/>
          <w:color w:val="auto"/>
        </w:rPr>
        <w:t>inspection tests as set forth in the Specifications unless COMPANY has made arrangements in writing to supply pre-approved material. All materials and Packaging supplies shall, when received by DPT, be submitted for analysis and evaluation in accordance with DPT’s SOPs to determine whether or not said materials or Packaging supplies meet the Specifications. DPT shall have the right to reject any pre-approved material which does not conform with the Specifications. The cost of all such analyses and evaluations shall be 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 of 33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by DPT except as otherwise provided in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this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DPT agrees to maintain and, if necessary, make available records of all such analyses and evaluations.</w:t>
      </w:r>
    </w:p>
    <w:p>
      <w:pPr>
        <w:spacing w:after="0" w:line="16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5.2 Safety Data Sheets </w:t>
      </w:r>
      <w:r>
        <w:rPr>
          <w:rFonts w:ascii="Arial" w:cs="Arial" w:eastAsia="Arial" w:hAnsi="Arial"/>
          <w:sz w:val="19"/>
          <w:szCs w:val="19"/>
          <w:color w:val="auto"/>
        </w:rPr>
        <w:t>. Prior to DPT’s receipt and testing of any materials components or finished Product, and as a</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 precedent of any testing or formulation work by DPT pursuant to this Agreement, COMPANY shall provide DPT with Certificates of Analysis and SDS for any materials supplied by COMPANY, as well as any finished Product and any components to be supplied by COMPANY which are necessary for the manufacture of each Product. Any materials, components or Product requiring disposal shall be presumed hazardous unless otherwise provided in the SDS information provided.</w:t>
      </w:r>
    </w:p>
    <w:p>
      <w:pPr>
        <w:spacing w:after="0" w:line="14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5.3 Regulatory Inspection</w:t>
      </w:r>
      <w:r>
        <w:rPr>
          <w:rFonts w:ascii="Arial" w:cs="Arial" w:eastAsia="Arial" w:hAnsi="Arial"/>
          <w:sz w:val="22"/>
          <w:szCs w:val="22"/>
          <w:color w:val="auto"/>
        </w:rPr>
        <w:t>. DPT shall notify COMPANY, in accordance with the Quality Agreement , if an</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agent of the FDA, EMA or other Regulatory Authority or Governmental Authority visits DPT’s manufacturing facility and requests or requires information or changes which specifically pertain to COMPANY Product. Any time spent on Regulatory Authority or Governmental Authority visits or requests specific to COMPANY Products will be billed to COMPANY by DPT at DPT’s standard hourly rates.</w:t>
      </w:r>
    </w:p>
    <w:p>
      <w:pPr>
        <w:spacing w:after="0" w:line="18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1"/>
          <w:szCs w:val="21"/>
          <w:b w:val="1"/>
          <w:bCs w:val="1"/>
          <w:color w:val="auto"/>
        </w:rPr>
        <w:t>5.4 Regulatory Communications &amp; Filings</w:t>
      </w:r>
      <w:r>
        <w:rPr>
          <w:rFonts w:ascii="Arial" w:cs="Arial" w:eastAsia="Arial" w:hAnsi="Arial"/>
          <w:sz w:val="21"/>
          <w:szCs w:val="21"/>
          <w:color w:val="auto"/>
        </w:rPr>
        <w:t>. COMPANY agrees to provide DPT with copies of any sections of</w:t>
      </w:r>
      <w:r>
        <w:rPr>
          <w:rFonts w:ascii="Arial" w:cs="Arial" w:eastAsia="Arial" w:hAnsi="Arial"/>
          <w:sz w:val="21"/>
          <w:szCs w:val="21"/>
          <w:b w:val="1"/>
          <w:bCs w:val="1"/>
          <w:color w:val="auto"/>
        </w:rPr>
        <w:t xml:space="preserve"> </w:t>
      </w:r>
      <w:r>
        <w:rPr>
          <w:rFonts w:ascii="Arial" w:cs="Arial" w:eastAsia="Arial" w:hAnsi="Arial"/>
          <w:sz w:val="21"/>
          <w:szCs w:val="21"/>
          <w:color w:val="auto"/>
        </w:rPr>
        <w:t>NDA’s, or other regulatory filings and Regulatory Authority correspondence applicable to each Product manufactured or tested by DPT, and copies of any changes in or updates to the same as they, from time to time, hereafter occur.</w:t>
      </w:r>
    </w:p>
    <w:p>
      <w:pPr>
        <w:spacing w:after="0" w:line="1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5.5 Access to DPT’s Facilities</w:t>
      </w:r>
      <w:r>
        <w:rPr>
          <w:rFonts w:ascii="Arial" w:cs="Arial" w:eastAsia="Arial" w:hAnsi="Arial"/>
          <w:sz w:val="21"/>
          <w:szCs w:val="21"/>
          <w:color w:val="auto"/>
        </w:rPr>
        <w:t>. During the Term, COMPANY shall have access to DPT’s facilities at a mutually</w:t>
      </w:r>
      <w:r>
        <w:rPr>
          <w:rFonts w:ascii="Arial" w:cs="Arial" w:eastAsia="Arial" w:hAnsi="Arial"/>
          <w:sz w:val="21"/>
          <w:szCs w:val="21"/>
          <w:b w:val="1"/>
          <w:bCs w:val="1"/>
          <w:color w:val="auto"/>
        </w:rPr>
        <w:t xml:space="preserve"> </w:t>
      </w:r>
      <w:r>
        <w:rPr>
          <w:rFonts w:ascii="Arial" w:cs="Arial" w:eastAsia="Arial" w:hAnsi="Arial"/>
          <w:sz w:val="21"/>
          <w:szCs w:val="21"/>
          <w:color w:val="auto"/>
        </w:rPr>
        <w:t>agreeable time for the sole purpose of auditing DPT’s compliance with cGMP and the Act in the manufacture of Products hereunder. Such access shall in no way give COMPANY the right to any of DPT’s confidential or proprietary information. Furthermore, such audits shall normally be limited in frequency to [***] every [***] ([***]) months for [***] ([***]) days and limited to a maximum number of [***] ([***]) employees of COMPANY who are subject to written obligations of confidentiality and non-use at least as protective of DPT and DPT’s Confidential Information as the terms of this Agreement. COMPANY has the right to conduct additional audits on a “for cause” basis. COMPANY shall be permitted to have one of its employees or consultants on site for the purpose of observing, reporting on and consulting as to the performance of the services associated with manufacture of Products hereunder. Timing of such site visits shall be mutually agreed upon by COMPANY and DPT. Such employee or consultant shall be subject to and agree to abide by confidentiality obligations and DPT’s standard operating procedures for visitors.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CHANGES TO PROCESS OR PRODUCT</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6.1 Changes by COMPANY</w:t>
      </w:r>
      <w:r>
        <w:rPr>
          <w:rFonts w:ascii="Arial" w:cs="Arial" w:eastAsia="Arial" w:hAnsi="Arial"/>
          <w:sz w:val="22"/>
          <w:szCs w:val="22"/>
          <w:color w:val="auto"/>
        </w:rPr>
        <w:t>. If COMPANY at any time requests a change to any Product and DPT agrees such</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is reasonable with regard to Product manufacture; (i) such change shall be incorporated within the Master Batch Record or Specifications via a written CCR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 of 33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reviewed and agreed upon in writing by both DPT and COMPANY; (ii) the Parties shall adjust the Total Price of Product, if necessary, and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shall be amended accordingly; and (iii) COMPANY shall pay DPT for the costs associated with such change including, but not limited to, any additional development or validation studies required, charged at DPT’s then-prevailing R&amp;D rates.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6.2 Changes by DPT</w:t>
      </w:r>
      <w:r>
        <w:rPr>
          <w:rFonts w:ascii="Arial" w:cs="Arial" w:eastAsia="Arial" w:hAnsi="Arial"/>
          <w:sz w:val="21"/>
          <w:szCs w:val="21"/>
          <w:color w:val="auto"/>
        </w:rPr>
        <w:t>. DPT agrees that any changes to the Product developed by DPT, which may be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into the Product shall require the written approval of COMPANY via a CCR prior to such incorporation. At the time of such incorporation, such changes shall become part of the Specifications. It is also agreed that any filings with any Regulatory Authority necessitated by any such change shall be the sole responsibility of COMPANY.</w:t>
      </w:r>
    </w:p>
    <w:p>
      <w:pPr>
        <w:spacing w:after="0" w:line="16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6.3 Changes or Fees by Regulatory Authorities</w:t>
      </w:r>
      <w:r>
        <w:rPr>
          <w:rFonts w:ascii="Arial" w:cs="Arial" w:eastAsia="Arial" w:hAnsi="Arial"/>
          <w:sz w:val="21"/>
          <w:szCs w:val="21"/>
          <w:color w:val="auto"/>
        </w:rPr>
        <w:t>. The Parties agree that any changes required by a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Authority, shall be incorporated into the Product as evidenced by the written approval of COMPANY via a CCR prior to such incorporation. Any actual or potential additional Product costs, fees or expenses, including but not limited to items such as regulatory user fees, serialization fees or similar such items shall be the sole responsibility of COMPANY. At the time of such incorporation, such changes shall become part of the Specifications. If DPT is required by Regulatory Authority to perform validation studies for purposes of validating new manufacturing process or cleaning procedures or new material and finished Product assay procedures with respect to Product in order to continue to engage in the manufacture of said Product for COMPANY, such studies shall be agreed to by the Parties and set forth in a new Project Protocol. In the event the Parties are unable to reach agreement with respect to such Project Protocol, then DPT shall be under no obligation to perform such studies or otherwise continue the manufacture of the Product affected by said regulation. Any costs to DPT resulting from the operation of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shall be reimbursed by COMPANY by way of adjustments to the Manufacturing Fee, Materials Fee or via an annual charge.</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6.4 Obsolete Inventory</w:t>
      </w:r>
      <w:r>
        <w:rPr>
          <w:rFonts w:ascii="Arial" w:cs="Arial" w:eastAsia="Arial" w:hAnsi="Arial"/>
          <w:sz w:val="21"/>
          <w:szCs w:val="21"/>
          <w:color w:val="auto"/>
        </w:rPr>
        <w:t>. Any COMPANY-specific inventory relating to a Product or Development Product (as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below), including, but not limited to, materials, expired materials, work-in-process, bulk Development Product, waste by-products, testing supplies, stability samples, work-in-process, and any Product or finished good rendered obsolete as a result of formula, artwork, Minimum Order Quantities, or Labeling or Packaging changes requested by COMPANY or by changes required by a Regulatory Authority, or at the conclusion, revision or termination of the development project shall be reimbursed to DPT by COMPANY at DPT’s Materials Fee and unless otherwise instructed by COMPANY and agreed to by DPT, will be shipped to COMPANY for destruction by COMPANY. COMPANY shall bear [***] percent ([***]%) of all shipping and destruction costs related to said obsolete inventory. COMPANY shall destroy any such inventory in accordance with all Applicable Laws and COMPANY shall Indemnify (as hereinafter defined) DPT for any liability, costs or expenses, including attorney’s fees and court costs, relating to COMPANY’s failure to dispose of such inventory in accordance with such laws and regulations. COMPANY shall also provide DPT with all manifests and other applicable evidence of proper destruction as may be requested by DPT or required by applicable law. DPT shall provide written notification to COMPANY of its intent to dispose of or store obsolete inventory. If DPT does not receive disposition instructions from COMPANY within [***] ([***]) days from date of notification,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 of 33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inventory remaining at DPT’s facilities shall be subject to a deposit covering the standard cost of the obsolete inventory and storage and or destruction fees at DPT’s discretion.</w:t>
      </w:r>
    </w:p>
    <w:p>
      <w:pPr>
        <w:spacing w:after="0" w:line="16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22"/>
          <w:szCs w:val="22"/>
          <w:b w:val="1"/>
          <w:bCs w:val="1"/>
          <w:u w:val="single" w:color="auto"/>
          <w:color w:val="auto"/>
        </w:rPr>
        <w:t>TECHNICAL &amp; DEVELOPMENT SERVICES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Technical &amp; Development Services</w:t>
      </w:r>
    </w:p>
    <w:p>
      <w:pPr>
        <w:spacing w:after="0" w:line="21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Development Product</w:t>
      </w:r>
      <w:r>
        <w:rPr>
          <w:rFonts w:ascii="Arial" w:cs="Arial" w:eastAsia="Arial" w:hAnsi="Arial"/>
          <w:sz w:val="21"/>
          <w:szCs w:val="21"/>
          <w:color w:val="auto"/>
        </w:rPr>
        <w:t>. From time to time, COMPANY may request, in writing, that DPT evaluate, develop, manufacture, test or provide price quotations for certain new items which may become Product (hereinafter referred to as “</w:t>
      </w:r>
      <w:r>
        <w:rPr>
          <w:rFonts w:ascii="Arial" w:cs="Arial" w:eastAsia="Arial" w:hAnsi="Arial"/>
          <w:sz w:val="21"/>
          <w:szCs w:val="21"/>
          <w:b w:val="1"/>
          <w:bCs w:val="1"/>
          <w:color w:val="auto"/>
        </w:rPr>
        <w:t>Development Product</w:t>
      </w:r>
      <w:r>
        <w:rPr>
          <w:rFonts w:ascii="Arial" w:cs="Arial" w:eastAsia="Arial" w:hAnsi="Arial"/>
          <w:sz w:val="21"/>
          <w:szCs w:val="21"/>
          <w:color w:val="auto"/>
        </w:rPr>
        <w:t>”) on behalf of COMPANY. If DPT agrees to perform such services, DPT shall so notify COMPANY within [***] ([***]) days of its receipt of COMPANY’s. To the extent that DPT agrees to perform any services hereunder for COMPANY, DPT shall only be obligated to act in good faith and to use reasonable efforts to accomplish the desired results as outlined in the relevant Project Protocol. Nothing herein shall obligate DPT to achieve any specific results and DPT makes no warranties or representations that it will be able to achieve the desired results.</w:t>
      </w:r>
    </w:p>
    <w:p>
      <w:pPr>
        <w:spacing w:after="0" w:line="1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Project Protocol</w:t>
      </w:r>
      <w:r>
        <w:rPr>
          <w:rFonts w:ascii="Arial" w:cs="Arial" w:eastAsia="Arial" w:hAnsi="Arial"/>
          <w:sz w:val="21"/>
          <w:szCs w:val="21"/>
          <w:color w:val="auto"/>
        </w:rPr>
        <w:t>. Should DPT agree to perform any services hereunder, DPT shall submit a written development proposal in the form of a Project Protocol to COMPANY identifying DPT’s best estimate of the cost of such services (the “</w:t>
      </w:r>
      <w:r>
        <w:rPr>
          <w:rFonts w:ascii="Arial" w:cs="Arial" w:eastAsia="Arial" w:hAnsi="Arial"/>
          <w:sz w:val="21"/>
          <w:szCs w:val="21"/>
          <w:b w:val="1"/>
          <w:bCs w:val="1"/>
          <w:color w:val="auto"/>
        </w:rPr>
        <w:t>Development Costs</w:t>
      </w:r>
      <w:r>
        <w:rPr>
          <w:rFonts w:ascii="Arial" w:cs="Arial" w:eastAsia="Arial" w:hAnsi="Arial"/>
          <w:sz w:val="21"/>
          <w:szCs w:val="21"/>
          <w:color w:val="auto"/>
        </w:rPr>
        <w:t>”). This estimate shall include, but not be limited to, labor hours for development, testing, scale up, stability, report writing, etc., as well as all reasonably foreseeable associated tasks and expenses. If this estimate is acceptable to COMPANY and COMPANY so notifies DPT by approving the Project Protocol in writing, DPT shall begin work as outlined in the Project Protocol. It is understood between both Parties that during any development project unforeseen circumstances may evolve, including, but not limited to, termination of any further activity due to unacceptable results, significant reevaluation due to marginal results. DPT will promptly notify COMPANY of any such unforeseen circumstances before proceeding at which time either COMPANY or DPT may terminate the project or mutually agree to amend or completely revise the Project Protocol. In the case where the project is terminated or revised, COMPANY will be obligated to pay for all of the work performed by DPT up to that point plus any noncancellable expenses incurred by DPT in connection with the relevant Project Protocol.</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Costs</w:t>
      </w:r>
      <w:r>
        <w:rPr>
          <w:rFonts w:ascii="Arial" w:cs="Arial" w:eastAsia="Arial" w:hAnsi="Arial"/>
          <w:sz w:val="22"/>
          <w:szCs w:val="22"/>
          <w:color w:val="auto"/>
        </w:rPr>
        <w:t xml:space="preserve">. Material costs involved will be billed to COMPANY at DPT’s cost plus mark-up of [***] ([***]%) for administration and carrying costs. The Development Costs shall be paid to DPT in accordance with DPT’s standard invoicing procedures regardless of whether DPT is able to accomplish the results which COMPANY requested. All invoices shall be paid by COMPANY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above.</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7.2 Commercial Production of Development Project</w:t>
      </w:r>
      <w:r>
        <w:rPr>
          <w:rFonts w:ascii="Arial" w:cs="Arial" w:eastAsia="Arial" w:hAnsi="Arial"/>
          <w:sz w:val="22"/>
          <w:szCs w:val="22"/>
          <w:color w:val="auto"/>
        </w:rPr>
        <w:t>. In addition to the foregoing, in the event DPT develops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new Development Product for COMPANY and COMPANY elects to market, sale, license, or transfer such Product, such Product may be added to this Agreement and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shall be amended accordingly. At or near the beginning of any development project, DPT agrees to send to COMPANY a written proposal which will provide a good faith estimate of Manufacturing Fees and Materials Fees along with related assumptions. The price which COMPANY (or any such Third Party) shall pay to DPT for such Product shall be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19 of 33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upon the Manufacturing Fee and Material Fee estimate provided in good faith by DPT under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subject to revision for final packaging configuration and final cost and Manufacturing Fee and Material Fee adjustment pursuant to </w:t>
      </w:r>
      <w:r>
        <w:rPr>
          <w:rFonts w:ascii="Arial" w:cs="Arial" w:eastAsia="Arial" w:hAnsi="Arial"/>
          <w:sz w:val="19"/>
          <w:szCs w:val="19"/>
          <w:u w:val="single" w:color="auto"/>
          <w:color w:val="auto"/>
        </w:rPr>
        <w:t>Article 3</w:t>
      </w:r>
      <w:r>
        <w:rPr>
          <w:rFonts w:ascii="Arial" w:cs="Arial" w:eastAsia="Arial" w:hAnsi="Arial"/>
          <w:sz w:val="19"/>
          <w:szCs w:val="19"/>
          <w:color w:val="auto"/>
        </w:rPr>
        <w:t>. Once COMPANY completes the development of a finished product prototype (which shall include final primary container selection filled with Development Product), DPT will provide an updated estimate of the Manufacturing Fee. DPT may also provide an updated estimate of the Materials Fee, should specifications be known for these items at such time.</w:t>
      </w:r>
    </w:p>
    <w:p>
      <w:pPr>
        <w:spacing w:after="0" w:line="141"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8.1 No Licenses</w:t>
      </w:r>
      <w:r>
        <w:rPr>
          <w:rFonts w:ascii="Arial" w:cs="Arial" w:eastAsia="Arial" w:hAnsi="Arial"/>
          <w:sz w:val="22"/>
          <w:szCs w:val="22"/>
          <w:color w:val="auto"/>
        </w:rPr>
        <w:t>. COMPANY neither transfers nor licenses DPT by operation of this Agreement under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rights, copyrights or other proprietary rights, except as specifically set forth in this Agreement.</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8.2 Ownership of Inventions </w:t>
      </w:r>
      <w:r>
        <w:rPr>
          <w:rFonts w:ascii="Arial" w:cs="Arial" w:eastAsia="Arial" w:hAnsi="Arial"/>
          <w:sz w:val="19"/>
          <w:szCs w:val="19"/>
          <w:color w:val="auto"/>
        </w:rPr>
        <w:t>. All DPT Intellectual Property shall remain the sole and exclusive property of DPT.</w:t>
      </w:r>
      <w:r>
        <w:rPr>
          <w:rFonts w:ascii="Arial" w:cs="Arial" w:eastAsia="Arial" w:hAnsi="Arial"/>
          <w:sz w:val="19"/>
          <w:szCs w:val="19"/>
          <w:b w:val="1"/>
          <w:bCs w:val="1"/>
          <w:color w:val="auto"/>
        </w:rPr>
        <w:t xml:space="preserve"> </w:t>
      </w:r>
      <w:r>
        <w:rPr>
          <w:rFonts w:ascii="Arial" w:cs="Arial" w:eastAsia="Arial" w:hAnsi="Arial"/>
          <w:sz w:val="19"/>
          <w:szCs w:val="19"/>
          <w:color w:val="auto"/>
        </w:rPr>
        <w:t>“DPT Intellectual Property” means any Technology (defined below) consisting of DPT manufacturing or laboratory testing processes, procedures, information or methods (whether or not created, developed or produced pursuant to the Agreement) to the extent (i) such Technology is generally applicable to DPT’s business and is not related solely to COMPANY’s Product and (ii) the practice of such Technology does not require any use of COMPANY Confidential Information. “Technology” means any (i) invention (whether or not patentable), ideas, know-how, works of authorship, modifications, technology, materials, software, formulations, techniques, developments, ideas, concepts, discoveries, designs, algorithms, models, formulations, improvements, protocols, data and proprietary information; and (ii) patents, copyrights, trademarks, service marks, trade secrets, or other intellectual property rights in and/or to the foregoing. Except for DPT Intellectual Property, all Technology developed or generated pursuant to this Agreement in the course of performing services required of DPT to manufacture and Package each Product or through the use of any information or materials provided by COMPANY hereunder, including without limitation new formulations, uses, processes or compositions, and all intellectual property rights in and to the foregoing, (collectively, “Project IP”) shall be the exclusive property of COMPANY and DPT hereby assigns all right, title and interest in and to the foregoing to COMPANY. DPT agrees to assist COMPANY in securing for COMPANY any patents, copyrights or other proprietary rights in such Project IP, and to perform all acts that may be reasonably required to vest in COMPANY all right, title and interest in such Project IP and DPT shall be compensated at its standard rates for such time of DPT employees spent and reimbursed for its reasonable out-of-pocket expenses to provide such assistance requested by COMPANY. All costs and expenses associated with establishing COMPANY’s rights therein shall be COMPANY’s responsibility, and additionally, if such activities exceed what is customary and reasonable for such activities, DPT may require fees equal to its standard rates for such time of DPT employees spent and reimbursement for its reasonable out-of-pocket expenses for such activities requested by COMPANY.</w:t>
      </w:r>
    </w:p>
    <w:p>
      <w:pPr>
        <w:spacing w:after="0" w:line="16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8.3 Licenses to COMPANY </w:t>
      </w:r>
      <w:r>
        <w:rPr>
          <w:rFonts w:ascii="Arial" w:cs="Arial" w:eastAsia="Arial" w:hAnsi="Arial"/>
          <w:sz w:val="19"/>
          <w:szCs w:val="19"/>
          <w:color w:val="auto"/>
        </w:rPr>
        <w:t>. DPT agrees that if, in the course of performing the services required of DPT to</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and Package each Product, DPT incorporates into any Project IP or Product or utilizes in the performance of the services required of DPT to manufacture and Package each Product any pre-existing invention, discovery, original works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20 of 33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authorship, development, improvements, trade secret, concept, or other proprietary information or intellectual property right owned by DPT or in which DPT has an interest (“Prior Inventions”), DPT hereby grants COMPANY a non-exclusive, royalty-free, perpetual, transferable, worldwide license (with the right to grant and authorize sublicenses) under such Prior Inventions to make, have made, use, import, offer for sale, sell, reproduce, distribute, modify, adapt, prepare derivative works of, display, perform, and otherwise exploit the Project IP and Product. DPT will not knowingly incorporate any invention, improvement, development, concept, discovery, work of authorship or other proprietary information owned by any third party into any Project IP or Product without COMPANY’s prior written permission.</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DPT Warranties and Representations</w:t>
      </w:r>
      <w:r>
        <w:rPr>
          <w:rFonts w:ascii="Arial" w:cs="Arial" w:eastAsia="Arial" w:hAnsi="Arial"/>
          <w:sz w:val="19"/>
          <w:szCs w:val="19"/>
          <w:color w:val="auto"/>
        </w:rPr>
        <w:t>. DPT represents and warrants the following:</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DPT is a limited partnership duly organized, validly existing and in good standing under the laws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State of Texas.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9.1.2 DPT has all requisite power and authority to enter into this Agreement. The Person signing this Agreement has the necessary corporate authority to legally bind DPT to the terms set forth herein.</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9.1.3 DPT’s execution of this Agreement and performance of the terms set forth herein will not cause DPT to be in conflict with or constitute a breach of its organizational documents nor any other agreement, court order, consent decree or other arrangement, whether written or oral, by which it is bound.</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9.1.4 This Agreement is a legal, valid and binding obligation, enforceable against DPT in accordance with the terms and conditions hereof, except as such enforceability may be limited by applicable bankruptcy, insolvency, reorganization, moratorium or similar laws affecting creditors’ rights generally or by the principles governing the availability of equitable remedies.</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9.1.5 DPT will provide COMPANY with prompt written notice if any of the representations and warranties in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become untrue.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COMPANY Warranties and Representations</w:t>
      </w:r>
      <w:r>
        <w:rPr>
          <w:rFonts w:ascii="Arial" w:cs="Arial" w:eastAsia="Arial" w:hAnsi="Arial"/>
          <w:sz w:val="19"/>
          <w:szCs w:val="19"/>
          <w:color w:val="auto"/>
        </w:rPr>
        <w:t>. COMPANY represents and warrants the following:</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COMPANY is a corporation duly organized, validly existing and in good standing under the laws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9.2.2 COMPANY has all requisite power and authority to enter into this Agreement. The Person signing this Agreement has the necessary corporate authority to legally bind COMPANY to the terms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21 of 33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1"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9.2.3 COMPANY’s execution of this Agreement and performance of the terms set forth herein will not cause COMPANY to be in conflict with or constitute a breach of its organizational documents nor any other agreement, court order, consent decree or other arrangement, whether written or oral, by which it is bound.</w:t>
      </w:r>
    </w:p>
    <w:p>
      <w:pPr>
        <w:spacing w:after="0" w:line="186"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9.2.4 To COMPANY’s knowledge and belief, there are no suits, actions, claims, proceedings, or investigations pending or threatened by or before any court, by any Person relating to Product and matters set forth herein.</w:t>
      </w:r>
    </w:p>
    <w:p>
      <w:pPr>
        <w:spacing w:after="0" w:line="10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9.2.5 COMPANY’s execution of this Agreement and performance hereunder are in, and will be in, compliance with any Applicable Law in all material respects.</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9.2.6 This Agreement is a legal, valid and binding obligation, enforceable against COMPANY in accordance with the terms and conditions hereof, except as such enforceability may be limited by applicable bankruptcy, insolvency, reorganization, moratorium or similar laws affecting creditors’ rights generally or by the principles governing the availability of equitable remedies.</w:t>
      </w:r>
    </w:p>
    <w:p>
      <w:pPr>
        <w:spacing w:after="0" w:line="18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9.2.7 COMPANY shall bear sole responsibility for all material supplied by COMPANY to DPT, including the pre-approved material and the validity of all test methods and appropriateness of all Specifications. In addition, COMPANY shall bear sole responsibility for all regulatory approvals, filings, and registrations and adequacy of all validation, stability, and preservative efficacy studies. COMPANY further warrants that it has obtained any and all necessary approvals from all applicable Regulatory Authorities necessary to manufacture and distribute all Product under this Agreement.</w:t>
      </w:r>
    </w:p>
    <w:p>
      <w:pPr>
        <w:spacing w:after="0" w:line="14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9.2.8 As of the Effective Date, there are no claims, judgments or settlements against or owed by COMPANY or its Affiliates, or pending or threatened claims or litigation, relating to API, Products, Packaging and Labeling or any Company-supplied materials.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9.2.9 COMPANY will provide DPT with prompt written notice if any of the representations and warranties in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become untrue.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Anti-Corruption</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9.3.1 Each Party understands that the other is required to and does abide by the United States Foreign Corrupt Practices Act, the United Kingdom Bribery Act and any other applicable anti-corruption laws (collectively, the “</w:t>
      </w:r>
      <w:r>
        <w:rPr>
          <w:rFonts w:ascii="Arial" w:cs="Arial" w:eastAsia="Arial" w:hAnsi="Arial"/>
          <w:sz w:val="19"/>
          <w:szCs w:val="19"/>
          <w:b w:val="1"/>
          <w:bCs w:val="1"/>
          <w:color w:val="auto"/>
        </w:rPr>
        <w:t>Anti-Corruption Laws</w:t>
      </w:r>
      <w:r>
        <w:rPr>
          <w:rFonts w:ascii="Arial" w:cs="Arial" w:eastAsia="Arial" w:hAnsi="Arial"/>
          <w:sz w:val="19"/>
          <w:szCs w:val="19"/>
          <w:color w:val="auto"/>
        </w:rPr>
        <w:t>”). Each Party represents and warrants to the other that no one acting on its behalf will give, offer, agree or</w:t>
      </w:r>
      <w:r>
        <w:rPr>
          <w:rFonts w:ascii="Arial" w:cs="Arial" w:eastAsia="Arial" w:hAnsi="Arial"/>
          <w:sz w:val="19"/>
          <w:szCs w:val="19"/>
          <w:b w:val="1"/>
          <w:bCs w:val="1"/>
          <w:color w:val="auto"/>
        </w:rPr>
        <w:t xml:space="preserve"> </w:t>
      </w:r>
      <w:r>
        <w:rPr>
          <w:rFonts w:ascii="Arial" w:cs="Arial" w:eastAsia="Arial" w:hAnsi="Arial"/>
          <w:sz w:val="19"/>
          <w:szCs w:val="19"/>
          <w:color w:val="auto"/>
        </w:rPr>
        <w:t>promise to give, or authorize the giving directly or indirectly, of any money or thing of value to anyone as an inducement or reward or favorable action or forbearance from action or the exercise of influence (a) to any governmental official or employee (including employees of government-owned and government-controlled corporations or agencies), (b) to any political party, official of a political party, or candidate, (c) to an intermediary for payment to any of the foregoing, or (d) to any other Person in a corrupt or improper effort to obtain or retain business or any commercial advantage, such as receiving a permit or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22 of 33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9.3.2 COMPANY understands that DPT may immediately suspend its manufacture and supply of Product, in its sole discretion and without notice, if the actions or inactions of COMPANY become subject to an investigation of potential violations of the Anti-Corruption Laws. Moreover, each Party understands and agrees that if a party determines that the other party failed to comply with the provisions of any Applicable Law, including the Anti-Corruption Laws, such party may immediately terminate this Agreement, and any of its manufacture and supply obligations hereunder, in its sole discretion and without notice.</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9.3.3 Each Party warrants that all Persons acting on its behalf will comply with all Applicable Laws in connection with all work under this Agreement, including the Anti-Corruption Laws if any, prevailing in the country(ies) in which such Party has its principal places of business.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9.3.4 Each Party further warrants and represents that should it learn or have reason to suspect any breach of any representation or warranty in this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it will immediately notify the other Party.</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9.3.5 Each Party may appoint a certified public accounting firm to perform a financial audit to determine whether the other Party is in compliance with the terms of this </w:t>
      </w:r>
      <w:r>
        <w:rPr>
          <w:rFonts w:ascii="Arial" w:cs="Arial" w:eastAsia="Arial" w:hAnsi="Arial"/>
          <w:sz w:val="22"/>
          <w:szCs w:val="22"/>
          <w:u w:val="single" w:color="auto"/>
          <w:color w:val="auto"/>
        </w:rPr>
        <w:t>Section 9.3</w:t>
      </w:r>
      <w:r>
        <w:rPr>
          <w:rFonts w:ascii="Arial" w:cs="Arial" w:eastAsia="Arial" w:hAnsi="Arial"/>
          <w:sz w:val="22"/>
          <w:szCs w:val="22"/>
          <w:color w:val="auto"/>
        </w:rPr>
        <w:t>. Each Party hereby agrees to grant the certified public accounting firm commercially reasonable access to its books, records, systems and accounts to the extent they pertain to transactions covered by this Agreement and are necessary for such purpose.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Trade Control Laws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9.4.1 Each Party will fully comply with all applicable export control, economic sanctions laws and anti-boycott regulations of the United States of America and other governments, including the U.S. Export Administration Regulations (Title 15 of the U.S. Code of Federal Regulations Part 730 et seq.) and the economic sanctions rules and regulations implemented under statutory authority or President’s Executive Orders and administered by the U.S. Treasury Department’s Office of Foreign Assets Control (Title 31 of the U.S. Code of Federal Regulations Part 500 et seq.) (collectively, “</w:t>
      </w:r>
      <w:r>
        <w:rPr>
          <w:rFonts w:ascii="Arial" w:cs="Arial" w:eastAsia="Arial" w:hAnsi="Arial"/>
          <w:sz w:val="19"/>
          <w:szCs w:val="19"/>
          <w:b w:val="1"/>
          <w:bCs w:val="1"/>
          <w:color w:val="auto"/>
        </w:rPr>
        <w:t>Trade Control Laws</w:t>
      </w:r>
      <w:r>
        <w:rPr>
          <w:rFonts w:ascii="Arial" w:cs="Arial" w:eastAsia="Arial" w:hAnsi="Arial"/>
          <w:sz w:val="19"/>
          <w:szCs w:val="19"/>
          <w:color w:val="auto"/>
        </w:rPr>
        <w:t>”).</w:t>
      </w:r>
    </w:p>
    <w:p>
      <w:pPr>
        <w:spacing w:after="0" w:line="147"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9.4.2 Each Party acknowledges and confirms that Trade Control Laws apply to its activities, its employees and Affiliates under this Agreement.</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9.4.3 COMPANY acknowledges that it shall be solely and exclusively responsible for the preparation of all import and export documentation and compliance with all applicable Trade Control Laws, except as otherwise agreed by the Parties in writing. COMPANY represents and warrants that is shall not take any unilateral action to identify or otherwise name DPT as the importer or exporter of record for any of the aforementioned items.</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9.4.4</w:t>
      </w:r>
      <w:r>
        <w:rPr>
          <w:sz w:val="20"/>
          <w:szCs w:val="20"/>
          <w:color w:val="auto"/>
        </w:rPr>
        <w:tab/>
      </w:r>
      <w:r>
        <w:rPr>
          <w:rFonts w:ascii="Arial" w:cs="Arial" w:eastAsia="Arial" w:hAnsi="Arial"/>
          <w:sz w:val="19"/>
          <w:szCs w:val="19"/>
          <w:color w:val="auto"/>
        </w:rPr>
        <w:t>No Product will be directly or indirectly shipped by the other Party to any country subject to U.S. or U.N.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economic sanctions without the necessary licenses.</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9.4.5 DPT shall not be required by the terms of this Agreement to be directly or indirectly involved in the provision of goods, services or technical data that may be prohibited by applicable Trade Control Laws if performed by DPT. It shall be in the sole discretion of DPT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23 of 33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refrain from being directly or indirectly involved in the provision of goods, services or technical data that may be prohibited by applicable Trade Control Laws.</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9.4.6 Each Party hereby represents and warrants that it is not included on any of the restricted party lists maintained by the U.S. Government, including the Specially Designated Nationals List administered by the U.S. Treasury Department’s Office of Foreign Assets Control; the Denied Persons List, Unverified List or Entity List maintained by the U.S. Commerce Department’s Bureau of Industry and Security; or the List of Statutorily Debarred Parties maintained by the U.S. State Department’s Directorate of Defense Trade Controls.</w:t>
      </w:r>
    </w:p>
    <w:p>
      <w:pPr>
        <w:spacing w:after="0" w:line="18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9.4.7 Each Party shall commit to maintaining awareness of the importance of Trade Control Laws throughout its organization. Each Party shall take such actions as are necessary and reasonable to prevent Product from being exported or re-exported to any country, entity or individual subject to U.S. trade sanctions, unless prior approval of the other Party, and relevant permission or license from the U.S. government has been obtained.</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9.4.8 Each Party will keep accurate and consistent records of all transactions under this Agreement covered by the Trade Control Laws for a minimum of five (5) years from the date of export or re-export; the date of expiration of any applicable license; or, other approval or reliance on any application of license exception or exemption.</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9.4.9 COMPANY shall be the importer or exporter of record for all such import or export activities. COMPANY shall cooperate with DPT as reasonably necessary to permit DPT to comply with the laws and regulations of the United States, including Trade Control Laws and Anti-Corruption Laws, and the laws and regulations other country relating to the control of import or export of Product, Active Pharmaceutical Ingredient, chemical, Labeling or Packaging components (or related technical information or data).</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DPT Product Warranties</w:t>
      </w:r>
      <w:r>
        <w:rPr>
          <w:rFonts w:ascii="Arial" w:cs="Arial" w:eastAsia="Arial" w:hAnsi="Arial"/>
          <w:sz w:val="19"/>
          <w:szCs w:val="19"/>
          <w:color w:val="auto"/>
        </w:rPr>
        <w:t>. DPT represents and warrants that:</w:t>
      </w:r>
    </w:p>
    <w:p>
      <w:pPr>
        <w:spacing w:after="0" w:line="21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9.5.1 All Product delivered by DPT shall have been manufactured by DPT in compliance with applicable FDA regulations and current Good Manufacturing Practices as that term is defined under the Act.</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9.5.2 All Product sold pursuant to this Agreement by DPT during the Term, at the time of pick-up by COMPANY, will have been manufactured in accordance with the Specifications for the release of the Product or pursuant to exceptions approved by COMPANY at the time of manufacture.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COMPANY Product Warranties</w:t>
      </w:r>
      <w:r>
        <w:rPr>
          <w:rFonts w:ascii="Arial" w:cs="Arial" w:eastAsia="Arial" w:hAnsi="Arial"/>
          <w:sz w:val="19"/>
          <w:szCs w:val="19"/>
          <w:color w:val="auto"/>
        </w:rPr>
        <w:t>. COMPANY represents and warrants that:</w:t>
      </w:r>
    </w:p>
    <w:p>
      <w:pPr>
        <w:spacing w:after="0" w:line="212"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9.6.1 All Labeling, copy and artwork approved, designated or supplied by COMPANY shall be in compliance with all Applicable Laws. Compliance with all Applicable Laws concerning Packaging and Labeling shall be the sole responsibility of COMPANY, provided that DPT purchases such Packaging and Labeling as provided in </w:t>
      </w:r>
      <w:r>
        <w:rPr>
          <w:rFonts w:ascii="Arial" w:cs="Arial" w:eastAsia="Arial" w:hAnsi="Arial"/>
          <w:sz w:val="19"/>
          <w:szCs w:val="19"/>
          <w:u w:val="single" w:color="auto"/>
          <w:color w:val="auto"/>
        </w:rPr>
        <w:t>Section 2.3.3</w:t>
      </w:r>
      <w:r>
        <w:rPr>
          <w:rFonts w:ascii="Arial" w:cs="Arial" w:eastAsia="Arial" w:hAnsi="Arial"/>
          <w:sz w:val="19"/>
          <w:szCs w:val="19"/>
          <w:color w:val="auto"/>
        </w:rPr>
        <w:t>.</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9.6.2 No COMPANY designated formulas, components or artwork related to the Product violate or infringe any patent, copyright or trademark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24 of 33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9.6.3 COMPANY has or will have the approval of the FDA to manufacture, sell and distribute the Product into the consumer marketplace and COMPANY assumes any and all responsibility for the manufacture, sale and distribution of the Product in the event that such approval was never provided by the FDA, or was initially provided but subsequently withdrawn by the FDA.</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9.6.4 The manufacture, sale, offer for sale, use, import and commercialization of Product will not infringe or misappropriate the patent or other proprietary rights of any Third Parties.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9.7 Disclaimer</w:t>
      </w:r>
      <w:r>
        <w:rPr>
          <w:rFonts w:ascii="Arial" w:cs="Arial" w:eastAsia="Arial" w:hAnsi="Arial"/>
          <w:sz w:val="22"/>
          <w:szCs w:val="22"/>
          <w:color w:val="auto"/>
        </w:rPr>
        <w:t>. EACH PARTY AGREES AND ACKNOWLEDGES THAT, EXCEPT AS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9</w:t>
      </w:r>
      <w:r>
        <w:rPr>
          <w:rFonts w:ascii="Arial" w:cs="Arial" w:eastAsia="Arial" w:hAnsi="Arial"/>
          <w:sz w:val="22"/>
          <w:szCs w:val="22"/>
          <w:color w:val="auto"/>
        </w:rPr>
        <w:t>, NEITHER PARTY MAKES ANY REPRESENTATIONS OR WARRANTIES OF ANY KIND WHATSOEVER, IMPLIED OR STATUTORY, AND EACH PARTY HEREBY EXPRESSLY DISCLAIMS ALL REPRESENTATIONS AND WARRANTIES, IMPLIED OR STATUTORY, INCLUDING ANY IMPLIED WARRANTIES OF MERCHANTABILITY, FITNESS FOR A PARTICULAR PURPOSE, AGAINST NON-INFRINGEMENT OR THE LIKE, OR ARISING FROM COURSE OF PERFORMANCE.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19"/>
          <w:szCs w:val="19"/>
          <w:color w:val="auto"/>
        </w:rPr>
        <w:t>Change of Control.</w:t>
      </w:r>
    </w:p>
    <w:p>
      <w:pPr>
        <w:spacing w:after="0" w:line="212" w:lineRule="exact"/>
        <w:rPr>
          <w:sz w:val="20"/>
          <w:szCs w:val="20"/>
          <w:color w:val="auto"/>
        </w:rPr>
      </w:pPr>
    </w:p>
    <w:p>
      <w:pPr>
        <w:jc w:val="both"/>
        <w:ind w:left="660" w:firstLine="634"/>
        <w:spacing w:after="0"/>
        <w:rPr>
          <w:sz w:val="20"/>
          <w:szCs w:val="20"/>
          <w:color w:val="auto"/>
        </w:rPr>
      </w:pPr>
      <w:r>
        <w:rPr>
          <w:rFonts w:ascii="Arial" w:cs="Arial" w:eastAsia="Arial" w:hAnsi="Arial"/>
          <w:sz w:val="22"/>
          <w:szCs w:val="22"/>
          <w:color w:val="auto"/>
        </w:rPr>
        <w:t>9.8.1 This Agreement may not be transferred or assigned, in whole or in part, by either Party without prior written permission of the other Party. Notwithstanding, either Party may assign or transfer this Agreement, in whole or in part, to any of its current Affiliates notifying such fact to the other Party in writing.</w:t>
      </w:r>
    </w:p>
    <w:p>
      <w:pPr>
        <w:spacing w:after="0" w:line="186" w:lineRule="exact"/>
        <w:rPr>
          <w:sz w:val="20"/>
          <w:szCs w:val="20"/>
          <w:color w:val="auto"/>
        </w:rPr>
      </w:pPr>
    </w:p>
    <w:p>
      <w:pPr>
        <w:jc w:val="both"/>
        <w:ind w:left="640" w:firstLine="648"/>
        <w:spacing w:after="0" w:line="238" w:lineRule="auto"/>
        <w:rPr>
          <w:sz w:val="20"/>
          <w:szCs w:val="20"/>
          <w:color w:val="auto"/>
        </w:rPr>
      </w:pPr>
      <w:r>
        <w:rPr>
          <w:rFonts w:ascii="Arial" w:cs="Arial" w:eastAsia="Arial" w:hAnsi="Arial"/>
          <w:sz w:val="22"/>
          <w:szCs w:val="22"/>
          <w:color w:val="auto"/>
        </w:rPr>
        <w:t>Any permitted assignee shall assume all obligations and shall be entitled to all rights of the assigner under this Agreement. It is understood and agreed between the Parties that the Party who assigns this Agreement or any right or obligation hereunder shall (as long as it remains a surviving entity) be responsible on a joint and several basis of the fulfillment by the assignee of the provisions of this Agreement.</w:t>
      </w:r>
    </w:p>
    <w:p>
      <w:pPr>
        <w:spacing w:after="0" w:line="185" w:lineRule="exact"/>
        <w:rPr>
          <w:sz w:val="20"/>
          <w:szCs w:val="20"/>
          <w:color w:val="auto"/>
        </w:rPr>
      </w:pPr>
    </w:p>
    <w:p>
      <w:pPr>
        <w:jc w:val="both"/>
        <w:ind w:left="660" w:right="20" w:firstLine="648"/>
        <w:spacing w:after="0" w:line="250" w:lineRule="auto"/>
        <w:rPr>
          <w:sz w:val="20"/>
          <w:szCs w:val="20"/>
          <w:color w:val="auto"/>
        </w:rPr>
      </w:pPr>
      <w:r>
        <w:rPr>
          <w:rFonts w:ascii="Arial" w:cs="Arial" w:eastAsia="Arial" w:hAnsi="Arial"/>
          <w:sz w:val="22"/>
          <w:szCs w:val="22"/>
          <w:color w:val="auto"/>
        </w:rPr>
        <w:t>9.8.2 Either Party may assign this Agreement, upon written notice to the other Party, to any entity acquiring all or substantially all of its business to which this Agreement relates.</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10.1 Definition</w:t>
      </w:r>
      <w:r>
        <w:rPr>
          <w:rFonts w:ascii="Arial" w:cs="Arial" w:eastAsia="Arial" w:hAnsi="Arial"/>
          <w:sz w:val="19"/>
          <w:szCs w:val="19"/>
          <w:color w:val="auto"/>
        </w:rPr>
        <w: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the terms and provisions of this Agreement (each of which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the Confidential Information of both Parties) and all other information and data, including all notes, books, papers, diagrams, documents, reports, e-mail, memoranda, visual observations, oral communications and all other data or information in whatever form, that one Party or any of its Affiliates or representatives (the “</w:t>
      </w:r>
      <w:r>
        <w:rPr>
          <w:rFonts w:ascii="Arial" w:cs="Arial" w:eastAsia="Arial" w:hAnsi="Arial"/>
          <w:sz w:val="19"/>
          <w:szCs w:val="19"/>
          <w:b w:val="1"/>
          <w:bCs w:val="1"/>
          <w:color w:val="auto"/>
        </w:rPr>
        <w:t>Disclosing Party</w:t>
      </w:r>
      <w:r>
        <w:rPr>
          <w:rFonts w:ascii="Arial" w:cs="Arial" w:eastAsia="Arial" w:hAnsi="Arial"/>
          <w:sz w:val="19"/>
          <w:szCs w:val="19"/>
          <w:color w:val="auto"/>
        </w:rPr>
        <w:t>”) has supplied or otherwise made available to the other Party or its Affiliates or representatives (the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hereunder, including those made prior to the Effective Date of this Agreement.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shall supersede that certain confidentiality agreement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25 of 33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Parties dated August 4, 2017 (the “</w:t>
      </w:r>
      <w:r>
        <w:rPr>
          <w:rFonts w:ascii="Arial" w:cs="Arial" w:eastAsia="Arial" w:hAnsi="Arial"/>
          <w:sz w:val="22"/>
          <w:szCs w:val="22"/>
          <w:b w:val="1"/>
          <w:bCs w:val="1"/>
          <w:color w:val="auto"/>
        </w:rPr>
        <w:t>Prior CDA</w:t>
      </w:r>
      <w:r>
        <w:rPr>
          <w:rFonts w:ascii="Arial" w:cs="Arial" w:eastAsia="Arial" w:hAnsi="Arial"/>
          <w:sz w:val="22"/>
          <w:szCs w:val="22"/>
          <w:color w:val="auto"/>
        </w:rPr>
        <w:t>”), and all Confidential Information disclosed pursuant to the Prior CDA shall be deemed to have been disclosed hereunder.</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10.2 Obligations</w:t>
      </w:r>
      <w:r>
        <w:rPr>
          <w:rFonts w:ascii="Arial" w:cs="Arial" w:eastAsia="Arial" w:hAnsi="Arial"/>
          <w:sz w:val="19"/>
          <w:szCs w:val="19"/>
          <w:color w:val="auto"/>
        </w:rPr>
        <w:t>. The Receiving Party shall protect all Confidential Information of the Disclosing Party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unauthorized use and disclosure to Third Parties with the same degree of care as the Receiving Party uses for its own similar information, but in no event less than a reasonable degree of care. The Receiving Party shall be permitted to use the Confidential Information of the Disclosing Party solely as reasonably necessary to exercise its rights and fulfill its obligations under this Agreement. The Receiving Party shall not disclose the Confidential Information of the Disclosing Party to any Third Party other than to its Affiliates, and its and their respective directors, officers, employees, subcontractors, sublicensees, consultants, and attorneys, accountants, banks and investors (collectively, “</w:t>
      </w:r>
      <w:r>
        <w:rPr>
          <w:rFonts w:ascii="Arial" w:cs="Arial" w:eastAsia="Arial" w:hAnsi="Arial"/>
          <w:sz w:val="19"/>
          <w:szCs w:val="19"/>
          <w:b w:val="1"/>
          <w:bCs w:val="1"/>
          <w:color w:val="auto"/>
        </w:rPr>
        <w:t>Recipients</w:t>
      </w:r>
      <w:r>
        <w:rPr>
          <w:rFonts w:ascii="Arial" w:cs="Arial" w:eastAsia="Arial" w:hAnsi="Arial"/>
          <w:sz w:val="19"/>
          <w:szCs w:val="19"/>
          <w:color w:val="auto"/>
        </w:rPr>
        <w:t>”) who have a need to know such information for purposes related to this Agreement and who are made aware of the confidentiality obligations set forth in this Agreement or are bound by obligations of confidentiality at least as protective of such Confidential Information as those set forth in this Agreement. The Receiving Party shall be responsible for any disclosures made by its Recipients in violation of this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Exceptions</w:t>
      </w: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10.3.1 </w:t>
      </w:r>
      <w:r>
        <w:rPr>
          <w:rFonts w:ascii="Arial" w:cs="Arial" w:eastAsia="Arial" w:hAnsi="Arial"/>
          <w:sz w:val="21"/>
          <w:szCs w:val="21"/>
          <w:u w:val="single" w:color="auto"/>
          <w:color w:val="auto"/>
        </w:rPr>
        <w:t>Restriction Limitations</w:t>
      </w:r>
      <w:r>
        <w:rPr>
          <w:rFonts w:ascii="Arial" w:cs="Arial" w:eastAsia="Arial" w:hAnsi="Arial"/>
          <w:sz w:val="21"/>
          <w:szCs w:val="21"/>
          <w:color w:val="auto"/>
        </w:rPr>
        <w:t xml:space="preserve">. The restrictions related to use and disclosure under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shall not apply to any information to the extent the Receiving Party can demonstrate by competent evidence that such information:</w:t>
      </w:r>
    </w:p>
    <w:p>
      <w:pPr>
        <w:spacing w:after="0" w:line="151" w:lineRule="exact"/>
        <w:rPr>
          <w:sz w:val="20"/>
          <w:szCs w:val="20"/>
          <w:color w:val="auto"/>
        </w:rPr>
      </w:pPr>
    </w:p>
    <w:p>
      <w:pPr>
        <w:jc w:val="both"/>
        <w:ind w:firstLine="1952"/>
        <w:spacing w:after="0" w:line="238" w:lineRule="auto"/>
        <w:tabs>
          <w:tab w:leader="none" w:pos="258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is (at the time of disclosure by the Disclosing Party) or becomes (after the time of such disclosure by the Disclosing Party) known to the public or part of the public domain through no breach of this Agreement by the Receiving Party, or any Recipient to whom the Receiving Party disclosed such information, of its confidentiality obligations to the Receiving Party; or</w:t>
      </w:r>
    </w:p>
    <w:p>
      <w:pPr>
        <w:spacing w:after="0" w:line="184" w:lineRule="exact"/>
        <w:rPr>
          <w:rFonts w:ascii="Arial" w:cs="Arial" w:eastAsia="Arial" w:hAnsi="Arial"/>
          <w:sz w:val="22"/>
          <w:szCs w:val="22"/>
          <w:color w:val="auto"/>
        </w:rPr>
      </w:pPr>
    </w:p>
    <w:p>
      <w:pPr>
        <w:ind w:left="2600" w:hanging="648"/>
        <w:spacing w:after="0"/>
        <w:tabs>
          <w:tab w:leader="none" w:pos="2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was known to, or otherwise in the possession of, the Receiving Party prior to the time of disclosure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the Disclosing Party;</w:t>
      </w:r>
    </w:p>
    <w:p>
      <w:pPr>
        <w:spacing w:after="0" w:line="188" w:lineRule="exact"/>
        <w:rPr>
          <w:rFonts w:ascii="Arial" w:cs="Arial" w:eastAsia="Arial" w:hAnsi="Arial"/>
          <w:sz w:val="19"/>
          <w:szCs w:val="19"/>
          <w:color w:val="auto"/>
        </w:rPr>
      </w:pPr>
    </w:p>
    <w:p>
      <w:pPr>
        <w:jc w:val="both"/>
        <w:ind w:firstLine="1952"/>
        <w:spacing w:after="0"/>
        <w:tabs>
          <w:tab w:leader="none" w:pos="258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is disclosed to the Receiving Party on a non-confidential basis by a Third Party who is not, to the actual knowledge of the Receiving Party, prohibited from disclosing it without breaching any confidentiality obligation to the Disclosing Party; or</w:t>
      </w:r>
    </w:p>
    <w:p>
      <w:pPr>
        <w:spacing w:after="0" w:line="186" w:lineRule="exact"/>
        <w:rPr>
          <w:rFonts w:ascii="Arial" w:cs="Arial" w:eastAsia="Arial" w:hAnsi="Arial"/>
          <w:sz w:val="22"/>
          <w:szCs w:val="22"/>
          <w:color w:val="auto"/>
        </w:rPr>
      </w:pPr>
    </w:p>
    <w:p>
      <w:pPr>
        <w:ind w:firstLine="1952"/>
        <w:spacing w:after="0" w:line="250" w:lineRule="auto"/>
        <w:tabs>
          <w:tab w:leader="none" w:pos="258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is independently developed by or on behalf of the Receiving Party or any of its Affiliates, as evidenced by its written records, without use of or access to the Confidential Information.</w:t>
      </w:r>
    </w:p>
    <w:p>
      <w:pPr>
        <w:spacing w:after="0" w:line="17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10.3.2 </w:t>
      </w:r>
      <w:r>
        <w:rPr>
          <w:rFonts w:ascii="Arial" w:cs="Arial" w:eastAsia="Arial" w:hAnsi="Arial"/>
          <w:sz w:val="22"/>
          <w:szCs w:val="22"/>
          <w:u w:val="single" w:color="auto"/>
          <w:color w:val="auto"/>
        </w:rPr>
        <w:t>Disclosure Required by Law</w:t>
      </w:r>
      <w:r>
        <w:rPr>
          <w:rFonts w:ascii="Arial" w:cs="Arial" w:eastAsia="Arial" w:hAnsi="Arial"/>
          <w:sz w:val="22"/>
          <w:szCs w:val="22"/>
          <w:color w:val="auto"/>
        </w:rPr>
        <w:t xml:space="preserve">. The restrictions set forth in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shall not apply to the extent that the Receiving Party is required to disclose any Confidential Information under law or by an order of a Governmental Authority; provided that the Receiving Party: (a) provides the Disclosing Party with prompt written notice of such disclosure requirement if legally permitted, (b) affords the Disclosing Party an opportunity, and cooperates with the Disclosing Party’s efforts, to oppose or limit, or secure confidential treatment for such required disclosure (at the Disclosing Party’s expense), and (c) if the Disclosing Party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26 of 33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unsuccessful in its efforts pursuant to subsection (b), discloses only that portion of the Confidential Information that the Receiving Party is legally required to disclose as advised by the Receiving Party’s legal counsel.</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10.4 Nondisclosure of Terms</w:t>
      </w:r>
      <w:r>
        <w:rPr>
          <w:rFonts w:ascii="Arial" w:cs="Arial" w:eastAsia="Arial" w:hAnsi="Arial"/>
          <w:sz w:val="19"/>
          <w:szCs w:val="19"/>
          <w:color w:val="auto"/>
        </w:rPr>
        <w:t>. Each Party agrees not to issue any press releases, reports, or other statements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this Agreement intended for use in the public or private media or otherwise disclose the terms of this Agreement to any Third Party without the prior written consent of the other Party hereto, which consent shall not be unreasonably withheld, except to such Party’s attorneys, advisors and others on a need to know basis in each case consistent with customary practice under circumstances that protect the confidentiality thereof. Notwithstanding the foregoing, each Party may make announcements concerning the subject matter of this Agreement if required by Applicable Law or any securities exchange or Governmental Authority or any tax authority to which any Party is subject or submits, in which case the Party making such announcement shall provide the other Party with a copy of such announcement at least [***] ([***]) Business Days prior to issuance, to the extent practicable under the circumstances, and shall only disclose information required by Applicable Law or such exchange or authority. Additionally, and notwithstanding anything to the contrary contained herein, COMPANY may disclose this Agreement as required by and/or in order to comply with the requirements of the United States Securities and Exchange Commission or any other agency governing publicly traded companies, including in connection with COMPANY’s public filings.</w:t>
      </w:r>
    </w:p>
    <w:p>
      <w:pPr>
        <w:spacing w:after="0" w:line="15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10.5 Right to Injunctive Relief</w:t>
      </w:r>
      <w:r>
        <w:rPr>
          <w:rFonts w:ascii="Arial" w:cs="Arial" w:eastAsia="Arial" w:hAnsi="Arial"/>
          <w:sz w:val="22"/>
          <w:szCs w:val="22"/>
          <w:color w:val="auto"/>
        </w:rPr>
        <w:t>. Each Party agrees that breaches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10</w:t>
      </w:r>
      <w:r>
        <w:rPr>
          <w:rFonts w:ascii="Arial" w:cs="Arial" w:eastAsia="Arial" w:hAnsi="Arial"/>
          <w:sz w:val="22"/>
          <w:szCs w:val="22"/>
          <w:b w:val="1"/>
          <w:bCs w:val="1"/>
          <w:color w:val="auto"/>
        </w:rPr>
        <w:t xml:space="preserve"> </w:t>
      </w:r>
      <w:r>
        <w:rPr>
          <w:rFonts w:ascii="Arial" w:cs="Arial" w:eastAsia="Arial" w:hAnsi="Arial"/>
          <w:sz w:val="22"/>
          <w:szCs w:val="22"/>
          <w:color w:val="auto"/>
        </w:rPr>
        <w:t>may cause irreparable harm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and shall entitle such other Party, in addition to any other remedies available to it (subject to the terms of this Agreement), to the right to seek injunctive relief enjoining such action.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10.6 Ongoing Obligation for Confidentiality</w:t>
      </w:r>
      <w:r>
        <w:rPr>
          <w:rFonts w:ascii="Arial" w:cs="Arial" w:eastAsia="Arial" w:hAnsi="Arial"/>
          <w:sz w:val="22"/>
          <w:szCs w:val="22"/>
          <w:color w:val="auto"/>
        </w:rPr>
        <w:t>. The Parties’ obligations of confidentiality, non-use and non-disclosure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shall survive any expiration or termination of this Agreement for [***] ([***]) years.</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10.7 DPT Business Model</w:t>
      </w:r>
      <w:r>
        <w:rPr>
          <w:rFonts w:ascii="Arial" w:cs="Arial" w:eastAsia="Arial" w:hAnsi="Arial"/>
          <w:sz w:val="22"/>
          <w:szCs w:val="22"/>
          <w:color w:val="auto"/>
        </w:rPr>
        <w:t>. COMPANY acknowledges that as a contract manufacturing organization, DPT’s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involves the application of its expertise, technology and know-how to numerous pharmaceutical and other products and that DPT retains the right (subject to its obligations under the applicable confidentiality provision or agreement) to apply such expertise, technology and know-how to a variety of products or services.</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22"/>
          <w:szCs w:val="22"/>
          <w:b w:val="1"/>
          <w:bCs w:val="1"/>
          <w:u w:val="single" w:color="auto"/>
          <w:color w:val="auto"/>
        </w:rPr>
        <w:t>INDEMNIFICATION AND INSURANCE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Indemnification by DPT</w:t>
      </w:r>
      <w:r>
        <w:rPr>
          <w:rFonts w:ascii="Arial" w:cs="Arial" w:eastAsia="Arial" w:hAnsi="Arial"/>
          <w:sz w:val="22"/>
          <w:szCs w:val="22"/>
          <w:color w:val="auto"/>
        </w:rPr>
        <w:t>. DPT hereby agrees, at its sole cost and expense, to defend, hold harmless and indemnify, to the extent permitted by Applicable Law, (collectively, “</w:t>
      </w:r>
      <w:r>
        <w:rPr>
          <w:rFonts w:ascii="Arial" w:cs="Arial" w:eastAsia="Arial" w:hAnsi="Arial"/>
          <w:sz w:val="22"/>
          <w:szCs w:val="22"/>
          <w:b w:val="1"/>
          <w:bCs w:val="1"/>
          <w:color w:val="auto"/>
        </w:rPr>
        <w:t>Indemnify</w:t>
      </w:r>
      <w:r>
        <w:rPr>
          <w:rFonts w:ascii="Arial" w:cs="Arial" w:eastAsia="Arial" w:hAnsi="Arial"/>
          <w:sz w:val="22"/>
          <w:szCs w:val="22"/>
          <w:color w:val="auto"/>
        </w:rPr>
        <w:t>”) COMPANY and its Affiliates and their respective directors, officers and employees of such Persons and the respective successors and assigns of any of the foregoing (the “</w:t>
      </w:r>
      <w:r>
        <w:rPr>
          <w:rFonts w:ascii="Arial" w:cs="Arial" w:eastAsia="Arial" w:hAnsi="Arial"/>
          <w:sz w:val="22"/>
          <w:szCs w:val="22"/>
          <w:b w:val="1"/>
          <w:bCs w:val="1"/>
          <w:color w:val="auto"/>
        </w:rPr>
        <w:t>COMPANY Indemnitees</w:t>
      </w:r>
      <w:r>
        <w:rPr>
          <w:rFonts w:ascii="Arial" w:cs="Arial" w:eastAsia="Arial" w:hAnsi="Arial"/>
          <w:sz w:val="22"/>
          <w:szCs w:val="22"/>
          <w:color w:val="auto"/>
        </w:rPr>
        <w:t xml:space="preserve"> ”) from and against any and all liabilities, damages, penalties, fines, costs and expenses (including, reasonable attorneys’ fees and other expenses of litigation) (collectively, “</w:t>
      </w:r>
      <w:r>
        <w:rPr>
          <w:rFonts w:ascii="Arial" w:cs="Arial" w:eastAsia="Arial" w:hAnsi="Arial"/>
          <w:sz w:val="22"/>
          <w:szCs w:val="22"/>
          <w:b w:val="1"/>
          <w:bCs w:val="1"/>
          <w:color w:val="auto"/>
        </w:rPr>
        <w:t>Liabilities</w:t>
      </w:r>
      <w:r>
        <w:rPr>
          <w:rFonts w:ascii="Arial" w:cs="Arial" w:eastAsia="Arial" w:hAnsi="Arial"/>
          <w:sz w:val="22"/>
          <w:szCs w:val="22"/>
          <w:color w:val="auto"/>
        </w:rPr>
        <w:t>”) resulting from suits, claims, actions and demands,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27 of 33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brought by a Third Party (each, a “</w:t>
      </w:r>
      <w:r>
        <w:rPr>
          <w:rFonts w:ascii="Arial" w:cs="Arial" w:eastAsia="Arial" w:hAnsi="Arial"/>
          <w:sz w:val="19"/>
          <w:szCs w:val="19"/>
          <w:b w:val="1"/>
          <w:bCs w:val="1"/>
          <w:color w:val="auto"/>
        </w:rPr>
        <w:t>Third-Party Claim</w:t>
      </w:r>
      <w:r>
        <w:rPr>
          <w:rFonts w:ascii="Arial" w:cs="Arial" w:eastAsia="Arial" w:hAnsi="Arial"/>
          <w:sz w:val="19"/>
          <w:szCs w:val="19"/>
          <w:color w:val="auto"/>
        </w:rPr>
        <w:t>”) against any COMPANY Indemnitee and arising from or occurring as a result of: (a) any material breach of any of DPT’s obligations, representations, warranties or covenants under this Agreement; or</w:t>
      </w:r>
    </w:p>
    <w:p>
      <w:pPr>
        <w:jc w:val="both"/>
        <w:ind w:firstLine="8"/>
        <w:spacing w:after="0" w:line="232" w:lineRule="auto"/>
        <w:tabs>
          <w:tab w:leader="none" w:pos="306"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the negligence or willful misconduct of a DPT Indemnitee. DPT’s obligations to Indemnify COMPANY Indemnitees pursuant to this </w:t>
      </w:r>
      <w:r>
        <w:rPr>
          <w:rFonts w:ascii="Arial" w:cs="Arial" w:eastAsia="Arial" w:hAnsi="Arial"/>
          <w:sz w:val="22"/>
          <w:szCs w:val="22"/>
          <w:u w:val="single" w:color="auto"/>
          <w:color w:val="auto"/>
        </w:rPr>
        <w:t>Section 11.1.1</w:t>
      </w:r>
      <w:r>
        <w:rPr>
          <w:rFonts w:ascii="Arial" w:cs="Arial" w:eastAsia="Arial" w:hAnsi="Arial"/>
          <w:sz w:val="22"/>
          <w:szCs w:val="22"/>
          <w:color w:val="auto"/>
        </w:rPr>
        <w:t xml:space="preserve"> shall not apply to the extent any such Liabilities are the result of a material breach by COMPANY of its obligations, representations, warranties or covenants under this Agreement or any COMPANY Indemnitee’s gross negligence or willful misconduct. Notwithstanding the foregoing, under no circumstances shall DPT have any responsibility for product liability or personal injury claims of such third parties which arise from the sale, marketing, promotion, distribution or any use of Product which meets the Specifications.</w:t>
      </w:r>
    </w:p>
    <w:p>
      <w:pPr>
        <w:spacing w:after="0" w:line="18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Indemnification by COMPANY</w:t>
      </w:r>
      <w:r>
        <w:rPr>
          <w:rFonts w:ascii="Arial" w:cs="Arial" w:eastAsia="Arial" w:hAnsi="Arial"/>
          <w:sz w:val="19"/>
          <w:szCs w:val="19"/>
          <w:color w:val="auto"/>
        </w:rPr>
        <w:t>. COMPANY hereby agrees to Indemnify DPT and its agents, directors, officers and employees and the respective successors and assigns of any of the foregoing (the “</w:t>
      </w:r>
      <w:r>
        <w:rPr>
          <w:rFonts w:ascii="Arial" w:cs="Arial" w:eastAsia="Arial" w:hAnsi="Arial"/>
          <w:sz w:val="19"/>
          <w:szCs w:val="19"/>
          <w:b w:val="1"/>
          <w:bCs w:val="1"/>
          <w:color w:val="auto"/>
        </w:rPr>
        <w:t>DPT Indemnitees</w:t>
      </w:r>
      <w:r>
        <w:rPr>
          <w:rFonts w:ascii="Arial" w:cs="Arial" w:eastAsia="Arial" w:hAnsi="Arial"/>
          <w:sz w:val="19"/>
          <w:szCs w:val="19"/>
          <w:color w:val="auto"/>
        </w:rPr>
        <w:t xml:space="preserve">”) from and against any and all Liabilities resulting from Third-Party Claims against any DPT Indemnitee arising from or occurring as a result of: COMPANY’s negligence, willful misconduct or any breach of COMPANY’s obligations, representations, warranties or covenants provided for herein or which arise out of the marketing promotion, distribution, use, testing or sales of any Product, including, without limitation, any Third Party Claim, express, implied or statutory, made as to the efficacy, safety, or use to be made of Product, and Third Party Claims made by reason of any Product Labeling or any Packaging containing Product. COMPANY’s obligations to Indemnify DPT Indemnitees pursuant to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shall not apply to the extent any such Liabilities are the result of a material breach by DPT of its obligations, representations, warranties or covenants under this Agreement or any DPT Indemnitee’s negligence or willful misconduct.</w:t>
      </w:r>
    </w:p>
    <w:p>
      <w:pPr>
        <w:spacing w:after="0" w:line="16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To be eligible to be Indemnified hereunder, the indemnified Person shall provide the indemnifying Party with prompt written notice of the Third-Party Claim giving rise to the indemnification obligation pursuant to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and the right to control the defense (with the reasonable cooperation of the indemnified Person) or settlement any such claim; provided, however, that the indemnifying Party shall not enter into any settlement that admits fault, wrongdoing or damages without the indemnified Person’s written consent, such consent not to be unreasonably withheld or delayed. The indemnified Person shall have the right to join, but not to control, at its own expense and with counsel of its choice, the defense of any claim or suit that has been assumed by the indemnifying Party.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11.2 Product Liability Insurance</w:t>
      </w:r>
      <w:r>
        <w:rPr>
          <w:rFonts w:ascii="Arial" w:cs="Arial" w:eastAsia="Arial" w:hAnsi="Arial"/>
          <w:sz w:val="19"/>
          <w:szCs w:val="19"/>
          <w:color w:val="auto"/>
        </w:rPr>
        <w:t>. Each Party shall, during the Term and for [***] ([***]) years after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of this Agreement, obtain and maintain at its own cost and expense from a qualified insurance company (provided however that DPT may satisfy all or part of its obligation through its insurance captive or self-insurance) product liability insurance providing protection against any and all claims, demands, and causes of action arising out of any defects, alleged or otherwise, of the Product(s) or their use, design or manufacture, or any material incorporated in the Product(s). The amount of coverage shall be a minimum of [***] US Dollars ($[***] USD) combined single limit coverage for each occurrence for bodily injury or for property damage and shall be provided from an insurance company qualified to write global product liability coverage. Each Party agrees, upon request, to furnish the other Party with a certificate of insurance evidencing such insurance coverage (at the execution of this Agreement and at each subsequent renewal) and shall provide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28 of 33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with a [***] ([***]) day notice of cancellation or non-renewal of such coverage. COMPANY shall provide its current certificate of insurance evidencing such insurance coverage as of the Effective Date. COMPANY shall name DPT as an additional insured on its insurance policies maintained pursuant to this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11.3 LIMITATION OF LIABILITY</w:t>
      </w:r>
      <w:r>
        <w:rPr>
          <w:rFonts w:ascii="Arial" w:cs="Arial" w:eastAsia="Arial" w:hAnsi="Arial"/>
          <w:sz w:val="21"/>
          <w:szCs w:val="21"/>
          <w:color w:val="auto"/>
        </w:rPr>
        <w:t>. NEITHER PARTY SHALL BE LIABLE TO THE OTHER PARTY FOR ANY</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 INCIDENTAL, CONSEQUENTIAL, SPECIAL OR PUNITIVE DAMAGES, WHETHER LIABILITY IS ASSERTED IN CONTRACT, TORT (INCLUDING NEGLIGENCE), STRICT LIABILITY, OR ANY OTHER THEORY OR FORM OF ACTION, EVEN IF SUCH PARTY HAS BEEN ADVISED OF THE POSSIBILITY THEREOF. NOTWITHSTANDING ANYTHING TO THE CONTRARY IN THIS AGREEMENT, WITH RESPECT TO ALL CLAIMS MADE BY COMPANY AGAINST DPT UNDER THIS AGREEMENT, THE TOTAL LIABILITY OF DPT TO COMPANY DURING THE TERM SHALL NOT EXCEED [***] U.S. DOLLARS ($[***] USD), INCLUDING CLAIMS FOR INDEMNIFICATION FOR THIRD PARTY CLAIMS UNDER THIS ARTICLE 11 AND ANY COSTS TO BE REIMBURSED IN CONNECTION WITH ANY PRODUCT RECALL (OR CORRECTIVE ACTION) UNDER SECTION 4.4.5.</w:t>
      </w:r>
    </w:p>
    <w:p>
      <w:pPr>
        <w:spacing w:after="0" w:line="17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18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12.1 Term</w:t>
      </w:r>
      <w:r>
        <w:rPr>
          <w:rFonts w:ascii="Arial" w:cs="Arial" w:eastAsia="Arial" w:hAnsi="Arial"/>
          <w:sz w:val="22"/>
          <w:szCs w:val="22"/>
          <w:color w:val="auto"/>
        </w:rPr>
        <w:t>. The initial term of this Agreement shall commence on the Effective Date hereof and will continue until</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of the fourth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calendar year following Agreement ratification, unless sooner terminated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12.2</w:t>
      </w:r>
      <w:r>
        <w:rPr>
          <w:rFonts w:ascii="Arial" w:cs="Arial" w:eastAsia="Arial" w:hAnsi="Arial"/>
          <w:sz w:val="22"/>
          <w:szCs w:val="22"/>
          <w:color w:val="auto"/>
        </w:rPr>
        <w:t xml:space="preserve"> below (the “</w:t>
      </w:r>
      <w:r>
        <w:rPr>
          <w:rFonts w:ascii="Arial" w:cs="Arial" w:eastAsia="Arial" w:hAnsi="Arial"/>
          <w:sz w:val="22"/>
          <w:szCs w:val="22"/>
          <w:b w:val="1"/>
          <w:bCs w:val="1"/>
          <w:color w:val="auto"/>
        </w:rPr>
        <w:t>Initial Term</w:t>
      </w:r>
      <w:r>
        <w:rPr>
          <w:rFonts w:ascii="Arial" w:cs="Arial" w:eastAsia="Arial" w:hAnsi="Arial"/>
          <w:sz w:val="22"/>
          <w:szCs w:val="22"/>
          <w:color w:val="auto"/>
        </w:rPr>
        <w:t>”). This Agreement shall thereafter automatically renew for periods of twenty-four (24) months, unless any Party shall give notice to the other to the contrary at least eighteen (18) months prior to the expiration of the Initial Term or any renewal term of the Agreement (such renewal term, the “</w:t>
      </w:r>
      <w:r>
        <w:rPr>
          <w:rFonts w:ascii="Arial" w:cs="Arial" w:eastAsia="Arial" w:hAnsi="Arial"/>
          <w:sz w:val="22"/>
          <w:szCs w:val="22"/>
          <w:b w:val="1"/>
          <w:bCs w:val="1"/>
          <w:color w:val="auto"/>
        </w:rPr>
        <w:t>Extended Term</w:t>
      </w:r>
      <w:r>
        <w:rPr>
          <w:rFonts w:ascii="Arial" w:cs="Arial" w:eastAsia="Arial" w:hAnsi="Arial"/>
          <w:sz w:val="22"/>
          <w:szCs w:val="22"/>
          <w:color w:val="auto"/>
        </w:rPr>
        <w:t>” and, together with the Initial Term,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12.2 Termination</w:t>
      </w:r>
      <w:r>
        <w:rPr>
          <w:rFonts w:ascii="Arial" w:cs="Arial" w:eastAsia="Arial" w:hAnsi="Arial"/>
          <w:sz w:val="22"/>
          <w:szCs w:val="22"/>
          <w:color w:val="auto"/>
        </w:rPr>
        <w:t>. This Agreement may be terminated in its entirety by either Party at any time upon the occurrence</w:t>
      </w:r>
      <w:r>
        <w:rPr>
          <w:rFonts w:ascii="Arial" w:cs="Arial" w:eastAsia="Arial" w:hAnsi="Arial"/>
          <w:sz w:val="22"/>
          <w:szCs w:val="22"/>
          <w:b w:val="1"/>
          <w:bCs w:val="1"/>
          <w:color w:val="auto"/>
        </w:rPr>
        <w:t xml:space="preserve"> </w:t>
      </w:r>
      <w:r>
        <w:rPr>
          <w:rFonts w:ascii="Arial" w:cs="Arial" w:eastAsia="Arial" w:hAnsi="Arial"/>
          <w:sz w:val="22"/>
          <w:szCs w:val="22"/>
          <w:color w:val="auto"/>
        </w:rPr>
        <w:t>of either of the following events:</w:t>
      </w:r>
    </w:p>
    <w:p>
      <w:pPr>
        <w:spacing w:after="0" w:line="16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12.2.1 The material failure of the other Party to comply with its material obligations herein, which failure is not remedied within sixty (60) days after written notice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12.2.2 Written notice to the other if any Bankruptcy Event has occurred with respect to such other Party.</w:t>
      </w:r>
    </w:p>
    <w:p>
      <w:pPr>
        <w:spacing w:after="0" w:line="21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12.3 Effects of Termination</w:t>
      </w:r>
      <w:r>
        <w:rPr>
          <w:rFonts w:ascii="Arial" w:cs="Arial" w:eastAsia="Arial" w:hAnsi="Arial"/>
          <w:sz w:val="19"/>
          <w:szCs w:val="19"/>
          <w:color w:val="auto"/>
        </w:rPr>
        <w:t>. In the event of the termination or cancellation of this Agreement for any reason,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prejudice to any other rights and remedies available to DPT hereunder, COMPANY agrees to reimburse DPT, within</w:t>
      </w:r>
    </w:p>
    <w:p>
      <w:pPr>
        <w:jc w:val="both"/>
        <w:ind w:firstLine="8"/>
        <w:spacing w:after="0" w:line="287" w:lineRule="auto"/>
        <w:tabs>
          <w:tab w:leader="none" w:pos="53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days of such termination or cancellation, for: (i) the Materials Fee for all DPT-supplied materials ordered by DPT for the manufacture of Product based on COMPANY’s Forecasted Needs, (ii) the Total Price per unit of Product, with a prorated adjustment for percent completed for work-in-process Product, and (iii) the Total Price per unit of Product for finished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29 of 33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12.4 Nonexclusive Remedy</w:t>
      </w:r>
      <w:r>
        <w:rPr>
          <w:rFonts w:ascii="Arial" w:cs="Arial" w:eastAsia="Arial" w:hAnsi="Arial"/>
          <w:sz w:val="22"/>
          <w:szCs w:val="22"/>
          <w:color w:val="auto"/>
        </w:rPr>
        <w:t>. Exercise of any right of termination afforded to either Party under this Agreement (i)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prejudice any other legal rights or remedies either Party have against the other in respect of any breach of the terms and conditions of this Agreement, and (ii) shall be without any obligation or liability arising from such termination other than such obligations expressly arising from termination.</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12.5 Survival</w:t>
      </w:r>
      <w:r>
        <w:rPr>
          <w:rFonts w:ascii="Arial" w:cs="Arial" w:eastAsia="Arial" w:hAnsi="Arial"/>
          <w:sz w:val="22"/>
          <w:szCs w:val="22"/>
          <w:color w:val="auto"/>
        </w:rPr>
        <w:t>. Termination of this Agreement (for any reason) shall not affect any accrued rights or liabilities of either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(Definitions/Interpretation),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(Representations and Warranties),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(Confidentiality),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(Indemnification and Insurance),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(Disputes; Governing Law) and </w:t>
      </w:r>
      <w:r>
        <w:rPr>
          <w:rFonts w:ascii="Arial" w:cs="Arial" w:eastAsia="Arial" w:hAnsi="Arial"/>
          <w:sz w:val="22"/>
          <w:szCs w:val="22"/>
          <w:u w:val="single" w:color="auto"/>
          <w:color w:val="auto"/>
        </w:rPr>
        <w:t>Article 14</w:t>
      </w:r>
      <w:r>
        <w:rPr>
          <w:rFonts w:ascii="Arial" w:cs="Arial" w:eastAsia="Arial" w:hAnsi="Arial"/>
          <w:sz w:val="22"/>
          <w:szCs w:val="22"/>
          <w:color w:val="auto"/>
        </w:rPr>
        <w:t xml:space="preserve"> (Miscellaneous), </w:t>
      </w:r>
      <w:r>
        <w:rPr>
          <w:rFonts w:ascii="Arial" w:cs="Arial" w:eastAsia="Arial" w:hAnsi="Arial"/>
          <w:sz w:val="22"/>
          <w:szCs w:val="22"/>
          <w:u w:val="single" w:color="auto"/>
          <w:color w:val="auto"/>
        </w:rPr>
        <w:t>Sections 2.3.3</w:t>
      </w:r>
      <w:r>
        <w:rPr>
          <w:rFonts w:ascii="Arial" w:cs="Arial" w:eastAsia="Arial" w:hAnsi="Arial"/>
          <w:sz w:val="22"/>
          <w:szCs w:val="22"/>
          <w:color w:val="auto"/>
        </w:rPr>
        <w:t xml:space="preserve"> (Packaging and Labeling) (last sentence only),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(Destruction Costs), </w:t>
      </w:r>
      <w:r>
        <w:rPr>
          <w:rFonts w:ascii="Arial" w:cs="Arial" w:eastAsia="Arial" w:hAnsi="Arial"/>
          <w:sz w:val="22"/>
          <w:szCs w:val="22"/>
          <w:u w:val="single" w:color="auto"/>
          <w:color w:val="auto"/>
        </w:rPr>
        <w:t>4.4.5</w:t>
      </w:r>
      <w:r>
        <w:rPr>
          <w:rFonts w:ascii="Arial" w:cs="Arial" w:eastAsia="Arial" w:hAnsi="Arial"/>
          <w:sz w:val="22"/>
          <w:szCs w:val="22"/>
          <w:color w:val="auto"/>
        </w:rPr>
        <w:t xml:space="preserve"> (Product Recall), </w:t>
      </w:r>
      <w:r>
        <w:rPr>
          <w:rFonts w:ascii="Arial" w:cs="Arial" w:eastAsia="Arial" w:hAnsi="Arial"/>
          <w:sz w:val="22"/>
          <w:szCs w:val="22"/>
          <w:u w:val="single" w:color="auto"/>
          <w:color w:val="auto"/>
        </w:rPr>
        <w:t>6.4</w:t>
      </w:r>
      <w:r>
        <w:rPr>
          <w:rFonts w:ascii="Arial" w:cs="Arial" w:eastAsia="Arial" w:hAnsi="Arial"/>
          <w:sz w:val="22"/>
          <w:szCs w:val="22"/>
          <w:color w:val="auto"/>
        </w:rPr>
        <w:t xml:space="preserve"> (Obsolete Inventory), </w:t>
      </w:r>
      <w:r>
        <w:rPr>
          <w:rFonts w:ascii="Arial" w:cs="Arial" w:eastAsia="Arial" w:hAnsi="Arial"/>
          <w:sz w:val="22"/>
          <w:szCs w:val="22"/>
          <w:u w:val="single" w:color="auto"/>
          <w:color w:val="auto"/>
        </w:rPr>
        <w:t>12.3</w:t>
      </w:r>
      <w:r>
        <w:rPr>
          <w:rFonts w:ascii="Arial" w:cs="Arial" w:eastAsia="Arial" w:hAnsi="Arial"/>
          <w:sz w:val="22"/>
          <w:szCs w:val="22"/>
          <w:color w:val="auto"/>
        </w:rPr>
        <w:t xml:space="preserve"> (Effect of Termination), </w:t>
      </w:r>
      <w:r>
        <w:rPr>
          <w:rFonts w:ascii="Arial" w:cs="Arial" w:eastAsia="Arial" w:hAnsi="Arial"/>
          <w:sz w:val="22"/>
          <w:szCs w:val="22"/>
          <w:u w:val="single" w:color="auto"/>
          <w:color w:val="auto"/>
        </w:rPr>
        <w:t>12.4</w:t>
      </w:r>
      <w:r>
        <w:rPr>
          <w:rFonts w:ascii="Arial" w:cs="Arial" w:eastAsia="Arial" w:hAnsi="Arial"/>
          <w:sz w:val="22"/>
          <w:szCs w:val="22"/>
          <w:color w:val="auto"/>
        </w:rPr>
        <w:t xml:space="preserve"> (Nonexclusive Remedy) and </w:t>
      </w:r>
      <w:r>
        <w:rPr>
          <w:rFonts w:ascii="Arial" w:cs="Arial" w:eastAsia="Arial" w:hAnsi="Arial"/>
          <w:sz w:val="22"/>
          <w:szCs w:val="22"/>
          <w:u w:val="single" w:color="auto"/>
          <w:color w:val="auto"/>
        </w:rPr>
        <w:t>12.5</w:t>
      </w:r>
      <w:r>
        <w:rPr>
          <w:rFonts w:ascii="Arial" w:cs="Arial" w:eastAsia="Arial" w:hAnsi="Arial"/>
          <w:sz w:val="22"/>
          <w:szCs w:val="22"/>
          <w:color w:val="auto"/>
        </w:rPr>
        <w:t xml:space="preserve"> (Survival) shall survive the termination or cancellation of this Agreement.</w:t>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DISPUTES; GOVERNING LAW</w:t>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13.1 Discussion by Executives</w:t>
      </w:r>
      <w:r>
        <w:rPr>
          <w:rFonts w:ascii="Arial" w:cs="Arial" w:eastAsia="Arial" w:hAnsi="Arial"/>
          <w:sz w:val="21"/>
          <w:szCs w:val="21"/>
          <w:color w:val="auto"/>
        </w:rPr>
        <w:t>. Except as otherwise provided herein, any dispute, controversy or claim arising under,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out of or in connection with this Agreement, including any subsequent amendments, or the validity, enforceability, construction, performance or breach hereof (and including the applicability of this </w:t>
      </w:r>
      <w:r>
        <w:rPr>
          <w:rFonts w:ascii="Arial" w:cs="Arial" w:eastAsia="Arial" w:hAnsi="Arial"/>
          <w:sz w:val="21"/>
          <w:szCs w:val="21"/>
          <w:u w:val="single" w:color="auto"/>
          <w:color w:val="auto"/>
        </w:rPr>
        <w:t>Article 13</w:t>
      </w:r>
      <w:r>
        <w:rPr>
          <w:rFonts w:ascii="Arial" w:cs="Arial" w:eastAsia="Arial" w:hAnsi="Arial"/>
          <w:sz w:val="21"/>
          <w:szCs w:val="21"/>
          <w:color w:val="auto"/>
        </w:rPr>
        <w:t xml:space="preserve"> to any such dispute, controversy or claim) (each a “</w:t>
      </w:r>
      <w:r>
        <w:rPr>
          <w:rFonts w:ascii="Arial" w:cs="Arial" w:eastAsia="Arial" w:hAnsi="Arial"/>
          <w:sz w:val="21"/>
          <w:szCs w:val="21"/>
          <w:b w:val="1"/>
          <w:bCs w:val="1"/>
          <w:color w:val="auto"/>
        </w:rPr>
        <w:t>Dispute</w:t>
      </w:r>
      <w:r>
        <w:rPr>
          <w:rFonts w:ascii="Arial" w:cs="Arial" w:eastAsia="Arial" w:hAnsi="Arial"/>
          <w:sz w:val="21"/>
          <w:szCs w:val="21"/>
          <w:color w:val="auto"/>
        </w:rPr>
        <w:t>”) shall be first submitted to an executive officer of each of the Parties having authority to resolve such Dispute for attempted resolution by good faith negotiations within [***] ([***]) Business Days. In such event, each Party shall cause its designated executive officer to meet and be available to attempt to resolve such issue. If the Parties should resolve such Dispute, a memorandum setting forth their agreement will be prepared and signed by both Parties if requested by either Party. The Parties shall cooperate in an effort to limit the issues for consideration in such manner as narrowly as reasonably practicable in order to resolve the Dispute.</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13.2 Governing Law</w:t>
      </w:r>
      <w:r>
        <w:rPr>
          <w:rFonts w:ascii="Arial" w:cs="Arial" w:eastAsia="Arial" w:hAnsi="Arial"/>
          <w:sz w:val="22"/>
          <w:szCs w:val="22"/>
          <w:color w:val="auto"/>
        </w:rPr>
        <w:t>. This Agreement and all rights and obligations of the Parties arising out of or relating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construed and enforced in accordance with the laws of the State of Delaware, U.S.A without giving effect to conflicts of laws principles. The Parties hereby expressly agree that the U.N. Convention on Contracts for the International Sale of Goods shall not apply.</w:t>
      </w:r>
    </w:p>
    <w:p>
      <w:pPr>
        <w:spacing w:after="0" w:line="18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13.3 Jurisdiction</w:t>
      </w:r>
      <w:r>
        <w:rPr>
          <w:rFonts w:ascii="Arial" w:cs="Arial" w:eastAsia="Arial" w:hAnsi="Arial"/>
          <w:sz w:val="19"/>
          <w:szCs w:val="19"/>
          <w:color w:val="auto"/>
        </w:rPr>
        <w:t>. The Parties agree that any Dispute that is not resolved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13.1</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exclusive jurisdiction of the state and federal courts in Delaware, U.S.A. and each Party hereby submits to such jurisdiction.</w:t>
      </w:r>
    </w:p>
    <w:p>
      <w:pPr>
        <w:spacing w:after="0" w:line="9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14.1 Relationship of the Parties</w:t>
      </w:r>
      <w:r>
        <w:rPr>
          <w:rFonts w:ascii="Arial" w:cs="Arial" w:eastAsia="Arial" w:hAnsi="Arial"/>
          <w:sz w:val="21"/>
          <w:szCs w:val="21"/>
          <w:color w:val="auto"/>
        </w:rPr>
        <w:t>. The Parties agree that the relationship of COMPANY and DPT established by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that of independent contractors. Furthermore, the Parties agree that this Agreement does not, is not intended to, and shall not be construed to, establish a partnership or joint venture, and nor shall this Agreement create or establish an employment, agency or any other relationship. Except as may be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30 of 33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1"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provided herein, neither Party shall have any right, power or authority, nor shall they represent themselves as having any authority to assume, create or incur any expense, liability or obligation, express or implied, on behalf of the other Party, or otherwise act as an agent for the other Party for any purpose.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14.2 Expenses</w:t>
      </w:r>
      <w:r>
        <w:rPr>
          <w:rFonts w:ascii="Arial" w:cs="Arial" w:eastAsia="Arial" w:hAnsi="Arial"/>
          <w:sz w:val="22"/>
          <w:szCs w:val="22"/>
          <w:color w:val="auto"/>
        </w:rPr>
        <w:t>. Except as otherwise expressly provided herein, each Party shall bear its own costs, fees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such Party in connection with this Agreement.</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14.3 Licenses and Permits</w:t>
      </w:r>
      <w:r>
        <w:rPr>
          <w:rFonts w:ascii="Arial" w:cs="Arial" w:eastAsia="Arial" w:hAnsi="Arial"/>
          <w:sz w:val="22"/>
          <w:szCs w:val="22"/>
          <w:color w:val="auto"/>
        </w:rPr>
        <w:t>. Each Party shall, at its sole cost and expense, maintain in full force and affect all</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licenses, permits, and other authorizations required by Applicable Law in order to carry out its duties and obligations hereunder.</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14.4 Force Majeure</w:t>
      </w:r>
      <w:r>
        <w:rPr>
          <w:rFonts w:ascii="Arial" w:cs="Arial" w:eastAsia="Arial" w:hAnsi="Arial"/>
          <w:sz w:val="19"/>
          <w:szCs w:val="19"/>
          <w:color w:val="auto"/>
        </w:rPr>
        <w:t>. No Party shall be liable for a failure or delay in performing any of its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if, but only to the extent that such failure or delay is due to causes beyond the reasonable control of the affected Party, including: (a) acts of God; (b) fire, explosion, or unusually severe weather; (c) war, invasion, riot, terrorism, or other civil unrest;</w:t>
      </w:r>
    </w:p>
    <w:p>
      <w:pPr>
        <w:spacing w:after="0" w:line="2" w:lineRule="exact"/>
        <w:rPr>
          <w:sz w:val="20"/>
          <w:szCs w:val="20"/>
          <w:color w:val="auto"/>
        </w:rPr>
      </w:pPr>
    </w:p>
    <w:p>
      <w:pPr>
        <w:jc w:val="both"/>
        <w:ind w:firstLine="8"/>
        <w:spacing w:after="0" w:line="243" w:lineRule="auto"/>
        <w:tabs>
          <w:tab w:leader="none" w:pos="340" w:val="left"/>
        </w:tabs>
        <w:numPr>
          <w:ilvl w:val="0"/>
          <w:numId w:val="58"/>
        </w:numPr>
        <w:rPr>
          <w:rFonts w:ascii="Arial" w:cs="Arial" w:eastAsia="Arial" w:hAnsi="Arial"/>
          <w:sz w:val="21"/>
          <w:szCs w:val="21"/>
          <w:color w:val="auto"/>
        </w:rPr>
      </w:pPr>
      <w:r>
        <w:rPr>
          <w:rFonts w:ascii="Arial" w:cs="Arial" w:eastAsia="Arial" w:hAnsi="Arial"/>
          <w:sz w:val="21"/>
          <w:szCs w:val="21"/>
          <w:color w:val="auto"/>
        </w:rPr>
        <w:t>governmental laws, orders, restrictions, actions, embargo or blockages; (e) national or regional emergency; (f) strikes or industrial disputes at a national level which directly impact the affected Party’s performance under this Agreement; or (g) other similar cause outside of the reasonable control of such Party (“</w:t>
      </w:r>
      <w:r>
        <w:rPr>
          <w:rFonts w:ascii="Arial" w:cs="Arial" w:eastAsia="Arial" w:hAnsi="Arial"/>
          <w:sz w:val="21"/>
          <w:szCs w:val="21"/>
          <w:b w:val="1"/>
          <w:bCs w:val="1"/>
          <w:color w:val="auto"/>
        </w:rPr>
        <w:t>Force Majeure</w:t>
      </w:r>
      <w:r>
        <w:rPr>
          <w:rFonts w:ascii="Arial" w:cs="Arial" w:eastAsia="Arial" w:hAnsi="Arial"/>
          <w:sz w:val="21"/>
          <w:szCs w:val="21"/>
          <w:color w:val="auto"/>
        </w:rPr>
        <w:t>”); provided that the Party affected shall promptly notify the other of the Force Majeure condition and shall use reasonable efforts to eliminate, cure or overcome any such causes and resume performance of its obligations as soon as possible. If the performance of any such obligation under this Agreement is delayed owing to such a Force Majeure for any continuous period of more than one hundred eighty (180) days, DPT shall have the right to terminate this Agreement.</w:t>
      </w:r>
    </w:p>
    <w:p>
      <w:pPr>
        <w:spacing w:after="0" w:line="18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14.5 Notices</w:t>
      </w:r>
      <w:r>
        <w:rPr>
          <w:rFonts w:ascii="Arial" w:cs="Arial" w:eastAsia="Arial" w:hAnsi="Arial"/>
          <w:sz w:val="22"/>
          <w:szCs w:val="22"/>
          <w:color w:val="auto"/>
        </w:rPr>
        <w:t>. Any notice required or permitted to be given hereunder shall be in writing and shall be delivered in</w:t>
      </w:r>
      <w:r>
        <w:rPr>
          <w:rFonts w:ascii="Arial" w:cs="Arial" w:eastAsia="Arial" w:hAnsi="Arial"/>
          <w:sz w:val="22"/>
          <w:szCs w:val="22"/>
          <w:b w:val="1"/>
          <w:bCs w:val="1"/>
          <w:color w:val="auto"/>
        </w:rPr>
        <w:t xml:space="preserve"> </w:t>
      </w:r>
      <w:r>
        <w:rPr>
          <w:rFonts w:ascii="Arial" w:cs="Arial" w:eastAsia="Arial" w:hAnsi="Arial"/>
          <w:sz w:val="22"/>
          <w:szCs w:val="22"/>
          <w:color w:val="auto"/>
        </w:rPr>
        <w:t>person, by a nationally recognized overnight courier, or by registered or certified airmail, postage prepaid to the addresses given below or such other addresses as may be designated in writing by the Parties from time to time, and shall be deemed to have been given upon receipt.</w:t>
      </w:r>
    </w:p>
    <w:p>
      <w:pPr>
        <w:sectPr>
          <w:pgSz w:w="11900" w:h="16838" w:orient="portrait"/>
          <w:cols w:equalWidth="0" w:num="1">
            <w:col w:w="11240"/>
          </w:cols>
          <w:pgMar w:left="320" w:top="1440" w:right="339" w:bottom="1440" w:gutter="0" w:footer="0" w:header="0"/>
        </w:sect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In the case of COMPANY: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 a required copy to:</w:t>
      </w:r>
    </w:p>
    <w:p>
      <w:pPr>
        <w:spacing w:after="0" w:line="85"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p>
      <w:pPr>
        <w:ind w:left="100"/>
        <w:spacing w:after="0"/>
        <w:rPr>
          <w:sz w:val="20"/>
          <w:szCs w:val="20"/>
          <w:color w:val="auto"/>
        </w:rPr>
      </w:pPr>
      <w:r>
        <w:rPr>
          <w:rFonts w:ascii="Arial" w:cs="Arial" w:eastAsia="Arial" w:hAnsi="Arial"/>
          <w:sz w:val="21"/>
          <w:szCs w:val="21"/>
          <w:color w:val="auto"/>
        </w:rPr>
        <w:t>Arcutis Biotherapeutics, Inc.</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3027 Townsgate Rd, Suite 300</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Westlake Village, CA 91361</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 [***]</w:t>
      </w:r>
    </w:p>
    <w:p>
      <w:pPr>
        <w:sectPr>
          <w:pgSz w:w="11900" w:h="16838" w:orient="portrait"/>
          <w:cols w:equalWidth="0" w:num="1">
            <w:col w:w="11240"/>
          </w:cols>
          <w:pgMar w:left="320" w:top="1440" w:right="339" w:bottom="1440" w:gutter="0" w:footer="0" w:header="0"/>
          <w:type w:val="continuous"/>
        </w:sectPr>
      </w:pPr>
    </w:p>
    <w:p>
      <w:pPr>
        <w:spacing w:after="0" w:line="2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In the case of DPT:</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9"/>
          <w:szCs w:val="19"/>
          <w:b w:val="1"/>
          <w:bCs w:val="1"/>
          <w:color w:val="auto"/>
        </w:rPr>
        <w:t>With a required copy to:</w:t>
      </w:r>
    </w:p>
    <w:p>
      <w:pPr>
        <w:spacing w:after="0" w:line="85"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p>
      <w:pPr>
        <w:ind w:left="100"/>
        <w:spacing w:after="0"/>
        <w:rPr>
          <w:sz w:val="20"/>
          <w:szCs w:val="20"/>
          <w:color w:val="auto"/>
        </w:rPr>
      </w:pPr>
      <w:r>
        <w:rPr>
          <w:rFonts w:ascii="Arial" w:cs="Arial" w:eastAsia="Arial" w:hAnsi="Arial"/>
          <w:sz w:val="22"/>
          <w:szCs w:val="22"/>
          <w:color w:val="auto"/>
        </w:rPr>
        <w:t>DPT Laboratories, Ltd.</w:t>
      </w:r>
    </w:p>
    <w:p>
      <w:pPr>
        <w:ind w:left="100"/>
        <w:spacing w:after="0" w:line="238" w:lineRule="auto"/>
        <w:rPr>
          <w:sz w:val="20"/>
          <w:szCs w:val="20"/>
          <w:color w:val="auto"/>
        </w:rPr>
      </w:pPr>
      <w:r>
        <w:rPr>
          <w:rFonts w:ascii="Arial" w:cs="Arial" w:eastAsia="Arial" w:hAnsi="Arial"/>
          <w:sz w:val="22"/>
          <w:szCs w:val="22"/>
          <w:color w:val="auto"/>
        </w:rPr>
        <w:t>307 E. Josephine Street</w:t>
      </w:r>
    </w:p>
    <w:p>
      <w:pPr>
        <w:ind w:left="100"/>
        <w:spacing w:after="0"/>
        <w:rPr>
          <w:sz w:val="20"/>
          <w:szCs w:val="20"/>
          <w:color w:val="auto"/>
        </w:rPr>
      </w:pPr>
      <w:r>
        <w:rPr>
          <w:rFonts w:ascii="Arial" w:cs="Arial" w:eastAsia="Arial" w:hAnsi="Arial"/>
          <w:sz w:val="19"/>
          <w:szCs w:val="19"/>
          <w:color w:val="auto"/>
        </w:rPr>
        <w:t>San Antonio, TX 78215 U.S.A.</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Viatris Inc.</w:t>
      </w:r>
    </w:p>
    <w:p>
      <w:pPr>
        <w:spacing w:after="0" w:line="238" w:lineRule="auto"/>
        <w:rPr>
          <w:sz w:val="20"/>
          <w:szCs w:val="20"/>
          <w:color w:val="auto"/>
        </w:rPr>
      </w:pPr>
      <w:r>
        <w:rPr>
          <w:rFonts w:ascii="Arial" w:cs="Arial" w:eastAsia="Arial" w:hAnsi="Arial"/>
          <w:sz w:val="22"/>
          <w:szCs w:val="22"/>
          <w:color w:val="auto"/>
        </w:rPr>
        <w:t>1000 Mylan Boulevard</w:t>
      </w:r>
    </w:p>
    <w:p>
      <w:pPr>
        <w:spacing w:after="0" w:line="230" w:lineRule="auto"/>
        <w:rPr>
          <w:sz w:val="20"/>
          <w:szCs w:val="20"/>
          <w:color w:val="auto"/>
        </w:rPr>
      </w:pPr>
      <w:r>
        <w:rPr>
          <w:rFonts w:ascii="Arial" w:cs="Arial" w:eastAsia="Arial" w:hAnsi="Arial"/>
          <w:sz w:val="22"/>
          <w:szCs w:val="22"/>
          <w:color w:val="auto"/>
        </w:rPr>
        <w:t>Canonsburg, PA 15317 U.S.A.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Global General Counsel</w:t>
      </w:r>
    </w:p>
    <w:p>
      <w:pPr>
        <w:spacing w:after="0" w:line="234"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p>
      <w:pPr>
        <w:spacing w:after="0" w:line="10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14.6 Assignment</w:t>
      </w:r>
      <w:r>
        <w:rPr>
          <w:rFonts w:ascii="Arial" w:cs="Arial" w:eastAsia="Arial" w:hAnsi="Arial"/>
          <w:sz w:val="19"/>
          <w:szCs w:val="19"/>
          <w:color w:val="auto"/>
        </w:rPr>
        <w:t>. Neither Party shall at any time, without obtaining the prior written consent of the other Party, assign</w:t>
      </w:r>
      <w:r>
        <w:rPr>
          <w:rFonts w:ascii="Arial" w:cs="Arial" w:eastAsia="Arial" w:hAnsi="Arial"/>
          <w:sz w:val="19"/>
          <w:szCs w:val="19"/>
          <w:b w:val="1"/>
          <w:bCs w:val="1"/>
          <w:color w:val="auto"/>
        </w:rPr>
        <w:t xml:space="preserve"> </w:t>
      </w:r>
      <w:r>
        <w:rPr>
          <w:rFonts w:ascii="Arial" w:cs="Arial" w:eastAsia="Arial" w:hAnsi="Arial"/>
          <w:sz w:val="19"/>
          <w:szCs w:val="19"/>
          <w:color w:val="auto"/>
        </w:rPr>
        <w:t>or transfer this Agreement or subcontract its obligations hereunder to any Person. Notwithstanding the foregoing, DPT shall be permitted, without the consent of COMPANY, to assign this Agreement to its Affiliates or to perform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31 of 33</w:t>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whole or in part, through its Affiliates, and DPT may also assign this Agreement, without the consent of COMPANY, to any successor or Third Party that acquires all or substantially all of the assets to which this Agreement relates by sale, transfer, merger, reorganization, operation of law or otherwise; provided that the assignee agrees in writing to be bound to the terms and conditions of this Agreement. In the event of an assignment permitted under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the assigning Party shall notify the other Party in writing of such assignment. This Agreement shall be binding upon and shall inure to the benefit of the Parties and their successors and permitted assigns. Any assignment not in accordance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shall be null and void.</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14.7 Entire Agreement and Amendment</w:t>
      </w:r>
      <w:r>
        <w:rPr>
          <w:rFonts w:ascii="Arial" w:cs="Arial" w:eastAsia="Arial" w:hAnsi="Arial"/>
          <w:sz w:val="21"/>
          <w:szCs w:val="21"/>
          <w:color w:val="auto"/>
        </w:rPr>
        <w:t>. This Agreement (including, for clarity, its Schedules and Exhibits),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constitute and contain the entire understanding and agreement of the Parties respecting the subject matter hereof and cancel and supersede any and all prior and contemporaneous negotiations, correspondence, understandings and agreements between the Parties, whether oral or written, regarding such subject matter. Notwithstanding the foregoing, except as expressly set forth in </w:t>
      </w:r>
      <w:r>
        <w:rPr>
          <w:rFonts w:ascii="Arial" w:cs="Arial" w:eastAsia="Arial" w:hAnsi="Arial"/>
          <w:sz w:val="21"/>
          <w:szCs w:val="21"/>
          <w:u w:val="single" w:color="auto"/>
          <w:color w:val="auto"/>
        </w:rPr>
        <w:t>Section 2.6</w:t>
      </w:r>
      <w:r>
        <w:rPr>
          <w:rFonts w:ascii="Arial" w:cs="Arial" w:eastAsia="Arial" w:hAnsi="Arial"/>
          <w:sz w:val="21"/>
          <w:szCs w:val="21"/>
          <w:color w:val="auto"/>
        </w:rPr>
        <w:t>, to the extent the terms and conditions of the body of this Agreement conflict with the terms and conditions of any Schedule or Exhibit hereto, the terms and conditions of the body of this Agreement shall govern. No terms or provisions of this Agreement will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7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14.8 No Third Party Beneficiaries</w:t>
      </w:r>
      <w:r>
        <w:rPr>
          <w:rFonts w:ascii="Arial" w:cs="Arial" w:eastAsia="Arial" w:hAnsi="Arial"/>
          <w:sz w:val="19"/>
          <w:szCs w:val="19"/>
          <w:color w:val="auto"/>
        </w:rPr>
        <w:t>. Except for the rights to indemnification provided for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b w:val="1"/>
          <w:bCs w:val="1"/>
          <w:color w:val="auto"/>
        </w:rPr>
        <w:t xml:space="preserve"> </w:t>
      </w:r>
      <w:r>
        <w:rPr>
          <w:rFonts w:ascii="Arial" w:cs="Arial" w:eastAsia="Arial" w:hAnsi="Arial"/>
          <w:sz w:val="19"/>
          <w:szCs w:val="19"/>
          <w:color w:val="auto"/>
        </w:rPr>
        <w:t>above,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rights, benefits and remedies under this Agreement are solely intended for the benefit of DPT and COMPANY. Except for such rights to indemnification expressly provided pursuant to </w:t>
      </w:r>
      <w:r>
        <w:rPr>
          <w:rFonts w:ascii="Arial" w:cs="Arial" w:eastAsia="Arial" w:hAnsi="Arial"/>
          <w:sz w:val="19"/>
          <w:szCs w:val="19"/>
          <w:u w:val="single" w:color="auto"/>
          <w:color w:val="auto"/>
        </w:rPr>
        <w:t>Article 11</w:t>
      </w:r>
      <w:r>
        <w:rPr>
          <w:rFonts w:ascii="Arial" w:cs="Arial" w:eastAsia="Arial" w:hAnsi="Arial"/>
          <w:sz w:val="19"/>
          <w:szCs w:val="19"/>
          <w:color w:val="auto"/>
        </w:rPr>
        <w:t>, no Third Party shall have any rights whatsoever to (a) enforce any obligation contained in this Agreement; (b) seek a benefit or remedy for any breach of this Agreement; or (c) take any other action relating to this Agreement under any legal theory, including actions in contract, tort (including negligence, gross negligence and strict liability), or as a defense, setoff or counterclaim to any action or claim brought or made by the Parties.</w:t>
      </w:r>
    </w:p>
    <w:p>
      <w:pPr>
        <w:spacing w:after="0" w:line="1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14.9 Severability</w:t>
      </w:r>
      <w:r>
        <w:rPr>
          <w:rFonts w:ascii="Arial" w:cs="Arial" w:eastAsia="Arial" w:hAnsi="Arial"/>
          <w:sz w:val="19"/>
          <w:szCs w:val="19"/>
          <w:color w:val="auto"/>
        </w:rPr>
        <w:t>. Should one or more of the provisions of this Agreement become void or unenforceable as a matter</w:t>
      </w:r>
      <w:r>
        <w:rPr>
          <w:rFonts w:ascii="Arial" w:cs="Arial" w:eastAsia="Arial" w:hAnsi="Arial"/>
          <w:sz w:val="19"/>
          <w:szCs w:val="19"/>
          <w:b w:val="1"/>
          <w:bCs w:val="1"/>
          <w:color w:val="auto"/>
        </w:rPr>
        <w:t xml:space="preserve"> </w:t>
      </w:r>
      <w:r>
        <w:rPr>
          <w:rFonts w:ascii="Arial" w:cs="Arial" w:eastAsia="Arial" w:hAnsi="Arial"/>
          <w:sz w:val="19"/>
          <w:szCs w:val="19"/>
          <w:color w:val="auto"/>
        </w:rPr>
        <w:t>of law, then such provision shall be ineffective only to the extent of such prohibition or invalidity, without invalidating the remainder of this Agreement, and the Parties agree to negotiate in good faith a valid and enforceable provision therefor which, as nearly as possible, achieves the desired economic effect and mutual understanding of the Parties under this Agreement.</w:t>
      </w:r>
    </w:p>
    <w:p>
      <w:pPr>
        <w:spacing w:after="0" w:line="1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14.10 No Waiver</w:t>
      </w:r>
      <w:r>
        <w:rPr>
          <w:rFonts w:ascii="Arial" w:cs="Arial" w:eastAsia="Arial" w:hAnsi="Arial"/>
          <w:sz w:val="21"/>
          <w:szCs w:val="21"/>
          <w:color w:val="auto"/>
        </w:rPr>
        <w:t>. A waiver by any Party of any of the terms and conditions of this Agreement in any instance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or construed to be a waiver of such term or condition for the future, or of any subsequent breach hereof. All rights, remedies, undertakings, obligations and agreements contained in this Agreement will be cumulative and none of them will be in limitation of any other remedy, right, undertaking, obligation or agreement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32 of 33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14.11 Compliance with Law</w:t>
      </w:r>
      <w:r>
        <w:rPr>
          <w:rFonts w:ascii="Arial" w:cs="Arial" w:eastAsia="Arial" w:hAnsi="Arial"/>
          <w:sz w:val="22"/>
          <w:szCs w:val="22"/>
          <w:color w:val="auto"/>
        </w:rPr>
        <w:t>. Both COMPANY and DPT shall perform their obligations under this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Applicable Law and each Party shall bear its own costs in ensuring compliance therewith. No Party shall, or shall be required to, undertake any activity under or in connection with this Agreement that violates, or which it reasonably believes may violate, any Applicable Law.</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14.12 English Language</w:t>
      </w:r>
      <w:r>
        <w:rPr>
          <w:rFonts w:ascii="Arial" w:cs="Arial" w:eastAsia="Arial" w:hAnsi="Arial"/>
          <w:sz w:val="22"/>
          <w:szCs w:val="22"/>
          <w:color w:val="auto"/>
        </w:rPr>
        <w:t>. This Agreement shall be written and executed in the English language. Any translation into</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language shall not be an official version thereof, and in the event of any conflict in interpretation between the English version and such translation, the English version shall control.</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14.13 Review by Legal Counsel</w:t>
      </w:r>
      <w:r>
        <w:rPr>
          <w:rFonts w:ascii="Arial" w:cs="Arial" w:eastAsia="Arial" w:hAnsi="Arial"/>
          <w:sz w:val="22"/>
          <w:szCs w:val="22"/>
          <w:color w:val="auto"/>
        </w:rPr>
        <w:t>. Each Party agrees that it has read and had the opportunity to review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its legal counsel. Accordingly, the rule of construction that any ambiguity contained in this Agreement shall be construed against the drafting Party shall not apply.</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14.14 Further Acts</w:t>
      </w:r>
      <w:r>
        <w:rPr>
          <w:rFonts w:ascii="Arial" w:cs="Arial" w:eastAsia="Arial" w:hAnsi="Arial"/>
          <w:sz w:val="22"/>
          <w:szCs w:val="22"/>
          <w:color w:val="auto"/>
        </w:rPr>
        <w:t>. Each Party shall do, execute and perform and shall procure to be done and performed all such</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acts, deeds, documents and things as the other Parties may reasonably require from time to time to give full effect to the terms of this Agreement.</w:t>
      </w:r>
    </w:p>
    <w:p>
      <w:pPr>
        <w:spacing w:after="0" w:line="17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14.15 Counterparts</w:t>
      </w:r>
      <w:r>
        <w:rPr>
          <w:rFonts w:ascii="Arial" w:cs="Arial" w:eastAsia="Arial" w:hAnsi="Arial"/>
          <w:sz w:val="22"/>
          <w:szCs w:val="22"/>
          <w:color w:val="auto"/>
        </w:rPr>
        <w:t>. This Agreement may be executed in counterparts, each of which shall be deemed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which together shall constitute one and the same document. This Agreement and any amendments hereto, to the extent signed and delivered by means of electronic reproduction (e.g., portable document format (.pdf)), shall be treated in all manner and respects as an original and shall be considered to have the same binding legal effects as if it were the original signed version thereof delivered in person. At the request of a Party, the other Party shall re-execute original forms thereof and deliver them to the Party who made said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left intentionally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33 of 33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respective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as of the Effective Date, each copy of which will for all purposes be deemed to be an original.</w:t>
      </w:r>
    </w:p>
    <w:p>
      <w:pPr>
        <w:sectPr>
          <w:pgSz w:w="11900" w:h="16838" w:orient="portrait"/>
          <w:cols w:equalWidth="0" w:num="1">
            <w:col w:w="11240"/>
          </w:cols>
          <w:pgMar w:left="320" w:top="1440"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ARCUTIS BIOTHERAPEUTICS INC.</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DPT Laboratories, Ltd.</w:t>
      </w:r>
    </w:p>
    <w:p>
      <w:pPr>
        <w:spacing w:after="0" w:line="79"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By: /s/ Todd Franklin Watanabe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/s/ Geoff Kindt</w:t>
      </w:r>
    </w:p>
    <w:p>
      <w:pPr>
        <w:spacing w:after="0" w:line="79"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Print Name: Todd Franklin Watanabe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Print Name: Geoff Kindt</w:t>
      </w:r>
    </w:p>
    <w:p>
      <w:pPr>
        <w:spacing w:after="0" w:line="79"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Title: President, Chief Executive Officer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Title: Head of Site Operations</w:t>
      </w:r>
    </w:p>
    <w:p>
      <w:pPr>
        <w:spacing w:after="0" w:line="79"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Date: September 22,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September 17, 2021</w:t>
      </w:r>
    </w:p>
    <w:p>
      <w:pPr>
        <w:spacing w:after="0" w:line="200"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Manufacturing Agreement]</w:t>
      </w:r>
    </w:p>
    <w:p>
      <w:pPr>
        <w:sectPr>
          <w:pgSz w:w="11900" w:h="16838" w:orient="portrait"/>
          <w:cols w:equalWidth="0" w:num="1">
            <w:col w:w="11240"/>
          </w:cols>
          <w:pgMar w:left="320" w:top="1440" w:right="339" w:bottom="1440" w:gutter="0" w:footer="0" w:header="0"/>
          <w:type w:val="continuous"/>
        </w:sectPr>
      </w:pPr>
    </w:p>
    <w:bookmarkStart w:id="125" w:name="page126"/>
    <w:bookmarkEnd w:id="125"/>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0" w:type="dxa"/>
            <w:vAlign w:val="bottom"/>
            <w:gridSpan w:val="2"/>
          </w:tcPr>
          <w:p>
            <w:pPr>
              <w:jc w:val="center"/>
              <w:ind w:left="1468"/>
              <w:spacing w:after="0"/>
              <w:rPr>
                <w:sz w:val="20"/>
                <w:szCs w:val="20"/>
                <w:color w:val="auto"/>
              </w:rPr>
            </w:pPr>
            <w:r>
              <w:rPr>
                <w:rFonts w:ascii="Arial" w:cs="Arial" w:eastAsia="Arial" w:hAnsi="Arial"/>
                <w:sz w:val="22"/>
                <w:szCs w:val="22"/>
                <w:b w:val="1"/>
                <w:bCs w:val="1"/>
                <w:color w:val="auto"/>
                <w:w w:val="85"/>
              </w:rPr>
              <w:t>Schedule A</w:t>
            </w:r>
          </w:p>
        </w:tc>
        <w:tc>
          <w:tcPr>
            <w:tcW w:w="276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0" w:type="dxa"/>
            <w:vAlign w:val="bottom"/>
            <w:gridSpan w:val="2"/>
          </w:tcPr>
          <w:p>
            <w:pPr>
              <w:jc w:val="center"/>
              <w:ind w:left="1468"/>
              <w:spacing w:after="0"/>
              <w:rPr>
                <w:sz w:val="20"/>
                <w:szCs w:val="20"/>
                <w:color w:val="auto"/>
              </w:rPr>
            </w:pPr>
            <w:r>
              <w:rPr>
                <w:rFonts w:ascii="Arial" w:cs="Arial" w:eastAsia="Arial" w:hAnsi="Arial"/>
                <w:sz w:val="22"/>
                <w:szCs w:val="22"/>
                <w:b w:val="1"/>
                <w:bCs w:val="1"/>
                <w:color w:val="auto"/>
              </w:rPr>
              <w:t>API</w:t>
            </w:r>
          </w:p>
        </w:tc>
        <w:tc>
          <w:tcPr>
            <w:tcW w:w="2760" w:type="dxa"/>
            <w:vAlign w:val="bottom"/>
          </w:tcPr>
          <w:p>
            <w:pPr>
              <w:spacing w:after="0"/>
              <w:rPr>
                <w:sz w:val="24"/>
                <w:szCs w:val="24"/>
                <w:color w:val="auto"/>
              </w:rPr>
            </w:pPr>
          </w:p>
        </w:tc>
      </w:tr>
      <w:tr>
        <w:trPr>
          <w:trHeight w:val="470"/>
        </w:trPr>
        <w:tc>
          <w:tcPr>
            <w:tcW w:w="5580" w:type="dxa"/>
            <w:vAlign w:val="bottom"/>
            <w:gridSpan w:val="4"/>
          </w:tcPr>
          <w:p>
            <w:pPr>
              <w:spacing w:after="0"/>
              <w:rPr>
                <w:sz w:val="20"/>
                <w:szCs w:val="20"/>
                <w:color w:val="auto"/>
              </w:rPr>
            </w:pPr>
            <w:r>
              <w:rPr>
                <w:rFonts w:ascii="Arial" w:cs="Arial" w:eastAsia="Arial" w:hAnsi="Arial"/>
                <w:sz w:val="22"/>
                <w:szCs w:val="22"/>
                <w:color w:val="auto"/>
              </w:rPr>
              <w:t>API in the Roflumilast Cream, 0.3%</w:t>
            </w:r>
          </w:p>
        </w:tc>
        <w:tc>
          <w:tcPr>
            <w:tcW w:w="2760" w:type="dxa"/>
            <w:vAlign w:val="bottom"/>
          </w:tcPr>
          <w:p>
            <w:pPr>
              <w:spacing w:after="0"/>
              <w:rPr>
                <w:sz w:val="24"/>
                <w:szCs w:val="24"/>
                <w:color w:val="auto"/>
              </w:rPr>
            </w:pPr>
          </w:p>
        </w:tc>
      </w:tr>
      <w:tr>
        <w:trPr>
          <w:trHeight w:val="307"/>
        </w:trPr>
        <w:tc>
          <w:tcPr>
            <w:tcW w:w="320" w:type="dxa"/>
            <w:vAlign w:val="bottom"/>
            <w:tcBorders>
              <w:right w:val="single" w:sz="8" w:color="auto"/>
            </w:tcBorders>
          </w:tcPr>
          <w:p>
            <w:pPr>
              <w:spacing w:after="0"/>
              <w:rPr>
                <w:sz w:val="24"/>
                <w:szCs w:val="24"/>
                <w:color w:val="auto"/>
              </w:rPr>
            </w:pPr>
          </w:p>
        </w:tc>
        <w:tc>
          <w:tcPr>
            <w:tcW w:w="246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3"/>
                <w:szCs w:val="23"/>
                <w:b w:val="1"/>
                <w:bCs w:val="1"/>
                <w:color w:val="auto"/>
              </w:rPr>
              <w:t>Ingredient</w:t>
            </w:r>
          </w:p>
        </w:tc>
        <w:tc>
          <w:tcPr>
            <w:tcW w:w="2680" w:type="dxa"/>
            <w:vAlign w:val="bottom"/>
            <w:tcBorders>
              <w:top w:val="single" w:sz="8" w:color="auto"/>
              <w:bottom w:val="single" w:sz="8" w:color="auto"/>
              <w:right w:val="single" w:sz="8" w:color="auto"/>
            </w:tcBorders>
          </w:tcPr>
          <w:p>
            <w:pPr>
              <w:jc w:val="right"/>
              <w:ind w:right="828"/>
              <w:spacing w:after="0"/>
              <w:rPr>
                <w:sz w:val="20"/>
                <w:szCs w:val="20"/>
                <w:color w:val="auto"/>
              </w:rPr>
            </w:pPr>
            <w:r>
              <w:rPr>
                <w:rFonts w:ascii="Arial" w:cs="Arial" w:eastAsia="Arial" w:hAnsi="Arial"/>
                <w:sz w:val="23"/>
                <w:szCs w:val="23"/>
                <w:b w:val="1"/>
                <w:bCs w:val="1"/>
                <w:color w:val="auto"/>
                <w:w w:val="96"/>
              </w:rPr>
              <w:t>Amount (% w/w)</w:t>
            </w:r>
          </w:p>
        </w:tc>
        <w:tc>
          <w:tcPr>
            <w:tcW w:w="12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right w:val="single" w:sz="8" w:color="auto"/>
            </w:tcBorders>
          </w:tcPr>
          <w:p>
            <w:pPr>
              <w:jc w:val="center"/>
              <w:ind w:right="63"/>
              <w:spacing w:after="0"/>
              <w:rPr>
                <w:sz w:val="20"/>
                <w:szCs w:val="20"/>
                <w:color w:val="auto"/>
              </w:rPr>
            </w:pPr>
            <w:r>
              <w:rPr>
                <w:rFonts w:ascii="Arial" w:cs="Arial" w:eastAsia="Arial" w:hAnsi="Arial"/>
                <w:sz w:val="23"/>
                <w:szCs w:val="23"/>
                <w:b w:val="1"/>
                <w:bCs w:val="1"/>
                <w:color w:val="auto"/>
                <w:w w:val="91"/>
              </w:rPr>
              <w:t>Function of Component</w:t>
            </w:r>
          </w:p>
        </w:tc>
      </w:tr>
      <w:tr>
        <w:trPr>
          <w:trHeight w:val="302"/>
        </w:trPr>
        <w:tc>
          <w:tcPr>
            <w:tcW w:w="320" w:type="dxa"/>
            <w:vAlign w:val="bottom"/>
            <w:tcBorders>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23"/>
                <w:szCs w:val="23"/>
                <w:color w:val="auto"/>
              </w:rPr>
              <w:t>Roflumilast</w:t>
            </w:r>
          </w:p>
        </w:tc>
        <w:tc>
          <w:tcPr>
            <w:tcW w:w="2680" w:type="dxa"/>
            <w:vAlign w:val="bottom"/>
            <w:tcBorders>
              <w:bottom w:val="single" w:sz="8" w:color="auto"/>
              <w:right w:val="single" w:sz="8" w:color="auto"/>
            </w:tcBorders>
          </w:tcPr>
          <w:p>
            <w:pPr>
              <w:jc w:val="right"/>
              <w:ind w:right="1088"/>
              <w:spacing w:after="0"/>
              <w:rPr>
                <w:sz w:val="20"/>
                <w:szCs w:val="20"/>
                <w:color w:val="auto"/>
              </w:rPr>
            </w:pPr>
            <w:r>
              <w:rPr>
                <w:rFonts w:ascii="Arial" w:cs="Arial" w:eastAsia="Arial" w:hAnsi="Arial"/>
                <w:sz w:val="23"/>
                <w:szCs w:val="23"/>
                <w:color w:val="auto"/>
              </w:rPr>
              <w:t>0.3</w:t>
            </w: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center"/>
              <w:ind w:right="43"/>
              <w:spacing w:after="0"/>
              <w:rPr>
                <w:sz w:val="20"/>
                <w:szCs w:val="20"/>
                <w:color w:val="auto"/>
              </w:rPr>
            </w:pPr>
            <w:r>
              <w:rPr>
                <w:rFonts w:ascii="Arial" w:cs="Arial" w:eastAsia="Arial" w:hAnsi="Arial"/>
                <w:sz w:val="23"/>
                <w:szCs w:val="23"/>
                <w:color w:val="auto"/>
                <w:w w:val="89"/>
              </w:rPr>
              <w:t>Drug Substance</w:t>
            </w:r>
          </w:p>
        </w:tc>
      </w:tr>
    </w:tbl>
    <w:p>
      <w:pPr>
        <w:sectPr>
          <w:pgSz w:w="11900" w:h="16838" w:orient="portrait"/>
          <w:cols w:equalWidth="0" w:num="1">
            <w:col w:w="9479"/>
          </w:cols>
          <w:pgMar w:left="980" w:top="1440" w:right="1440" w:bottom="1440" w:gutter="0" w:footer="0" w:header="0"/>
        </w:sectPr>
      </w:pPr>
    </w:p>
    <w:bookmarkStart w:id="126" w:name="page127"/>
    <w:bookmarkEnd w:id="126"/>
    <w:p>
      <w:pPr>
        <w:spacing w:after="0" w:line="18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Schedule B</w:t>
      </w:r>
    </w:p>
    <w:p>
      <w:pPr>
        <w:spacing w:after="0" w:line="206"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Product &amp; Specifications</w:t>
      </w:r>
    </w:p>
    <w:p>
      <w:pPr>
        <w:spacing w:after="0" w:line="24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185"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Schedule C</w:t>
      </w:r>
    </w:p>
    <w:p>
      <w:pPr>
        <w:spacing w:after="0" w:line="241"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Fees</w:t>
      </w:r>
    </w:p>
    <w:p>
      <w:pPr>
        <w:spacing w:after="0" w:line="212" w:lineRule="exact"/>
        <w:rPr>
          <w:sz w:val="20"/>
          <w:szCs w:val="20"/>
          <w:color w:val="auto"/>
        </w:rPr>
      </w:pPr>
    </w:p>
    <w:p>
      <w:pPr>
        <w:jc w:val="right"/>
        <w:ind w:right="39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Schedule D</w:t>
      </w: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Territory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United States of America</w:t>
      </w:r>
    </w:p>
    <w:p>
      <w:pPr>
        <w:sectPr>
          <w:pgSz w:w="11900" w:h="16838" w:orient="portrait"/>
          <w:cols w:equalWidth="0" w:num="1">
            <w:col w:w="9479"/>
          </w:cols>
          <w:pgMar w:left="980" w:top="1440"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1300" w:right="240" w:hanging="320"/>
        <w:spacing w:after="0" w:line="263" w:lineRule="auto"/>
        <w:tabs>
          <w:tab w:leader="none" w:pos="1294" w:val="left"/>
        </w:tabs>
        <w:numPr>
          <w:ilvl w:val="2"/>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80"/>
        <w:spacing w:after="0"/>
        <w:tabs>
          <w:tab w:leader="none" w:pos="5020" w:val="left"/>
          <w:tab w:leader="none" w:pos="64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27432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3"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93"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Scott L. Burrows, certify that:</w:t>
      </w:r>
    </w:p>
    <w:p>
      <w:pPr>
        <w:spacing w:after="0" w:line="25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1300" w:right="240" w:hanging="320"/>
        <w:spacing w:after="0" w:line="263" w:lineRule="auto"/>
        <w:tabs>
          <w:tab w:leader="none" w:pos="1294"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80"/>
        <w:spacing w:after="0"/>
        <w:tabs>
          <w:tab w:leader="none" w:pos="5020" w:val="left"/>
          <w:tab w:leader="none" w:pos="67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27432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3"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Scott L. Burrows</w:t>
      </w:r>
    </w:p>
    <w:p>
      <w:pPr>
        <w:spacing w:after="0" w:line="27"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93" w:right="339" w:bottom="1440" w:gutter="0" w:footer="0" w:header="0"/>
        </w:sectPr>
      </w:pPr>
    </w:p>
    <w:bookmarkStart w:id="131" w:name="page132"/>
    <w:bookmarkEnd w:id="131"/>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connection with the Quarterly Report of Arcutis Biotherapeutics, Inc. (the “Company”) on Form 10-Q for the period ended September 30, 2021, as filed with the Securities and Exchange Commission on the date hereof (the “Report”), Todd Franklin Watanabe, Chief Executive Officer of the Company, and Scott L. Burrows, Chief Financial Officer of the Company, respectively, do each hereby certify, pursuant to 18 U.S.C. Section 1350, as adopted pursuant to Section 906 of the Sarbanes-Oxley Act of 2002, that:</w:t>
      </w:r>
    </w:p>
    <w:p>
      <w:pPr>
        <w:spacing w:after="0" w:line="187" w:lineRule="exact"/>
        <w:rPr>
          <w:sz w:val="20"/>
          <w:szCs w:val="20"/>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80" w:firstLine="320"/>
        <w:spacing w:after="0" w:line="277" w:lineRule="auto"/>
        <w:tabs>
          <w:tab w:leader="none" w:pos="13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tabs>
          <w:tab w:leader="none" w:pos="5740" w:val="left"/>
          <w:tab w:leader="none" w:pos="75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1629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(Principal Executive Officer)</w:t>
      </w:r>
    </w:p>
    <w:p>
      <w:pPr>
        <w:spacing w:after="0" w:line="49" w:lineRule="exact"/>
        <w:rPr>
          <w:sz w:val="20"/>
          <w:szCs w:val="20"/>
          <w:color w:val="auto"/>
        </w:rPr>
      </w:pPr>
    </w:p>
    <w:p>
      <w:pPr>
        <w:ind w:left="680"/>
        <w:spacing w:after="0"/>
        <w:tabs>
          <w:tab w:leader="none" w:pos="5740" w:val="left"/>
          <w:tab w:leader="none" w:pos="77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162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Scott L. Burrows</w:t>
      </w:r>
    </w:p>
    <w:p>
      <w:pPr>
        <w:spacing w:after="0" w:line="27"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9"/>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8"/>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lowerRoman"/>
      <w:start w:val="5"/>
    </w:lvl>
  </w:abstractNum>
  <w:abstractNum w:abstractNumId="11">
    <w:nsid w:val="3804823E"/>
    <w:multiLevelType w:val="hybridMultilevel"/>
    <w:lvl w:ilvl="0">
      <w:lvlJc w:val="left"/>
      <w:lvlText w:val="%1)"/>
      <w:numFmt w:val="decimal"/>
      <w:start w:val="255"/>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04"/>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upp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Roman"/>
      <w:start w:val="3"/>
    </w:lvl>
  </w:abstractNum>
  <w:abstractNum w:abstractNumId="46">
    <w:nsid w:val="374A3FE6"/>
    <w:multiLevelType w:val="hybridMultilevel"/>
    <w:lvl w:ilvl="0">
      <w:lvlJc w:val="left"/>
      <w:lvlText w:val="(%1)"/>
      <w:numFmt w:val="lowerRoman"/>
      <w:start w:val="4"/>
    </w:lvl>
  </w:abstractNum>
  <w:abstractNum w:abstractNumId="47">
    <w:nsid w:val="4F4EF005"/>
    <w:multiLevelType w:val="hybridMultilevel"/>
    <w:lvl w:ilvl="0">
      <w:lvlJc w:val="left"/>
      <w:lvlText w:val="(%1)"/>
      <w:numFmt w:val="lowerRoman"/>
      <w:start w:val="7"/>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Letter"/>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lowerLetter"/>
      <w:start w:val="4"/>
    </w:lvl>
  </w:abstractNum>
  <w:abstractNum w:abstractNumId="58">
    <w:nsid w:val="741226B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9">
    <w:nsid w:val="D34B6A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01" Type="http://schemas.openxmlformats.org/officeDocument/2006/relationships/hyperlink" Target="http://www.sec.gov/Archives/edgar/data/1787306/000178730620000010/exhibit31postipocertif.htm" TargetMode="External"/><Relationship Id="rId102" Type="http://schemas.openxmlformats.org/officeDocument/2006/relationships/hyperlink" Target="http://www.sec.gov/Archives/edgar/data/1787306/000178730620000010/exhibit32postipobylaws.htm" TargetMode="External"/><Relationship Id="rId103" Type="http://schemas.openxmlformats.org/officeDocument/2006/relationships/hyperlink" Target="http://www.sec.gov/Archives/edgar/data/1787306/000119312520010664/d784371dex41.htm" TargetMode="External"/><Relationship Id="rId104" Type="http://schemas.openxmlformats.org/officeDocument/2006/relationships/hyperlink" Target="http://www.sec.gov/Archives/edgar/data/1787306/000119312520001990/d784371dex42.htm" TargetMode="External"/><Relationship Id="rId105" Type="http://schemas.openxmlformats.org/officeDocument/2006/relationships/hyperlink" Target="http://www.sec.gov/Archives/edgar/data/1787306/000178730620000005/ex43descriptionofreg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2021-11-04T15:44:12Z</dcterms:created>
  <dcterms:modified xsi:type="dcterms:W3CDTF">2021-11-04T15:44:12Z</dcterms:modified>
</cp:coreProperties>
</file>