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167005</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52" w:lineRule="exact"/>
        <w:rPr>
          <w:sz w:val="24"/>
          <w:szCs w:val="24"/>
          <w:color w:val="auto"/>
        </w:rPr>
      </w:pPr>
    </w:p>
    <w:p>
      <w:pPr>
        <w:ind w:left="4940"/>
        <w:spacing w:after="0"/>
        <w:rPr>
          <w:sz w:val="20"/>
          <w:szCs w:val="20"/>
          <w:color w:val="auto"/>
        </w:rPr>
      </w:pPr>
      <w:r>
        <w:rPr>
          <w:rFonts w:ascii="Arial" w:cs="Arial" w:eastAsia="Arial" w:hAnsi="Arial"/>
          <w:sz w:val="29"/>
          <w:szCs w:val="29"/>
          <w:b w:val="1"/>
          <w:bCs w:val="1"/>
          <w:color w:val="auto"/>
        </w:rPr>
        <w:t>Form10-Q</w:t>
      </w:r>
    </w:p>
    <w:p>
      <w:pPr>
        <w:spacing w:after="0" w:line="49"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-107315</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1000" w:hanging="212"/>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1000" w:hanging="225"/>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 w:lineRule="exact"/>
        <w:rPr>
          <w:rFonts w:ascii="MS PGothic" w:cs="MS PGothic" w:eastAsia="MS PGothic" w:hAnsi="MS PGothic"/>
          <w:sz w:val="18"/>
          <w:szCs w:val="18"/>
          <w:color w:val="auto"/>
        </w:rPr>
      </w:pPr>
    </w:p>
    <w:p>
      <w:pPr>
        <w:ind w:left="462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-232410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Commission File Number: 001-39186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-207645</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1"/>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2060" w:type="dxa"/>
            <w:vAlign w:val="bottom"/>
            <w:gridSpan w:val="2"/>
          </w:tcPr>
          <w:p>
            <w:pPr>
              <w:jc w:val="center"/>
              <w:ind w:left="61"/>
              <w:spacing w:after="0"/>
              <w:rPr>
                <w:sz w:val="20"/>
                <w:szCs w:val="20"/>
                <w:color w:val="auto"/>
              </w:rPr>
            </w:pPr>
            <w:r>
              <w:rPr>
                <w:rFonts w:ascii="Arial" w:cs="Arial" w:eastAsia="Arial" w:hAnsi="Arial"/>
                <w:sz w:val="16"/>
                <w:szCs w:val="16"/>
                <w:b w:val="1"/>
                <w:bCs w:val="1"/>
                <w:color w:val="auto"/>
              </w:rPr>
              <w:t>Delaware</w:t>
            </w: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tcPr>
          <w:p>
            <w:pPr>
              <w:jc w:val="right"/>
              <w:ind w:right="1421"/>
              <w:spacing w:after="0"/>
              <w:rPr>
                <w:sz w:val="20"/>
                <w:szCs w:val="20"/>
                <w:color w:val="auto"/>
              </w:rPr>
            </w:pPr>
            <w:r>
              <w:rPr>
                <w:rFonts w:ascii="Arial" w:cs="Arial" w:eastAsia="Arial" w:hAnsi="Arial"/>
                <w:sz w:val="16"/>
                <w:szCs w:val="16"/>
                <w:b w:val="1"/>
                <w:bCs w:val="1"/>
                <w:color w:val="auto"/>
              </w:rPr>
              <w:t>81-2974255</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(State or Other Jurisdiction of Incorporation or Organization)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0" w:type="dxa"/>
            <w:vAlign w:val="bottom"/>
            <w:gridSpan w:val="3"/>
          </w:tcPr>
          <w:p>
            <w:pPr>
              <w:ind w:left="980"/>
              <w:spacing w:after="0"/>
              <w:rPr>
                <w:sz w:val="20"/>
                <w:szCs w:val="20"/>
                <w:color w:val="auto"/>
              </w:rPr>
            </w:pPr>
            <w:r>
              <w:rPr>
                <w:rFonts w:ascii="Arial" w:cs="Arial" w:eastAsia="Arial" w:hAnsi="Arial"/>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3260" w:type="dxa"/>
            <w:vAlign w:val="bottom"/>
            <w:gridSpan w:val="3"/>
          </w:tcPr>
          <w:p>
            <w:pPr>
              <w:jc w:val="center"/>
              <w:ind w:right="959"/>
              <w:spacing w:after="0" w:line="181" w:lineRule="exact"/>
              <w:rPr>
                <w:sz w:val="20"/>
                <w:szCs w:val="20"/>
                <w:color w:val="auto"/>
              </w:rPr>
            </w:pPr>
            <w:r>
              <w:rPr>
                <w:rFonts w:ascii="Arial" w:cs="Arial" w:eastAsia="Arial" w:hAnsi="Arial"/>
                <w:sz w:val="16"/>
                <w:szCs w:val="16"/>
                <w:b w:val="1"/>
                <w:bCs w:val="1"/>
                <w:color w:val="auto"/>
                <w:w w:val="89"/>
              </w:rPr>
              <w:t>2945 Townsgate Road Suite 110</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Pr>
          <w:p>
            <w:pPr>
              <w:jc w:val="right"/>
              <w:ind w:right="1621"/>
              <w:spacing w:after="0" w:line="181" w:lineRule="exact"/>
              <w:rPr>
                <w:sz w:val="20"/>
                <w:szCs w:val="20"/>
                <w:color w:val="auto"/>
              </w:rPr>
            </w:pPr>
            <w:r>
              <w:rPr>
                <w:rFonts w:ascii="Arial" w:cs="Arial" w:eastAsia="Arial" w:hAnsi="Arial"/>
                <w:sz w:val="16"/>
                <w:szCs w:val="16"/>
                <w:b w:val="1"/>
                <w:bCs w:val="1"/>
                <w:color w:val="auto"/>
              </w:rPr>
              <w:t>91361</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326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93"/>
              </w:rPr>
              <w:t>Westlake Village, California</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ind w:left="400"/>
              <w:spacing w:after="0"/>
              <w:rPr>
                <w:sz w:val="20"/>
                <w:szCs w:val="20"/>
                <w:color w:val="auto"/>
              </w:rPr>
            </w:pPr>
            <w:r>
              <w:rPr>
                <w:rFonts w:ascii="Arial" w:cs="Arial" w:eastAsia="Arial" w:hAnsi="Arial"/>
                <w:sz w:val="16"/>
                <w:szCs w:val="16"/>
                <w:b w:val="1"/>
                <w:bCs w:val="1"/>
                <w:color w:val="auto"/>
              </w:rPr>
              <w:t>(Zip Code)</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1160" w:type="dxa"/>
            <w:vAlign w:val="bottom"/>
            <w:gridSpan w:val="2"/>
            <w:vMerge w:val="restart"/>
          </w:tcPr>
          <w:p>
            <w:pPr>
              <w:jc w:val="center"/>
              <w:ind w:left="59"/>
              <w:spacing w:after="0"/>
              <w:rPr>
                <w:sz w:val="20"/>
                <w:szCs w:val="20"/>
                <w:color w:val="auto"/>
              </w:rPr>
            </w:pPr>
            <w:r>
              <w:rPr>
                <w:rFonts w:ascii="Arial" w:cs="Arial" w:eastAsia="Arial" w:hAnsi="Arial"/>
                <w:sz w:val="16"/>
                <w:szCs w:val="16"/>
                <w:b w:val="1"/>
                <w:bCs w:val="1"/>
                <w:color w:val="auto"/>
                <w:w w:val="93"/>
              </w:rPr>
              <w:t>(805) 418-5006</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6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3260" w:type="dxa"/>
            <w:vAlign w:val="bottom"/>
            <w:gridSpan w:val="3"/>
          </w:tcPr>
          <w:p>
            <w:pPr>
              <w:jc w:val="center"/>
              <w:ind w:right="2099"/>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5"/>
                <w:szCs w:val="15"/>
                <w:color w:val="auto"/>
              </w:rPr>
            </w:pPr>
          </w:p>
        </w:tc>
        <w:tc>
          <w:tcPr>
            <w:tcW w:w="25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4"/>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gridSpan w:val="4"/>
          </w:tcPr>
          <w:p>
            <w:pPr>
              <w:jc w:val="center"/>
              <w:ind w:right="1019"/>
              <w:spacing w:after="0"/>
              <w:rPr>
                <w:sz w:val="20"/>
                <w:szCs w:val="20"/>
                <w:color w:val="auto"/>
              </w:rPr>
            </w:pPr>
            <w:r>
              <w:rPr>
                <w:rFonts w:ascii="Arial" w:cs="Arial" w:eastAsia="Arial" w:hAnsi="Arial"/>
                <w:sz w:val="16"/>
                <w:szCs w:val="16"/>
                <w:b w:val="1"/>
                <w:bCs w:val="1"/>
                <w:color w:val="auto"/>
                <w:w w:val="91"/>
              </w:rPr>
              <w:t>Common Stock, par value $0.0001</w:t>
            </w:r>
          </w:p>
        </w:tc>
        <w:tc>
          <w:tcPr>
            <w:tcW w:w="160" w:type="dxa"/>
            <w:vAlign w:val="bottom"/>
          </w:tcPr>
          <w:p>
            <w:pPr>
              <w:spacing w:after="0"/>
              <w:rPr>
                <w:sz w:val="22"/>
                <w:szCs w:val="22"/>
                <w:color w:val="auto"/>
              </w:rPr>
            </w:pPr>
          </w:p>
        </w:tc>
        <w:tc>
          <w:tcPr>
            <w:tcW w:w="252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rPr>
              <w:t>ARQT</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bl>
    <w:p>
      <w:pPr>
        <w:spacing w:after="0" w:line="355" w:lineRule="exact"/>
        <w:rPr>
          <w:sz w:val="24"/>
          <w:szCs w:val="24"/>
          <w:color w:val="auto"/>
        </w:rPr>
      </w:pPr>
    </w:p>
    <w:p>
      <w:pPr>
        <w:ind w:right="320"/>
        <w:spacing w:after="0" w:line="19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3" w:lineRule="exact"/>
        <w:rPr>
          <w:sz w:val="24"/>
          <w:szCs w:val="24"/>
          <w:color w:val="auto"/>
        </w:rPr>
      </w:pPr>
    </w:p>
    <w:p>
      <w:pPr>
        <w:ind w:right="360"/>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0"/>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7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6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100"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660" w:right="2940" w:hanging="647"/>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The number of shares of the registrant’s Common Stock outstanding as of May 1, 2020 was 38,154,550.</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p>
      <w:pPr>
        <w:spacing w:after="0" w:line="333" w:lineRule="exact"/>
        <w:rPr>
          <w:sz w:val="20"/>
          <w:szCs w:val="20"/>
          <w:color w:val="auto"/>
        </w:rPr>
      </w:pPr>
    </w:p>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3.</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4.</w:t>
        </w:r>
      </w:hyperlink>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PART II</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1.</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1A.</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4.</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6.</w:t>
        </w:r>
      </w:hyperlink>
    </w:p>
    <w:p>
      <w:pPr>
        <w:spacing w:after="0" w:line="293" w:lineRule="exact"/>
        <w:rPr>
          <w:sz w:val="20"/>
          <w:szCs w:val="20"/>
          <w:color w:val="auto"/>
        </w:rPr>
      </w:pPr>
    </w:p>
    <w:p>
      <w:pPr>
        <w:ind w:left="20"/>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INDEX</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43"/>
        </w:trPr>
        <w:tc>
          <w:tcPr>
            <w:tcW w:w="8220" w:type="dxa"/>
            <w:vAlign w:val="bottom"/>
            <w:gridSpan w:val="6"/>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580" w:type="dxa"/>
            <w:vAlign w:val="bottom"/>
          </w:tcPr>
          <w:p>
            <w:pPr>
              <w:spacing w:after="0"/>
              <w:rPr>
                <w:sz w:val="21"/>
                <w:szCs w:val="21"/>
                <w:color w:val="auto"/>
              </w:rPr>
            </w:pPr>
          </w:p>
        </w:tc>
      </w:tr>
      <w:tr>
        <w:trPr>
          <w:trHeight w:val="513"/>
        </w:trPr>
        <w:tc>
          <w:tcPr>
            <w:tcW w:w="822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16"/>
        </w:trPr>
        <w:tc>
          <w:tcPr>
            <w:tcW w:w="22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Balance Sheets</w:t>
              </w:r>
            </w:hyperlink>
          </w:p>
        </w:tc>
        <w:tc>
          <w:tcPr>
            <w:tcW w:w="5980" w:type="dxa"/>
            <w:vAlign w:val="bottom"/>
            <w:gridSpan w:val="4"/>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10"/>
        </w:trPr>
        <w:tc>
          <w:tcPr>
            <w:tcW w:w="8220" w:type="dxa"/>
            <w:vAlign w:val="bottom"/>
            <w:gridSpan w:val="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Statements of Condensed </w:t>
              </w:r>
              <w:r>
                <w:rPr>
                  <w:rFonts w:ascii="Arial" w:cs="Arial" w:eastAsia="Arial" w:hAnsi="Arial"/>
                  <w:sz w:val="18"/>
                  <w:szCs w:val="18"/>
                  <w:u w:val="single" w:color="auto"/>
                  <w:color w:val="0000FF"/>
                </w:rPr>
                <w:t>Operations and Comprehensive Loss</w:t>
              </w:r>
            </w:hyperlink>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1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822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Statements of Condensed Convertible Preferred Stock and Stockholders’ </w:t>
              </w:r>
              <w:r>
                <w:rPr>
                  <w:rFonts w:ascii="Arial" w:cs="Arial" w:eastAsia="Arial" w:hAnsi="Arial"/>
                  <w:sz w:val="18"/>
                  <w:szCs w:val="18"/>
                  <w:u w:val="single" w:color="auto"/>
                  <w:color w:val="0000FF"/>
                </w:rPr>
                <w:t>Equity (Deficit</w:t>
              </w:r>
            </w:hyperlink>
            <w:r>
              <w:rPr>
                <w:rFonts w:ascii="Arial" w:cs="Arial" w:eastAsia="Arial" w:hAnsi="Arial"/>
                <w:sz w:val="18"/>
                <w:szCs w:val="18"/>
                <w:color w:val="000000"/>
              </w:rPr>
              <w:t>)</w:t>
            </w:r>
          </w:p>
        </w:tc>
        <w:tc>
          <w:tcPr>
            <w:tcW w:w="15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9"/>
        </w:trPr>
        <w:tc>
          <w:tcPr>
            <w:tcW w:w="30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Statements of Condensed Cash Flows</w:t>
              </w:r>
            </w:hyperlink>
          </w:p>
        </w:tc>
        <w:tc>
          <w:tcPr>
            <w:tcW w:w="2800" w:type="dxa"/>
            <w:vAlign w:val="bottom"/>
            <w:tcBorders>
              <w:top w:val="single" w:sz="8" w:color="0000FF"/>
            </w:tcBorders>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318"/>
        </w:trPr>
        <w:tc>
          <w:tcPr>
            <w:tcW w:w="8220" w:type="dxa"/>
            <w:vAlign w:val="bottom"/>
            <w:gridSpan w:val="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Notes to Unaudited Condensed </w:t>
              </w:r>
              <w:r>
                <w:rPr>
                  <w:rFonts w:ascii="Arial" w:cs="Arial" w:eastAsia="Arial" w:hAnsi="Arial"/>
                  <w:sz w:val="18"/>
                  <w:szCs w:val="18"/>
                  <w:u w:val="single" w:color="auto"/>
                  <w:color w:val="0000FF"/>
                </w:rPr>
                <w:t>Financial Statements</w:t>
              </w:r>
            </w:hyperlink>
          </w:p>
        </w:tc>
        <w:tc>
          <w:tcPr>
            <w:tcW w:w="15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1"/>
        </w:trPr>
        <w:tc>
          <w:tcPr>
            <w:tcW w:w="8220" w:type="dxa"/>
            <w:vAlign w:val="bottom"/>
            <w:gridSpan w:val="6"/>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158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29"/>
        </w:trPr>
        <w:tc>
          <w:tcPr>
            <w:tcW w:w="8220" w:type="dxa"/>
            <w:vAlign w:val="bottom"/>
            <w:gridSpan w:val="6"/>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Quantitative and Qualitative Disclosures about Market Risk</w:t>
              </w:r>
            </w:hyperlink>
          </w:p>
        </w:tc>
        <w:tc>
          <w:tcPr>
            <w:tcW w:w="15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30"/>
        </w:trPr>
        <w:tc>
          <w:tcPr>
            <w:tcW w:w="8220" w:type="dxa"/>
            <w:vAlign w:val="bottom"/>
            <w:gridSpan w:val="6"/>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Controls and Procedures</w:t>
              </w:r>
            </w:hyperlink>
          </w:p>
        </w:tc>
        <w:tc>
          <w:tcPr>
            <w:tcW w:w="15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499"/>
        </w:trPr>
        <w:tc>
          <w:tcPr>
            <w:tcW w:w="8220" w:type="dxa"/>
            <w:vAlign w:val="bottom"/>
            <w:gridSpan w:val="6"/>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OTHER INFORMATION</w:t>
              </w:r>
            </w:hyperlink>
          </w:p>
        </w:tc>
        <w:tc>
          <w:tcPr>
            <w:tcW w:w="1580" w:type="dxa"/>
            <w:vAlign w:val="bottom"/>
          </w:tcPr>
          <w:p>
            <w:pPr>
              <w:spacing w:after="0"/>
              <w:rPr>
                <w:sz w:val="24"/>
                <w:szCs w:val="24"/>
                <w:color w:val="auto"/>
              </w:rPr>
            </w:pPr>
          </w:p>
        </w:tc>
      </w:tr>
      <w:tr>
        <w:trPr>
          <w:trHeight w:val="230"/>
        </w:trPr>
        <w:tc>
          <w:tcPr>
            <w:tcW w:w="8220" w:type="dxa"/>
            <w:vAlign w:val="bottom"/>
            <w:gridSpan w:val="6"/>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1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29"/>
        </w:trPr>
        <w:tc>
          <w:tcPr>
            <w:tcW w:w="8220" w:type="dxa"/>
            <w:vAlign w:val="bottom"/>
            <w:gridSpan w:val="6"/>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Risk Factors</w:t>
              </w:r>
            </w:hyperlink>
          </w:p>
        </w:tc>
        <w:tc>
          <w:tcPr>
            <w:tcW w:w="15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594"/>
        </w:trPr>
        <w:tc>
          <w:tcPr>
            <w:tcW w:w="8220" w:type="dxa"/>
            <w:vAlign w:val="bottom"/>
            <w:gridSpan w:val="6"/>
          </w:tcPr>
          <w:p>
            <w:pPr>
              <w:spacing w:after="0"/>
              <w:rPr>
                <w:rFonts w:ascii="Arial" w:cs="Arial" w:eastAsia="Arial" w:hAnsi="Arial"/>
                <w:sz w:val="18"/>
                <w:szCs w:val="18"/>
                <w:color w:val="0000FF"/>
              </w:rPr>
            </w:pPr>
            <w:hyperlink w:anchor="page77">
              <w:r>
                <w:rPr>
                  <w:rFonts w:ascii="Arial" w:cs="Arial" w:eastAsia="Arial" w:hAnsi="Arial"/>
                  <w:sz w:val="18"/>
                  <w:szCs w:val="18"/>
                  <w:u w:val="single" w:color="auto"/>
                  <w:color w:val="0000FF"/>
                </w:rPr>
                <w:t>Unregistered Sales of</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Equity </w:t>
            </w:r>
            <w:hyperlink w:anchor="page77">
              <w:r>
                <w:rPr>
                  <w:rFonts w:ascii="Arial" w:cs="Arial" w:eastAsia="Arial" w:hAnsi="Arial"/>
                  <w:sz w:val="18"/>
                  <w:szCs w:val="18"/>
                  <w:u w:val="single" w:color="auto"/>
                  <w:color w:val="0000FF"/>
                </w:rPr>
                <w:t xml:space="preserve">Securities and </w:t>
              </w:r>
            </w:hyperlink>
            <w:r>
              <w:rPr>
                <w:rFonts w:ascii="Arial" w:cs="Arial" w:eastAsia="Arial" w:hAnsi="Arial"/>
                <w:sz w:val="18"/>
                <w:szCs w:val="18"/>
                <w:color w:val="0000FF"/>
              </w:rPr>
              <w:t xml:space="preserve">Use </w:t>
            </w:r>
            <w:hyperlink w:anchor="page77">
              <w:r>
                <w:rPr>
                  <w:rFonts w:ascii="Arial" w:cs="Arial" w:eastAsia="Arial" w:hAnsi="Arial"/>
                  <w:sz w:val="18"/>
                  <w:szCs w:val="18"/>
                  <w:u w:val="single" w:color="auto"/>
                  <w:color w:val="0000FF"/>
                </w:rPr>
                <w:t>of Proceeds</w:t>
              </w:r>
            </w:hyperlink>
          </w:p>
        </w:tc>
        <w:tc>
          <w:tcPr>
            <w:tcW w:w="1580" w:type="dxa"/>
            <w:vAlign w:val="bottom"/>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76</w:t>
              </w:r>
            </w:hyperlink>
          </w:p>
        </w:tc>
      </w:tr>
      <w:tr>
        <w:trPr>
          <w:trHeight w:val="243"/>
        </w:trPr>
        <w:tc>
          <w:tcPr>
            <w:tcW w:w="8220" w:type="dxa"/>
            <w:vAlign w:val="bottom"/>
            <w:gridSpan w:val="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Defaults Upon Senior Securities</w:t>
              </w:r>
            </w:hyperlink>
          </w:p>
        </w:tc>
        <w:tc>
          <w:tcPr>
            <w:tcW w:w="15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r>
      <w:tr>
        <w:trPr>
          <w:trHeight w:val="270"/>
        </w:trPr>
        <w:tc>
          <w:tcPr>
            <w:tcW w:w="8220" w:type="dxa"/>
            <w:vAlign w:val="bottom"/>
            <w:gridSpan w:val="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Mine Safety Disclosures</w:t>
              </w:r>
            </w:hyperlink>
          </w:p>
        </w:tc>
        <w:tc>
          <w:tcPr>
            <w:tcW w:w="15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r>
      <w:tr>
        <w:trPr>
          <w:trHeight w:val="257"/>
        </w:trPr>
        <w:tc>
          <w:tcPr>
            <w:tcW w:w="8220" w:type="dxa"/>
            <w:vAlign w:val="bottom"/>
            <w:gridSpan w:val="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Other Information</w:t>
              </w:r>
            </w:hyperlink>
          </w:p>
        </w:tc>
        <w:tc>
          <w:tcPr>
            <w:tcW w:w="15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r>
      <w:tr>
        <w:trPr>
          <w:trHeight w:val="243"/>
        </w:trPr>
        <w:tc>
          <w:tcPr>
            <w:tcW w:w="8220" w:type="dxa"/>
            <w:vAlign w:val="bottom"/>
            <w:gridSpan w:val="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Exhibits</w:t>
              </w:r>
            </w:hyperlink>
          </w:p>
        </w:tc>
        <w:tc>
          <w:tcPr>
            <w:tcW w:w="15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1114425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480"/>
            <w:col w:w="9800"/>
          </w:cols>
          <w:pgMar w:left="320" w:top="125" w:right="4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r>
        <w:rPr>
          <w:rFonts w:ascii="Arial" w:cs="Arial" w:eastAsia="Arial" w:hAnsi="Arial"/>
          <w:sz w:val="18"/>
          <w:szCs w:val="18"/>
          <w:b w:val="1"/>
          <w:bCs w:val="1"/>
          <w:i w:val="1"/>
          <w:iCs w:val="1"/>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(unaudited)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190,893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63,336</w:t>
            </w:r>
          </w:p>
        </w:tc>
        <w:tc>
          <w:tcPr>
            <w:tcW w:w="0" w:type="dxa"/>
            <w:vAlign w:val="bottom"/>
          </w:tcPr>
          <w:p>
            <w:pPr>
              <w:spacing w:after="0"/>
              <w:rPr>
                <w:sz w:val="1"/>
                <w:szCs w:val="1"/>
                <w:color w:val="auto"/>
              </w:rPr>
            </w:pPr>
          </w:p>
        </w:tc>
      </w:tr>
      <w:tr>
        <w:trPr>
          <w:trHeight w:val="250"/>
        </w:trPr>
        <w:tc>
          <w:tcPr>
            <w:tcW w:w="84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58,426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37,929</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4,559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43"/>
        </w:trPr>
        <w:tc>
          <w:tcPr>
            <w:tcW w:w="84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253,878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106,474</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254,392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50"/>
        </w:trPr>
        <w:tc>
          <w:tcPr>
            <w:tcW w:w="84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84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12,510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480" w:type="dxa"/>
            <w:vAlign w:val="bottom"/>
            <w:shd w:val="clear" w:color="auto" w:fill="CCEEFF"/>
          </w:tcPr>
          <w:p>
            <w:pPr>
              <w:ind w:left="520"/>
              <w:spacing w:after="0" w:line="195" w:lineRule="exact"/>
              <w:rPr>
                <w:sz w:val="20"/>
                <w:szCs w:val="20"/>
                <w:color w:val="auto"/>
              </w:rPr>
            </w:pPr>
            <w:r>
              <w:rPr>
                <w:rFonts w:ascii="Arial" w:cs="Arial" w:eastAsia="Arial" w:hAnsi="Arial"/>
                <w:sz w:val="18"/>
                <w:szCs w:val="18"/>
                <w:color w:val="auto"/>
              </w:rPr>
              <w:t>Convertible preferred stock, $0.0001 par value; no shares and 48,787,898 shares authorized at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March 31, 2020 and December 31, 2019, respectively; no shares and 24,385,388 shares issued</w:t>
            </w: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166,491</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at March 31, 2020 and December 31, 2019, respectively</w:t>
            </w: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480" w:type="dxa"/>
            <w:vAlign w:val="bottom"/>
            <w:shd w:val="clear" w:color="auto" w:fill="CCEEFF"/>
          </w:tcPr>
          <w:p>
            <w:pPr>
              <w:ind w:left="520"/>
              <w:spacing w:after="0" w:line="195" w:lineRule="exact"/>
              <w:rPr>
                <w:sz w:val="20"/>
                <w:szCs w:val="20"/>
                <w:color w:val="auto"/>
              </w:rPr>
            </w:pPr>
            <w:r>
              <w:rPr>
                <w:rFonts w:ascii="Arial" w:cs="Arial" w:eastAsia="Arial" w:hAnsi="Arial"/>
                <w:sz w:val="18"/>
                <w:szCs w:val="18"/>
                <w:color w:val="auto"/>
              </w:rPr>
              <w:t>Preferred stock, $0.0001 par value; 10,000,000 and no shares authorized at March 31, 2020 and</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December 31, 2019, respectively; no shares issued and outstanding at March 31, 2020 and</w:t>
            </w: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520"/>
              <w:spacing w:after="0" w:line="189" w:lineRule="exact"/>
              <w:rPr>
                <w:sz w:val="20"/>
                <w:szCs w:val="20"/>
                <w:color w:val="auto"/>
              </w:rPr>
            </w:pPr>
            <w:r>
              <w:rPr>
                <w:rFonts w:ascii="Arial" w:cs="Arial" w:eastAsia="Arial" w:hAnsi="Arial"/>
                <w:sz w:val="18"/>
                <w:szCs w:val="18"/>
                <w:color w:val="auto"/>
              </w:rPr>
              <w:t>Common stock, $0.0001 par value; 300,000,000 and 65,820,000 shares authorized at March 31,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520"/>
              <w:spacing w:after="0" w:line="176" w:lineRule="exact"/>
              <w:rPr>
                <w:sz w:val="20"/>
                <w:szCs w:val="20"/>
                <w:color w:val="auto"/>
              </w:rPr>
            </w:pPr>
            <w:r>
              <w:rPr>
                <w:rFonts w:ascii="Arial" w:cs="Arial" w:eastAsia="Arial" w:hAnsi="Arial"/>
                <w:sz w:val="18"/>
                <w:szCs w:val="18"/>
                <w:color w:val="auto"/>
              </w:rPr>
              <w:t>2020 and December 31, 2019, respectively; 38,154,550 and 2,879,763 shares issued at March 31,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520"/>
              <w:spacing w:after="0" w:line="176" w:lineRule="exact"/>
              <w:rPr>
                <w:sz w:val="20"/>
                <w:szCs w:val="20"/>
                <w:color w:val="auto"/>
              </w:rPr>
            </w:pPr>
            <w:r>
              <w:rPr>
                <w:rFonts w:ascii="Arial" w:cs="Arial" w:eastAsia="Arial" w:hAnsi="Arial"/>
                <w:sz w:val="18"/>
                <w:szCs w:val="18"/>
                <w:color w:val="auto"/>
                <w:w w:val="99"/>
              </w:rPr>
              <w:t>2020 and December 31, 2019, respectively; 37,471,997 and 2,120,853 shares outstanding at March</w:t>
            </w:r>
          </w:p>
        </w:tc>
        <w:tc>
          <w:tcPr>
            <w:tcW w:w="220" w:type="dxa"/>
            <w:vAlign w:val="bottom"/>
          </w:tcPr>
          <w:p>
            <w:pPr>
              <w:spacing w:after="0"/>
              <w:rPr>
                <w:sz w:val="15"/>
                <w:szCs w:val="15"/>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80" w:type="dxa"/>
            <w:vAlign w:val="bottom"/>
          </w:tcPr>
          <w:p>
            <w:pPr>
              <w:ind w:left="520"/>
              <w:spacing w:after="0"/>
              <w:rPr>
                <w:sz w:val="20"/>
                <w:szCs w:val="20"/>
                <w:color w:val="auto"/>
              </w:rPr>
            </w:pPr>
            <w:r>
              <w:rPr>
                <w:rFonts w:ascii="Arial" w:cs="Arial" w:eastAsia="Arial" w:hAnsi="Arial"/>
                <w:sz w:val="18"/>
                <w:szCs w:val="18"/>
                <w:color w:val="auto"/>
              </w:rPr>
              <w:t>31, 2020 and December 31, 2019, respectively</w:t>
            </w: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336,145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50"/>
        </w:trPr>
        <w:tc>
          <w:tcPr>
            <w:tcW w:w="84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(94,285)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(66,272)</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241,882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(65,029)</w:t>
            </w:r>
          </w:p>
        </w:tc>
        <w:tc>
          <w:tcPr>
            <w:tcW w:w="0" w:type="dxa"/>
            <w:vAlign w:val="bottom"/>
          </w:tcPr>
          <w:p>
            <w:pPr>
              <w:spacing w:after="0"/>
              <w:rPr>
                <w:sz w:val="1"/>
                <w:szCs w:val="1"/>
                <w:color w:val="auto"/>
              </w:rPr>
            </w:pPr>
          </w:p>
        </w:tc>
      </w:tr>
      <w:tr>
        <w:trPr>
          <w:trHeight w:val="27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254,392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25,182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77"/>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28,651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5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(27,993)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information: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24,256,402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1,632,694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80" w:type="dxa"/>
            <w:vAlign w:val="bottom"/>
          </w:tcPr>
          <w:p>
            <w:pPr>
              <w:spacing w:after="0"/>
              <w:rPr>
                <w:sz w:val="12"/>
                <w:szCs w:val="12"/>
                <w:color w:val="auto"/>
              </w:rPr>
            </w:pPr>
          </w:p>
        </w:tc>
        <w:tc>
          <w:tcPr>
            <w:tcW w:w="1340" w:type="dxa"/>
            <w:vAlign w:val="bottom"/>
            <w:gridSpan w:val="3"/>
          </w:tcPr>
          <w:p>
            <w:pPr>
              <w:jc w:val="center"/>
              <w:ind w:left="633"/>
              <w:spacing w:after="0"/>
              <w:rPr>
                <w:sz w:val="20"/>
                <w:szCs w:val="20"/>
                <w:color w:val="auto"/>
              </w:rPr>
            </w:pPr>
            <w:r>
              <w:rPr>
                <w:rFonts w:ascii="Arial" w:cs="Arial" w:eastAsia="Arial" w:hAnsi="Arial"/>
                <w:sz w:val="11"/>
                <w:szCs w:val="11"/>
                <w:b w:val="1"/>
                <w:bCs w:val="1"/>
                <w:color w:val="auto"/>
                <w:w w:val="99"/>
              </w:rPr>
              <w:t>Convertible</w:t>
            </w: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214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10"/>
                <w:szCs w:val="10"/>
                <w:color w:val="auto"/>
              </w:rPr>
            </w:pPr>
          </w:p>
        </w:tc>
        <w:tc>
          <w:tcPr>
            <w:tcW w:w="2140" w:type="dxa"/>
            <w:vAlign w:val="bottom"/>
            <w:gridSpan w:val="5"/>
          </w:tcPr>
          <w:p>
            <w:pPr>
              <w:ind w:left="640"/>
              <w:spacing w:after="0" w:line="122" w:lineRule="exact"/>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gridSpan w:val="3"/>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4"/>
                <w:szCs w:val="4"/>
                <w:color w:val="auto"/>
              </w:rPr>
            </w:pPr>
          </w:p>
        </w:tc>
        <w:tc>
          <w:tcPr>
            <w:tcW w:w="980" w:type="dxa"/>
            <w:vAlign w:val="bottom"/>
            <w:gridSpan w:val="2"/>
            <w:vMerge w:val="restart"/>
          </w:tcPr>
          <w:p>
            <w:pPr>
              <w:jc w:val="right"/>
              <w:ind w:right="260"/>
              <w:spacing w:after="0" w:line="106"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2"/>
            <w:vMerge w:val="restart"/>
          </w:tcPr>
          <w:p>
            <w:pPr>
              <w:ind w:left="20"/>
              <w:spacing w:after="0" w:line="106" w:lineRule="exact"/>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Pr>
          <w:p>
            <w:pPr>
              <w:spacing w:after="0"/>
              <w:rPr>
                <w:sz w:val="12"/>
                <w:szCs w:val="12"/>
                <w:color w:val="auto"/>
              </w:rPr>
            </w:pP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2"/>
                <w:szCs w:val="12"/>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98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tcPr>
          <w:p>
            <w:pPr>
              <w:jc w:val="right"/>
              <w:ind w:right="9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2018</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16,262,425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72,252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1,557,900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(23,987)</w:t>
            </w: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Vesting of founder shares subject to</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8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68,931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Lapse of repurchase rights related to</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pursuant to early</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65,868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short term</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(6,658)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72,252</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(30,539)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537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2580"/>
        <w:spacing w:after="0"/>
        <w:rPr>
          <w:sz w:val="20"/>
          <w:szCs w:val="20"/>
          <w:color w:val="auto"/>
        </w:rPr>
      </w:pPr>
      <w:r>
        <w:rPr>
          <w:rFonts w:ascii="Arial" w:cs="Arial" w:eastAsia="Arial" w:hAnsi="Arial"/>
          <w:sz w:val="11"/>
          <w:szCs w:val="11"/>
          <w:b w:val="1"/>
          <w:bCs w:val="1"/>
          <w:color w:val="auto"/>
        </w:rPr>
        <w:t>Convertible</w:t>
      </w:r>
    </w:p>
    <w:p>
      <w:pPr>
        <w:spacing w:after="0" w:line="7" w:lineRule="exact"/>
        <w:rPr>
          <w:sz w:val="20"/>
          <w:szCs w:val="20"/>
          <w:color w:val="auto"/>
        </w:rPr>
      </w:pPr>
    </w:p>
    <w:p>
      <w:pPr>
        <w:jc w:val="center"/>
        <w:ind w:left="2580"/>
        <w:spacing w:after="0"/>
        <w:rPr>
          <w:sz w:val="20"/>
          <w:szCs w:val="20"/>
          <w:color w:val="auto"/>
        </w:rPr>
      </w:pPr>
      <w:r>
        <w:rPr>
          <w:rFonts w:ascii="Arial" w:cs="Arial" w:eastAsia="Arial" w:hAnsi="Arial"/>
          <w:sz w:val="11"/>
          <w:szCs w:val="11"/>
          <w:b w:val="1"/>
          <w:bCs w:val="1"/>
          <w:color w:val="auto"/>
        </w:rPr>
        <w:t>Preferred Stock</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560" w:type="dxa"/>
            <w:vAlign w:val="bottom"/>
          </w:tcPr>
          <w:p>
            <w:pPr>
              <w:spacing w:after="0"/>
              <w:rPr>
                <w:sz w:val="12"/>
                <w:szCs w:val="12"/>
                <w:color w:val="auto"/>
              </w:rPr>
            </w:pP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800" w:type="dxa"/>
            <w:vAlign w:val="bottom"/>
          </w:tcPr>
          <w:p>
            <w:pPr>
              <w:jc w:val="right"/>
              <w:ind w:right="21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rPr>
                <w:sz w:val="20"/>
                <w:szCs w:val="20"/>
                <w:color w:val="auto"/>
              </w:rPr>
            </w:pPr>
            <w:r>
              <w:rPr>
                <w:rFonts w:ascii="Arial" w:cs="Arial" w:eastAsia="Arial" w:hAnsi="Arial"/>
                <w:sz w:val="14"/>
                <w:szCs w:val="14"/>
                <w:color w:val="auto"/>
              </w:rPr>
              <w:t>Balance—December 31, 2019</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4"/>
                <w:szCs w:val="14"/>
                <w:color w:val="auto"/>
              </w:rPr>
              <w:t>Conversion of preferred stock into</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common stock upon initial public</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offering</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Arial" w:cs="Arial" w:eastAsia="Arial" w:hAnsi="Arial"/>
                <w:sz w:val="14"/>
                <w:szCs w:val="14"/>
                <w:color w:val="auto"/>
              </w:rPr>
              <w:t>Issuance of shares of common stock,</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net of issuance costs of $16.0 million</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20"/>
                <w:szCs w:val="20"/>
                <w:color w:val="auto"/>
              </w:rPr>
            </w:pPr>
            <w:r>
              <w:rPr>
                <w:rFonts w:ascii="Arial" w:cs="Arial" w:eastAsia="Arial" w:hAnsi="Arial"/>
                <w:sz w:val="14"/>
                <w:szCs w:val="14"/>
                <w:color w:val="auto"/>
              </w:rPr>
              <w:t>Issuance of common stock upon the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4"/>
                <w:szCs w:val="14"/>
                <w:color w:val="auto"/>
              </w:rPr>
              <w:t>Vesting of founder shares subject to</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repurchase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4"/>
                <w:szCs w:val="14"/>
                <w:color w:val="auto"/>
              </w:rPr>
              <w:t>Lapse of repurchase rights related to</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common stock issued pursuant to early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exercises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4"/>
                <w:szCs w:val="14"/>
                <w:color w:val="auto"/>
              </w:rPr>
              <w:t>Unrealized gain on short term</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investments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4"/>
                <w:szCs w:val="14"/>
                <w:color w:val="auto"/>
              </w:rPr>
              <w:t>Balance—March 31, 2020</w:t>
            </w:r>
          </w:p>
        </w:tc>
        <w:tc>
          <w:tcPr>
            <w:tcW w:w="10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140" w:type="dxa"/>
            <w:vAlign w:val="bottom"/>
            <w:gridSpan w:val="5"/>
          </w:tcPr>
          <w:p>
            <w:pPr>
              <w:ind w:left="64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gridSpan w:val="3"/>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4"/>
                <w:szCs w:val="4"/>
                <w:color w:val="auto"/>
              </w:rPr>
            </w:pPr>
          </w:p>
        </w:tc>
        <w:tc>
          <w:tcPr>
            <w:tcW w:w="980" w:type="dxa"/>
            <w:vAlign w:val="bottom"/>
            <w:gridSpan w:val="2"/>
            <w:vMerge w:val="restart"/>
          </w:tcPr>
          <w:p>
            <w:pPr>
              <w:jc w:val="right"/>
              <w:ind w:right="260"/>
              <w:spacing w:after="0" w:line="106"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2"/>
            <w:vMerge w:val="restart"/>
          </w:tcPr>
          <w:p>
            <w:pPr>
              <w:ind w:left="20"/>
              <w:spacing w:after="0" w:line="106" w:lineRule="exact"/>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32"/>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98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tcPr>
          <w:p>
            <w:pPr>
              <w:jc w:val="right"/>
              <w:ind w:right="9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2,120,853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(66,272)</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540"/>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166,489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324"/>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10,781,250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167,240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378"/>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51,147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378"/>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68,931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0"/>
        </w:trPr>
        <w:tc>
          <w:tcPr>
            <w:tcW w:w="980" w:type="dxa"/>
            <w:vAlign w:val="bottom"/>
          </w:tcPr>
          <w:p>
            <w:pPr>
              <w:jc w:val="right"/>
              <w:ind w:right="71"/>
              <w:spacing w:after="0"/>
              <w:rPr>
                <w:sz w:val="20"/>
                <w:szCs w:val="20"/>
                <w:color w:val="auto"/>
              </w:rPr>
            </w:pPr>
            <w:r>
              <w:rPr>
                <w:rFonts w:ascii="Arial" w:cs="Arial" w:eastAsia="Arial" w:hAnsi="Arial"/>
                <w:sz w:val="14"/>
                <w:szCs w:val="14"/>
                <w:color w:val="auto"/>
              </w:rPr>
              <w:t>64,428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378"/>
        </w:trPr>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2"/>
        </w:trPr>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(28,013)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210"/>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37,471,997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336,145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(94,285)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241,882</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2">
            <w:col w:w="4620" w:space="160"/>
            <w:col w:w="6460"/>
          </w:cols>
          <w:pgMar w:left="320" w:top="449" w:right="339" w:bottom="1440" w:gutter="0" w:footer="0" w:header="0"/>
          <w:type w:val="continuous"/>
        </w:sect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Statements of Cash Flows</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In thousands</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(28,013)</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 amortization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0"/>
        </w:trPr>
        <w:tc>
          <w:tcPr>
            <w:tcW w:w="8100" w:type="dxa"/>
            <w:vAlign w:val="bottom"/>
          </w:tcPr>
          <w:p>
            <w:pPr>
              <w:ind w:left="660"/>
              <w:spacing w:after="0"/>
              <w:rPr>
                <w:sz w:val="20"/>
                <w:szCs w:val="20"/>
                <w:color w:val="auto"/>
              </w:rPr>
            </w:pPr>
            <w:r>
              <w:rPr>
                <w:rFonts w:ascii="Arial" w:cs="Arial" w:eastAsia="Arial" w:hAnsi="Arial"/>
                <w:sz w:val="14"/>
                <w:szCs w:val="14"/>
                <w:color w:val="auto"/>
              </w:rPr>
              <w:t>Net amortization/accretion on marketable securities</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0"/>
        </w:trPr>
        <w:tc>
          <w:tcPr>
            <w:tcW w:w="8100" w:type="dxa"/>
            <w:vAlign w:val="bottom"/>
          </w:tcPr>
          <w:p>
            <w:pPr>
              <w:ind w:left="6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10"/>
        </w:trPr>
        <w:tc>
          <w:tcPr>
            <w:tcW w:w="8100" w:type="dxa"/>
            <w:vAlign w:val="bottom"/>
          </w:tcPr>
          <w:p>
            <w:pPr>
              <w:ind w:left="98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10"/>
        </w:trPr>
        <w:tc>
          <w:tcPr>
            <w:tcW w:w="8100" w:type="dxa"/>
            <w:vAlign w:val="bottom"/>
          </w:tcPr>
          <w:p>
            <w:pPr>
              <w:ind w:left="98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8100" w:type="dxa"/>
            <w:vAlign w:val="bottom"/>
          </w:tcPr>
          <w:p>
            <w:pPr>
              <w:ind w:left="142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(21,010)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(7,074)</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(35,285)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(11,687)</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(9,270)</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168,646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168,893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10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127,557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(16,344)</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63,336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39,394</w:t>
            </w: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190,893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23,050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Right-of-use asset obtained in exchange for lease liability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0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financing costs included in accounts payable and accrued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ectPr>
          <w:pgSz w:w="11900" w:h="16838" w:orient="portrait"/>
          <w:cols w:equalWidth="0" w:num="1">
            <w:col w:w="11000"/>
          </w:cols>
          <w:pgMar w:left="320" w:top="44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3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Arcutis Biotherapeutics, Inc., or the Company, is a late-stage biopharmaceutical company focused on developing and commercializing treatments for dermatological diseases with high unmet medical needs. The Company’s current portfolio is comprised of topical treatments with significant promise in addressing immune-mediated dermatological diseases and conditions, or immuno-dermatology. The Company’s strategy is to advance treatments that leverage validated biological targets in dermatology in order to deliver clinical profiles that address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8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January 31, 2020, the Company completed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 The financial statements as of March 31, 2020, including share and per share amounts, incorporate the effects of the IPO.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$94.3 million and $ 66.3 million as of March 31, 2020 and December 31, 2019, respectively. The Company had cash, cash equivalents and marketable securities of $249.3 million and $101.3 million as of March 31, 2020 and December 31, 2019, respectively. Prior to selling common stock in its IPO, the Company had historically financed its operations primarily through the sale of its convertible preferred stock. Management expects operating losses to continue for the foreseeable future.</w:t>
      </w:r>
    </w:p>
    <w:p>
      <w:pPr>
        <w:spacing w:after="0" w:line="9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ind w:right="240" w:firstLine="8"/>
        <w:spacing w:after="0" w:line="238" w:lineRule="auto"/>
        <w:tabs>
          <w:tab w:leader="none" w:pos="31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outbreak. As of May 12, 2020, the Company’s operations have not been significantly impacted by the COVID-19 pandemic. The Company is monitoring the potential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840" w:firstLine="648"/>
        <w:spacing w:after="0" w:line="261" w:lineRule="auto"/>
        <w:rPr>
          <w:sz w:val="20"/>
          <w:szCs w:val="20"/>
          <w:color w:val="auto"/>
        </w:rPr>
      </w:pPr>
      <w:r>
        <w:rPr>
          <w:rFonts w:ascii="Arial" w:cs="Arial" w:eastAsia="Arial" w:hAnsi="Arial"/>
          <w:sz w:val="18"/>
          <w:szCs w:val="18"/>
          <w:color w:val="auto"/>
        </w:rPr>
        <w:t>The Company’s condensed financial statements have been prepared in accordance with United States generally accepted accounting principles, or U.S.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2020), stock-based compensation expense and income taxes. Appropriate adjustments, if any, to the estimates used are made prospectively based upon such periodic evaluation. Actual results could differ from those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39" w:lineRule="exact"/>
        <w:rPr>
          <w:sz w:val="20"/>
          <w:szCs w:val="20"/>
          <w:color w:val="auto"/>
        </w:rPr>
      </w:pPr>
    </w:p>
    <w:p>
      <w:pPr>
        <w:ind w:right="900" w:firstLine="648"/>
        <w:spacing w:after="0" w:line="291"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interim condensed balance sheet as of March 31, 2020, the interim condensed statements of operations and comprehensive loss, the condensed changes in convertible preferred stock and stockholders’ equity (deficit) and cash flows for the three months ended March 31, 2020 and 2019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three-month periods are also unaudited. The condensed results of operations for the three months ended March 31, 2020 are not necessarily indicative of the results to be expected for the year ending December 31, 2020 or for any other future annual or interim period. The condensed balance sheet as of December 31, 2019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money market funds, commercial paper, and government securities.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are classified as current based on their availability for use in current operations.</w:t>
      </w:r>
    </w:p>
    <w:p>
      <w:pPr>
        <w:spacing w:after="0" w:line="9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Unrealized gains and losses are excluded from earnings and are reported as a component of comprehensive loss. Realized gains and losses as well as credit losses, if any, on marketable securities are included in other income (expense), net. The Company evaluated the underlying credit quality and credit ratings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issuers during the period. To date, no such credit losses have occurred or have been recorded. The cost of investments sold is based on the specific-identification method. As of March 31, 2020, there were unrealized gains on marketable securities of $19,000 and as of December 31, 2019, there were unrealized losses on marketable securities of $1,000. Unrealized gains and losses on marketable securities are reported as a component of Accumulated Other Comprehensive Income (Loss) on the balance sheet. There were no realized gains or losses on investments for the three months ended March 31, 2020 and 2019. Interest on marketable securities is included in Other income (expense), net.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3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204"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1"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The Company’s financial instruments, in addition to those presented in Note 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include cash equivalents, accounts payable and accrued liabilities. The carrying amount of cash equivalents, accounts payable and accrued liabilities approximate their fair values due to their short maturities.</w:t>
      </w:r>
    </w:p>
    <w:p>
      <w:pPr>
        <w:spacing w:after="0" w:line="1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0" w:lineRule="exact"/>
        <w:rPr>
          <w:sz w:val="20"/>
          <w:szCs w:val="20"/>
          <w:color w:val="auto"/>
        </w:rPr>
      </w:pPr>
    </w:p>
    <w:p>
      <w:pPr>
        <w:ind w:left="660" w:right="560" w:firstLine="648"/>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90" w:lineRule="exact"/>
        <w:rPr>
          <w:sz w:val="20"/>
          <w:szCs w:val="20"/>
          <w:color w:val="auto"/>
        </w:rPr>
      </w:pPr>
    </w:p>
    <w:p>
      <w:pPr>
        <w:ind w:left="660" w:right="160" w:firstLine="648"/>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94" w:lineRule="exact"/>
        <w:rPr>
          <w:sz w:val="20"/>
          <w:szCs w:val="20"/>
          <w:color w:val="auto"/>
        </w:rPr>
      </w:pPr>
    </w:p>
    <w:p>
      <w:pPr>
        <w:ind w:left="660" w:right="120" w:firstLine="648"/>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Company leases a facility with a non-cancelable lease term of 30 months. The term of the lease includes a renewal option at the election of the Company to extend the lease for an additional term. The renewal option has not been considered in the determination of the right-of-use, or ROU, asset or lease liability as the Company did not consider it reasonably certain it would exercise this option.</w:t>
      </w:r>
    </w:p>
    <w:p>
      <w:pPr>
        <w:spacing w:after="0" w:line="22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determines if an arrangement is or contains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commencement and excludes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231"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The Company’s lease agreement includes lease and non-lease components and the Company has elected to not separate such components. Further, the Company elected the short-term lease exception policy, permitting it to not apply the recognition requirements of this standard to leases with terms of 12 months or less (short-term leases) for all classes of assets.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months ended March 31, 2020 and 2019, the Company has not experienced any material differences between accrued costs and actual costs incurred.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39"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January 2020, the Company’s outstanding shares of convertible preferred stock were automatically converted into 24,385,388 shares of common stock.</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20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342"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23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by the United States Congress on March 27, 2020. The CARES Act is an emergency economic stimulus package that includes spending and tax breaks to strengthen the U.S. economy and fund a nationwide effort to curtail the effect of COVID-19. The CARES Act includes modifications to the limitations on business interest expense and net operating loss provisions and provides a payment delay of employer payroll taxes during 2020 after the date of enactment. The Company does not expect the CARES Act to have a material impact on the Company’s financial statements.</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or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or ASU No. 2018-13, which removes, modifies, and adds various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fair value measurements in Topic 820. ASU No. 2018-13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standard as of January 1, 2020, and it did not have a material impact on its condensed financial statements.</w:t>
      </w:r>
    </w:p>
    <w:p>
      <w:pPr>
        <w:spacing w:after="0" w:line="18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or ASU No. 2016-13</w:t>
      </w:r>
      <w:r>
        <w:rPr>
          <w:rFonts w:ascii="Arial" w:cs="Arial" w:eastAsia="Arial" w:hAnsi="Arial"/>
          <w:sz w:val="18"/>
          <w:szCs w:val="18"/>
          <w:i w:val="1"/>
          <w:iCs w:val="1"/>
          <w:color w:val="auto"/>
        </w:rPr>
        <w:t xml:space="preserve">. </w:t>
      </w:r>
      <w:r>
        <w:rPr>
          <w:rFonts w:ascii="Arial" w:cs="Arial" w:eastAsia="Arial" w:hAnsi="Arial"/>
          <w:sz w:val="18"/>
          <w:szCs w:val="18"/>
          <w:color w:val="auto"/>
        </w:rPr>
        <w:t>This update requires the measurement of all expected credit losses for financial assets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reporting date based on historical experience, current conditions, and reasonable and supportable forecasts. Financial institutions and other organizations now include forward-looking information in the determination of their credit loss estimates. Many of the previous loss estimation techniques are still permitted, although the inputs to those techniques have changed to reflect the full amount of expected credit losses. In addition, this update amends the accounting for credit losses on available-for-sale debt securities and purchased financial assets with credit deterioration. The Company adopted this standard as of January 1, 2020, and it did not have a material impact on its condensed financial statements. There was no impact on the Company's condensed financial statements from credit losses for the three months ended March 31, 2020.</w:t>
      </w:r>
    </w:p>
    <w:p>
      <w:pPr>
        <w:spacing w:after="0" w:line="19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which amends the existing guidance relating to the accounting for income taxes. This standard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standard is effective for public business entities for fiscal years beginning after December 15, 2020, and interim periods therein.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guidance as of January 1, 2020, and it did not have a material impact on its condensed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39"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382"/>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3"/>
        </w:trPr>
        <w:tc>
          <w:tcPr>
            <w:tcW w:w="5440" w:type="dxa"/>
            <w:vAlign w:val="bottom"/>
          </w:tcPr>
          <w:p>
            <w:pPr>
              <w:ind w:left="360"/>
              <w:spacing w:after="0"/>
              <w:rPr>
                <w:sz w:val="20"/>
                <w:szCs w:val="20"/>
                <w:color w:val="auto"/>
              </w:rPr>
            </w:pPr>
            <w:r>
              <w:rPr>
                <w:rFonts w:ascii="Arial" w:cs="Arial" w:eastAsia="Arial" w:hAnsi="Arial"/>
                <w:sz w:val="18"/>
                <w:szCs w:val="18"/>
                <w:color w:val="auto"/>
              </w:rPr>
              <w:t>Money market funds(1)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190,893</w:t>
            </w:r>
          </w:p>
        </w:tc>
        <w:tc>
          <w:tcPr>
            <w:tcW w:w="120" w:type="dxa"/>
            <w:vAlign w:val="bottom"/>
          </w:tcPr>
          <w:p>
            <w:pPr>
              <w:spacing w:after="0"/>
              <w:rPr>
                <w:sz w:val="22"/>
                <w:szCs w:val="22"/>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70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190,893</w:t>
            </w:r>
          </w:p>
        </w:tc>
      </w:tr>
      <w:tr>
        <w:trPr>
          <w:trHeight w:val="277"/>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53,396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53,396</w:t>
            </w:r>
          </w:p>
        </w:tc>
      </w:tr>
      <w:tr>
        <w:trPr>
          <w:trHeight w:val="263"/>
        </w:trPr>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Government securities</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5,030</w:t>
            </w:r>
          </w:p>
        </w:tc>
      </w:tr>
      <w:tr>
        <w:trPr>
          <w:trHeight w:val="270"/>
        </w:trPr>
        <w:tc>
          <w:tcPr>
            <w:tcW w:w="5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195,923</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53,396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gridSpan w:val="2"/>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249,319</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68"/>
        </w:trPr>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3"/>
        </w:trPr>
        <w:tc>
          <w:tcPr>
            <w:tcW w:w="5440" w:type="dxa"/>
            <w:vAlign w:val="bottom"/>
          </w:tcPr>
          <w:p>
            <w:pPr>
              <w:ind w:left="360"/>
              <w:spacing w:after="0"/>
              <w:rPr>
                <w:sz w:val="20"/>
                <w:szCs w:val="20"/>
                <w:color w:val="auto"/>
              </w:rPr>
            </w:pPr>
            <w:r>
              <w:rPr>
                <w:rFonts w:ascii="Arial" w:cs="Arial" w:eastAsia="Arial" w:hAnsi="Arial"/>
                <w:sz w:val="18"/>
                <w:szCs w:val="18"/>
                <w:color w:val="auto"/>
              </w:rPr>
              <w:t>Money market funds(1)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43,558</w:t>
            </w:r>
          </w:p>
        </w:tc>
        <w:tc>
          <w:tcPr>
            <w:tcW w:w="120" w:type="dxa"/>
            <w:vAlign w:val="bottom"/>
          </w:tcPr>
          <w:p>
            <w:pPr>
              <w:spacing w:after="0"/>
              <w:rPr>
                <w:sz w:val="22"/>
                <w:szCs w:val="22"/>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742"/>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43,558</w:t>
            </w:r>
          </w:p>
        </w:tc>
      </w:tr>
      <w:tr>
        <w:trPr>
          <w:trHeight w:val="263"/>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44,689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44,689</w:t>
            </w:r>
          </w:p>
        </w:tc>
      </w:tr>
      <w:tr>
        <w:trPr>
          <w:trHeight w:val="263"/>
        </w:trPr>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Government securities</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13,018</w:t>
            </w:r>
          </w:p>
        </w:tc>
      </w:tr>
      <w:tr>
        <w:trPr>
          <w:trHeight w:val="270"/>
        </w:trPr>
        <w:tc>
          <w:tcPr>
            <w:tcW w:w="5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56,576</w:t>
            </w:r>
          </w:p>
        </w:tc>
        <w:tc>
          <w:tcPr>
            <w:tcW w:w="1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44,689</w:t>
            </w:r>
          </w:p>
        </w:tc>
        <w:tc>
          <w:tcPr>
            <w:tcW w:w="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101,265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38"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Commercial paper, money market funds and government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between Levels 1, 2 or 3 for any of the periods presented.</w:t>
      </w:r>
    </w:p>
    <w:p>
      <w:pPr>
        <w:spacing w:after="0" w:line="205"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0"/>
        </w:trPr>
        <w:tc>
          <w:tcPr>
            <w:tcW w:w="5600" w:type="dxa"/>
            <w:vAlign w:val="bottom"/>
          </w:tcPr>
          <w:p>
            <w:pPr>
              <w:ind w:left="340"/>
              <w:spacing w:after="0"/>
              <w:rPr>
                <w:sz w:val="20"/>
                <w:szCs w:val="20"/>
                <w:color w:val="auto"/>
              </w:rPr>
            </w:pPr>
            <w:r>
              <w:rPr>
                <w:rFonts w:ascii="Arial" w:cs="Arial" w:eastAsia="Arial" w:hAnsi="Arial"/>
                <w:sz w:val="18"/>
                <w:szCs w:val="18"/>
                <w:color w:val="auto"/>
              </w:rPr>
              <w:t>Money market funds(1)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190,893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190,893</w:t>
            </w:r>
          </w:p>
        </w:tc>
      </w:tr>
      <w:tr>
        <w:trPr>
          <w:trHeight w:val="263"/>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190,893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190,893</w:t>
            </w: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53,396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53,396</w:t>
            </w:r>
          </w:p>
        </w:tc>
      </w:tr>
      <w:tr>
        <w:trPr>
          <w:trHeight w:val="250"/>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5,030</w:t>
            </w:r>
          </w:p>
        </w:tc>
      </w:tr>
      <w:tr>
        <w:trPr>
          <w:trHeight w:val="270"/>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marketable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58,407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58,426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56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11,780</w:t>
            </w:r>
          </w:p>
        </w:tc>
      </w:tr>
      <w:tr>
        <w:trPr>
          <w:trHeight w:val="263"/>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funds(1)</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43,558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43,558</w:t>
            </w:r>
          </w:p>
        </w:tc>
      </w:tr>
      <w:tr>
        <w:trPr>
          <w:trHeight w:val="250"/>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7,998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7,998</w:t>
            </w:r>
          </w:p>
        </w:tc>
      </w:tr>
      <w:tr>
        <w:trPr>
          <w:trHeight w:val="257"/>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63,336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63,336</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32,909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32,909</w:t>
            </w:r>
          </w:p>
        </w:tc>
      </w:tr>
      <w:tr>
        <w:trPr>
          <w:trHeight w:val="250"/>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5,020</w:t>
            </w:r>
          </w:p>
        </w:tc>
      </w:tr>
      <w:tr>
        <w:trPr>
          <w:trHeight w:val="270"/>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marketable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37,930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37,929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There were no realized gains or losses on investments for the three months ended March 31, 2020 and 2019. As of March 31, 2020 and December 31, 2019, unrealized losses on marketable securities were not material, and accordingly, no allowance for credit losses was recorded as of March 31, 2020. As of March 31, 2020 and December 31, 2019, all securities have a maturity of one year or less and all securities with gross unrealized losses have been in continuous loss position for less than twelve months.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Prepaid clinical trial costs</w:t>
            </w: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 current</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5"/>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7,281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License Agreements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3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or AstraZeneca, granting the Company a worldwide exclusive license, with the right to sublicense through multiple tiers, under certain AstraZeneca-controlled patent rights, know-how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2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preferred stock, valued at $3.0 million on the date of the AstraZeneca License Agreement. The company subsequently paid AstraZeneca the first milestone cash payment of $2.0 million upon the completion of a Phase 2b study of topical roflumilast cream (ARQ-151)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AZ-licensed Products for the three months ended March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the Company entered into an exclusive option and license agreement, or the Hengrui License Agreement, with Jiangsu Hengrui Medicine Co., Ltd., or Hengrui, whereby Hengrui granted the Company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 million in sales-based milestones based on certain aggregate annual net sales volumes with respect to a licensed product.</w:t>
      </w:r>
    </w:p>
    <w:p>
      <w:pPr>
        <w:spacing w:after="0" w:line="1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Hengrui for the three months ended March 31, 2020 and 2019.</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39"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or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$ 2,000,000 by (ii) an amount equal to the cash price per share for Series A preferred stock. Other than the potential issuance of this common stock, there are no upfront payments, milestones or royalties pursuant to the Hawkeye Agreement. The Company determined that Hawkeye is a variable interest entity for which consolidation is not required as it is not the primary beneficiary.</w:t>
      </w:r>
    </w:p>
    <w:p>
      <w:pPr>
        <w:spacing w:after="0" w:line="293" w:lineRule="exact"/>
        <w:rPr>
          <w:sz w:val="20"/>
          <w:szCs w:val="20"/>
          <w:color w:val="auto"/>
        </w:rPr>
      </w:pPr>
    </w:p>
    <w:p>
      <w:pPr>
        <w:ind w:left="660" w:right="8180" w:hanging="652"/>
        <w:spacing w:after="0" w:line="411" w:lineRule="auto"/>
        <w:tabs>
          <w:tab w:leader="none" w:pos="212"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Operating Lease</w:t>
      </w:r>
    </w:p>
    <w:p>
      <w:pPr>
        <w:spacing w:after="0" w:line="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Company leases one facility in Westlake Village, California under an operating lease that commenced in February 2019 and has a non-cancelable lease term of 30 months, subject to fixed escalation increases.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annual rental payments of the Company’s operating lease liability as of March 31, 2020 are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Amounts</w:t>
            </w:r>
          </w:p>
        </w:tc>
      </w:tr>
      <w:tr>
        <w:trPr>
          <w:trHeight w:val="25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(April through December)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145</w:t>
            </w:r>
          </w:p>
        </w:tc>
      </w:tr>
      <w:tr>
        <w:trPr>
          <w:trHeight w:val="25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132</w:t>
            </w:r>
          </w:p>
        </w:tc>
      </w:tr>
      <w:tr>
        <w:trPr>
          <w:trHeight w:val="25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277</w:t>
            </w:r>
          </w:p>
        </w:tc>
      </w:tr>
      <w:tr>
        <w:trPr>
          <w:trHeight w:val="25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82"/>
        </w:trPr>
        <w:tc>
          <w:tcPr>
            <w:tcW w:w="9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Present value of future minimum lease payments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9800" w:type="dxa"/>
            <w:vAlign w:val="bottom"/>
          </w:tcPr>
          <w:p>
            <w:pPr>
              <w:ind w:left="20"/>
              <w:spacing w:after="0"/>
              <w:rPr>
                <w:sz w:val="20"/>
                <w:szCs w:val="20"/>
                <w:color w:val="auto"/>
              </w:rPr>
            </w:pPr>
            <w:r>
              <w:rPr>
                <w:rFonts w:ascii="Arial" w:cs="Arial" w:eastAsia="Arial" w:hAnsi="Arial"/>
                <w:sz w:val="18"/>
                <w:szCs w:val="18"/>
                <w:color w:val="auto"/>
              </w:rPr>
              <w:t>Current portion operating lease liability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182</w:t>
            </w:r>
          </w:p>
        </w:tc>
      </w:tr>
      <w:tr>
        <w:trPr>
          <w:trHeight w:val="25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r>
      <w:tr>
        <w:trPr>
          <w:trHeight w:val="256"/>
        </w:trPr>
        <w:tc>
          <w:tcPr>
            <w:tcW w:w="9800" w:type="dxa"/>
            <w:vAlign w:val="bottom"/>
          </w:tcPr>
          <w:p>
            <w:pPr>
              <w:ind w:left="340"/>
              <w:spacing w:after="0"/>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264</w:t>
            </w:r>
          </w:p>
        </w:tc>
      </w:tr>
      <w:tr>
        <w:trPr>
          <w:trHeight w:val="21"/>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Straight-line rent expense recognized for operating leases was $43,000 and $24,000 for the three months ended March 31, 2020 and 2019, respectively . There were no variable lease payments, including non-lease components such as common area maintenance fees, recognized as rent expense for operating leases for the three months ended March 31, 2020 and 2019.</w:t>
      </w:r>
    </w:p>
    <w:p>
      <w:pPr>
        <w:spacing w:after="0" w:line="229"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information represents supplemental disclosure for the statement of cash flows related to the Company’s operating lease (in thousands):</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26035</wp:posOffset>
            </wp:positionV>
            <wp:extent cx="2219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49" w:lineRule="exact"/>
        <w:rPr>
          <w:sz w:val="20"/>
          <w:szCs w:val="20"/>
          <w:color w:val="auto"/>
        </w:rPr>
      </w:pPr>
    </w:p>
    <w:p>
      <w:pPr>
        <w:ind w:left="8240"/>
        <w:spacing w:after="0"/>
        <w:tabs>
          <w:tab w:leader="none" w:pos="10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1230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16256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72" w:lineRule="exact"/>
        <w:rPr>
          <w:sz w:val="20"/>
          <w:szCs w:val="20"/>
          <w:color w:val="auto"/>
        </w:rPr>
      </w:pPr>
    </w:p>
    <w:p>
      <w:pPr>
        <w:ind w:left="20"/>
        <w:spacing w:after="0"/>
        <w:tabs>
          <w:tab w:leader="none" w:pos="7560" w:val="left"/>
          <w:tab w:leader="none" w:pos="8880" w:val="left"/>
          <w:tab w:leader="none" w:pos="9340" w:val="left"/>
          <w:tab w:leader="none" w:pos="10680" w:val="left"/>
        </w:tabs>
        <w:rPr>
          <w:sz w:val="20"/>
          <w:szCs w:val="20"/>
          <w:color w:val="auto"/>
        </w:rPr>
      </w:pPr>
      <w:r>
        <w:rPr>
          <w:rFonts w:ascii="Arial" w:cs="Arial" w:eastAsia="Arial" w:hAnsi="Arial"/>
          <w:sz w:val="18"/>
          <w:szCs w:val="18"/>
          <w:color w:val="auto"/>
        </w:rPr>
        <w:t>Cash paid for amounts included in the measurement of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7"/>
          <w:szCs w:val="17"/>
          <w:color w:val="auto"/>
        </w:rPr>
        <w:t>16</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additional information related to the operating lease: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4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March 31, 2020</w:t>
            </w:r>
          </w:p>
        </w:tc>
      </w:tr>
      <w:tr>
        <w:trPr>
          <w:trHeight w:val="256"/>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30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2020, the Company amended its lease agreement. See Note 10.</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California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Convertible Preferred Stock and Stockholders’ Equity (Deficit)</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Liquidation</w:t>
            </w:r>
          </w:p>
        </w:tc>
      </w:tr>
      <w:tr>
        <w:trPr>
          <w:trHeight w:val="19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Preference</w:t>
            </w:r>
          </w:p>
        </w:tc>
      </w:tr>
      <w:tr>
        <w:trPr>
          <w:trHeight w:val="27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13,800,000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6,897,575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14,340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13,800</w:t>
            </w:r>
          </w:p>
        </w:tc>
      </w:tr>
      <w:tr>
        <w:trPr>
          <w:trHeight w:val="26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18,736,270</w:t>
            </w:r>
          </w:p>
        </w:tc>
        <w:tc>
          <w:tcPr>
            <w:tcW w:w="120" w:type="dxa"/>
            <w:vAlign w:val="bottom"/>
          </w:tcPr>
          <w:p>
            <w:pPr>
              <w:spacing w:after="0"/>
              <w:rPr>
                <w:sz w:val="22"/>
                <w:szCs w:val="22"/>
                <w:color w:val="auto"/>
              </w:rPr>
            </w:pP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9,364,850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57,912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58,000</w:t>
            </w:r>
          </w:p>
        </w:tc>
      </w:tr>
      <w:tr>
        <w:trPr>
          <w:trHeight w:val="25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16,251,628</w:t>
            </w:r>
          </w:p>
        </w:tc>
        <w:tc>
          <w:tcPr>
            <w:tcW w:w="12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8,122,963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94,239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94,500</w:t>
            </w:r>
          </w:p>
        </w:tc>
      </w:tr>
      <w:tr>
        <w:trPr>
          <w:trHeight w:val="256"/>
        </w:trPr>
        <w:tc>
          <w:tcPr>
            <w:tcW w:w="5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48,787,898</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24,385,388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166,491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166,300</w:t>
            </w: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connection with the Company's IPO in January 2020, all of the Company’s outstanding shares of convertible preferred stock were automatically converted into 24,385,388 shares of common stock.</w:t>
      </w:r>
    </w:p>
    <w:p>
      <w:pPr>
        <w:spacing w:after="0" w:line="197"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In October 2019, the Company issued 8,122,963 shares of Series C convertible preferred stock at a purchase price of $11.63 per share for total gross proceeds of $94.5 million, some of which were to related parties.</w:t>
      </w:r>
    </w:p>
    <w:p>
      <w:pPr>
        <w:spacing w:after="0" w:line="197"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In September 2018, the Company issued 9,364,850 shares of Series B convertible preferred stock at a purchase price of $6.19 per share for total proceeds of $57.9 million, some of which were to related parties.</w:t>
      </w:r>
    </w:p>
    <w:p>
      <w:pPr>
        <w:spacing w:after="0" w:line="198"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April 2017, the Company entered into a Stock Purchase Agreement with investors, some of which were related parties, to issue 5,398,111 shares of Series A convertible preferred stock at $ 2.00 per share in three tranches. The first tranche, consisting of 3,590,845 shares for net proceeds of $7.1 million, was completed upon execution of the agreement. Additionally, the Company issued 149,946 shares of Series A convertible preferred stock as a result of the conversion of convertible promissory notes with an outstanding principal amount of $154,000 and the settlement of the derivative liability of $150,000.</w:t>
      </w:r>
    </w:p>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Series A investors were also granted freestanding rights to participate in additional tranches to raise a minimum of $ 3.3 million, upon election by the board of directors including at least one of the Series A directors, by purchasing 1,657,314 shares of Series A convertible preferred stock at $2.00 per share in two tranches, provided such election occurred prior to April 2019. The two tranches consisted of 828,654 shares and 828,660 shares,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respectively. The Company concluded that the investors’ rights to purchase Series A convertible preferred shares met the definition of a freestanding financial instrument, as they were legally detachable and separately exercisable from the Series A convertible preferred stock, or the Series A Convertible Preferred Stock Liability. As the Series A Convertible Preferred Stock Liability was redeemable at the election of holders of the then-outstanding shares, it represented a liability to be accounted for at fair value and remeasured at each reporting period.</w:t>
      </w:r>
    </w:p>
    <w:p>
      <w:pPr>
        <w:spacing w:after="0" w:line="19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Changes in fair value were recognized as a gain or loss in other income (expense), net in the statement of operations. On the closing of the first tranche in April 2017, the Company recorded the initial fair value of the Series A Convertible Preferred Stock Liability of $219,000 for the second and the third tranche participating rights by reducing the carrying value of Series A convertible preferred stock.</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March 2018, the Company completed the second tranche closing and issued 3,156,784 shares of Series A convertible preferred stock to the investors at a purchase price of $2.00 per share for net proceeds of $6.3 million. The Series A Convertible Preferred Stock Liability was remeasured to fair value just prior to settlement and the carrying value of the liability of $891,000 was reclassified to Series A convertible preferred stock. Concurrently with the closing of the second tranche, the Company amended the Series A convertible preferred stock purchase agreement to merge the second and third tranches and increased the maximum number of shares to be issued in the second tranche to 3,156,784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3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March 31, 2020, no dividends had been declared by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14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8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outstanding</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24,385,388</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3,061,521</w:t>
            </w:r>
          </w:p>
        </w:tc>
        <w:tc>
          <w:tcPr>
            <w:tcW w:w="12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2,516,470</w:t>
            </w:r>
          </w:p>
        </w:tc>
      </w:tr>
      <w:tr>
        <w:trPr>
          <w:trHeight w:val="26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3,251,890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1,550,150</w:t>
            </w:r>
          </w:p>
        </w:tc>
      </w:tr>
      <w:tr>
        <w:trPr>
          <w:trHeight w:val="25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 outstanding</w:t>
            </w: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130,060</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r>
      <w:tr>
        <w:trPr>
          <w:trHeight w:val="275"/>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common stock reserved</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6,443,471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28,452,008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26"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March 31, 2020 and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Stock-Based Compensation</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January 2020, the Company’s board of directors approved the 2020 Equity Incentive Plan, or the 2020 Plan, which became effective upon the completion of the IPO on January 31, 2020. The 2020 Plan serves as the successor incentive award plan to the Company’s 2017 Equity Incentive Plan, or the 2017 Plan, and has 2,134,000 shares of 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 unexercised and which following the effective date of the 2020 Plan are not issued under the 2017 Plan. In addition, the 2020 Plan reserve will increase on January 1, 2021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and each subsequent anniversary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As of March 31, 2020, the Company had 2,900,890 shares available for future grant under the 2020 Plan.</w:t>
      </w:r>
    </w:p>
    <w:p>
      <w:pPr>
        <w:spacing w:after="0" w:line="9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9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360" w:type="dxa"/>
            <w:vAlign w:val="bottom"/>
          </w:tcPr>
          <w:p>
            <w:pPr>
              <w:spacing w:after="0"/>
              <w:rPr>
                <w:sz w:val="14"/>
                <w:szCs w:val="14"/>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360" w:type="dxa"/>
            <w:vAlign w:val="bottom"/>
          </w:tcPr>
          <w:p>
            <w:pPr>
              <w:spacing w:after="0"/>
              <w:rPr>
                <w:sz w:val="17"/>
                <w:szCs w:val="17"/>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2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2,516,470</w:t>
            </w:r>
          </w:p>
        </w:tc>
        <w:tc>
          <w:tcPr>
            <w:tcW w:w="4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7,673</w:t>
            </w:r>
          </w:p>
        </w:tc>
      </w:tr>
      <w:tr>
        <w:trPr>
          <w:trHeight w:val="250"/>
        </w:trPr>
        <w:tc>
          <w:tcPr>
            <w:tcW w:w="53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653,200</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(108,149)</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Balance—March 31, 2020</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3,061,521</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65,155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7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Exercisable—March 31, 2020</w:t>
            </w: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1,686,893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40,408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211" w:lineRule="exact"/>
        <w:rPr>
          <w:sz w:val="20"/>
          <w:szCs w:val="20"/>
          <w:color w:val="auto"/>
        </w:rPr>
      </w:pPr>
    </w:p>
    <w:p>
      <w:pPr>
        <w:jc w:val="both"/>
        <w:ind w:right="520" w:firstLine="648"/>
        <w:spacing w:after="0" w:line="256"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March 31, 2020. As of December 31, 2019, prior to the Company's IPO, the estimated fair value of the Company's common stock was determined by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intrinsic value of options exercised for the three months ended March 31, 2020 was $1.5 million.</w:t>
      </w:r>
    </w:p>
    <w:p>
      <w:pPr>
        <w:spacing w:after="0" w:line="225"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The total grant-date fair value of the options vested during the three months ended March 31, 2020 was $367,000. The weighted-average grant-date fair value of employee options granted during the three months ended March 31, 2020 was $16.94.</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our restricted stock units (RSUs):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5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73"/>
              <w:spacing w:after="0"/>
              <w:rPr>
                <w:sz w:val="20"/>
                <w:szCs w:val="20"/>
                <w:color w:val="auto"/>
              </w:rPr>
            </w:pPr>
            <w:r>
              <w:rPr>
                <w:rFonts w:ascii="Arial" w:cs="Arial" w:eastAsia="Arial" w:hAnsi="Arial"/>
                <w:sz w:val="18"/>
                <w:szCs w:val="18"/>
                <w:color w:val="auto"/>
              </w:rPr>
              <w:t>130,060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
              <w:spacing w:after="0"/>
              <w:rPr>
                <w:sz w:val="20"/>
                <w:szCs w:val="20"/>
                <w:color w:val="auto"/>
              </w:rPr>
            </w:pPr>
            <w:r>
              <w:rPr>
                <w:rFonts w:ascii="Arial" w:cs="Arial" w:eastAsia="Arial" w:hAnsi="Arial"/>
                <w:sz w:val="18"/>
                <w:szCs w:val="18"/>
                <w:color w:val="auto"/>
              </w:rPr>
              <w:t>27.61</w:t>
            </w:r>
          </w:p>
        </w:tc>
      </w:tr>
      <w:tr>
        <w:trPr>
          <w:trHeight w:val="263"/>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ind w:right="75"/>
              <w:spacing w:after="0"/>
              <w:rPr>
                <w:sz w:val="20"/>
                <w:szCs w:val="20"/>
                <w:color w:val="auto"/>
              </w:rPr>
            </w:pPr>
            <w:r>
              <w:rPr>
                <w:rFonts w:ascii="Arial" w:cs="Arial" w:eastAsia="Arial" w:hAnsi="Arial"/>
                <w:sz w:val="18"/>
                <w:szCs w:val="18"/>
                <w:color w:val="auto"/>
              </w:rPr>
              <w:t>—</w:t>
            </w:r>
          </w:p>
        </w:tc>
      </w:tr>
      <w:tr>
        <w:trPr>
          <w:trHeight w:val="28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Balance—March 31, 2020</w:t>
            </w:r>
          </w:p>
        </w:tc>
        <w:tc>
          <w:tcPr>
            <w:tcW w:w="1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130,060</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27.61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4 years. There were no RSU grants prior to January 1,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Stock-based compensation expense recognized in our Condensed Statements of Operations and Comprehensive Loss was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7"/>
                <w:szCs w:val="17"/>
                <w:color w:val="auto"/>
              </w:rPr>
            </w:pPr>
          </w:p>
        </w:tc>
      </w:tr>
      <w:tr>
        <w:trPr>
          <w:trHeight w:val="209"/>
        </w:trPr>
        <w:tc>
          <w:tcPr>
            <w:tcW w:w="65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w w:val="96"/>
              </w:rPr>
              <w:t>2019</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w:t>
            </w:r>
          </w:p>
        </w:tc>
      </w:tr>
      <w:tr>
        <w:trPr>
          <w:trHeight w:val="26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45</w:t>
            </w:r>
          </w:p>
        </w:tc>
      </w:tr>
      <w:tr>
        <w:trPr>
          <w:trHeight w:val="282"/>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March 31, 2020, there was $15.8 million of total unrecognized compensation cost related to unvested options that are expected to vest, which is expected to be recognized over a weighted-average period of 3.4 years. As of March 31, 2020, there was $3.6 million of total unrecognized compensation cost related to RSUs that is expected to vest, which is expected to be recognized over a weighted-average period of 3.9 years.</w:t>
      </w:r>
    </w:p>
    <w:p>
      <w:pPr>
        <w:spacing w:after="0" w:line="204"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72" w:lineRule="exact"/>
        <w:rPr>
          <w:sz w:val="20"/>
          <w:szCs w:val="20"/>
          <w:color w:val="auto"/>
        </w:rPr>
      </w:pPr>
    </w:p>
    <w:p>
      <w:pPr>
        <w:ind w:left="660" w:right="100" w:firstLine="648"/>
        <w:spacing w:after="0" w:line="270"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For options granted prior to IPO in the year ended December 31, 2019, given the absence of</w:t>
      </w:r>
      <w:r>
        <w:rPr>
          <w:rFonts w:ascii="Arial" w:cs="Arial" w:eastAsia="Arial" w:hAnsi="Arial"/>
          <w:sz w:val="17"/>
          <w:szCs w:val="17"/>
          <w:i w:val="1"/>
          <w:iCs w:val="1"/>
          <w:color w:val="auto"/>
        </w:rPr>
        <w:t xml:space="preserve"> </w:t>
      </w:r>
      <w:r>
        <w:rPr>
          <w:rFonts w:ascii="Arial" w:cs="Arial" w:eastAsia="Arial" w:hAnsi="Arial"/>
          <w:sz w:val="17"/>
          <w:szCs w:val="17"/>
          <w:color w:val="auto"/>
        </w:rPr>
        <w:t>a 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w:t>
      </w:r>
    </w:p>
    <w:p>
      <w:pPr>
        <w:spacing w:after="0" w:line="2" w:lineRule="exact"/>
        <w:rPr>
          <w:sz w:val="20"/>
          <w:szCs w:val="20"/>
          <w:color w:val="auto"/>
        </w:rPr>
      </w:pPr>
    </w:p>
    <w:p>
      <w:pPr>
        <w:ind w:left="660" w:right="60" w:hanging="4"/>
        <w:spacing w:after="0" w:line="265"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rights, preferences and privileges of the Company’s convertible preferred stock relative to those of the Company’s common stock; (v) the Company’s operating results and financial condition, including the Company’s levels of available capital resources; and</w:t>
      </w:r>
    </w:p>
    <w:p>
      <w:pPr>
        <w:ind w:left="660" w:right="180" w:hanging="4"/>
        <w:spacing w:after="0" w:line="256"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76"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pacing w:after="0" w:line="68" w:lineRule="exact"/>
        <w:rPr>
          <w:sz w:val="20"/>
          <w:szCs w:val="20"/>
          <w:color w:val="auto"/>
        </w:rPr>
      </w:pPr>
    </w:p>
    <w:p>
      <w:pPr>
        <w:ind w:left="660" w:right="80" w:firstLine="648"/>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75"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54" w:lineRule="exact"/>
        <w:rPr>
          <w:sz w:val="20"/>
          <w:szCs w:val="20"/>
          <w:color w:val="auto"/>
        </w:rPr>
      </w:pPr>
    </w:p>
    <w:p>
      <w:pPr>
        <w:ind w:left="660" w:right="500" w:firstLine="648"/>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67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5.5 – 6.1</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5.1 – 6.6</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71.2</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 73.3%</w:t>
            </w: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100" w:type="dxa"/>
            <w:vAlign w:val="bottom"/>
          </w:tcPr>
          <w:p>
            <w:pPr>
              <w:ind w:left="40"/>
              <w:spacing w:after="0"/>
              <w:rPr>
                <w:sz w:val="20"/>
                <w:szCs w:val="20"/>
                <w:color w:val="auto"/>
              </w:rPr>
            </w:pPr>
            <w:r>
              <w:rPr>
                <w:rFonts w:ascii="Arial" w:cs="Arial" w:eastAsia="Arial" w:hAnsi="Arial"/>
                <w:sz w:val="18"/>
                <w:szCs w:val="18"/>
                <w:color w:val="auto"/>
              </w:rPr>
              <w:t>– 72.5%</w:t>
            </w:r>
          </w:p>
        </w:tc>
      </w:tr>
      <w:tr>
        <w:trPr>
          <w:trHeight w:val="27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2.6%</w:t>
            </w:r>
          </w:p>
        </w:tc>
      </w:tr>
      <w:tr>
        <w:trPr>
          <w:trHeight w:val="257"/>
        </w:trPr>
        <w:tc>
          <w:tcPr>
            <w:tcW w:w="67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tcPr>
          <w:p>
            <w:pPr>
              <w:spacing w:after="0"/>
              <w:rPr>
                <w:sz w:val="22"/>
                <w:szCs w:val="22"/>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2"/>
                <w:szCs w:val="22"/>
                <w:color w:val="auto"/>
              </w:rPr>
            </w:pPr>
          </w:p>
        </w:tc>
        <w:tc>
          <w:tcPr>
            <w:tcW w:w="1100" w:type="dxa"/>
            <w:vAlign w:val="bottom"/>
          </w:tcPr>
          <w:p>
            <w:pPr>
              <w:jc w:val="center"/>
              <w:ind w:right="670"/>
              <w:spacing w:after="0"/>
              <w:rPr>
                <w:sz w:val="20"/>
                <w:szCs w:val="20"/>
                <w:color w:val="auto"/>
              </w:rPr>
            </w:pPr>
            <w:r>
              <w:rPr>
                <w:rFonts w:ascii="Arial" w:cs="Arial" w:eastAsia="Arial" w:hAnsi="Arial"/>
                <w:sz w:val="18"/>
                <w:szCs w:val="18"/>
                <w:color w:val="auto"/>
                <w:w w:val="99"/>
              </w:rPr>
              <w:t>—%</w:t>
            </w: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3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issued for accounting purposes until they vest and are therefore excluded from shares outstanding and from basic and diluted net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$475,000 and $409,000 as a liability from the early exercise in the accompanying balance sheet as of March 31, 2020 and December 31, 2019, respectively. As of March 31, 2020 and December 31, 2019, there were $269,000 and $225,000 recorded in accrued liabilities, respectively, and $206,000 and $184,000 recorded in other long-term liabilities, respectively related to shares that were subject to repurchase.</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vest under a service condition and 84,835 shares vest under a performance condition. The shares were issued under the terms of the respective restricted stock purchase agreements, or the Stock Purchase Agreement, and unvested shares are subject to repurchase by the Company at the original purchase price per share upon the holder’s termination of his relationship with the Company. The restricted shares are not deemed to be issued for accounting purposes until they vest and are therefore excluded from shares outstanding and from basic and diluted net loss per share until the repurchase right lapses and the shares are no longer subject to the repurchase feature. One-fourth of the 1,102,903 shares of restricted common stock were vested on the first-anniversary date and the remaining 827,177 shares will vest on a monthly basis thereafter. In July 2018, performance conditions prescribed by the Stock Purchase Agreement were met and 84,835 shares of the restricted common stock were fully vested. During the three months ended March 31, 2020 and 2019, 68,931 shares and 68,931 shares of restricted common stock were vested, respectively. As of March 31, 2020, 68,932 shares of restricted stock are unvested.</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3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Company adopted the 2020 Employee Stock Purchase Plan, or the ESPP, which became effective upon the completion of the IPO on January 31, 2020.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 The Company commenced an offering period on January 31, 2020.</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Net Loss Per Share</w:t>
      </w:r>
    </w:p>
    <w:p>
      <w:pPr>
        <w:spacing w:after="0" w:line="139"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1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Borders>
              <w:bottom w:val="single" w:sz="8" w:color="auto"/>
            </w:tcBorders>
          </w:tcPr>
          <w:p>
            <w:pPr>
              <w:spacing w:after="0"/>
              <w:rPr>
                <w:sz w:val="17"/>
                <w:szCs w:val="17"/>
                <w:color w:val="auto"/>
              </w:rPr>
            </w:pPr>
          </w:p>
        </w:tc>
      </w:tr>
      <w:tr>
        <w:trPr>
          <w:trHeight w:val="209"/>
        </w:trPr>
        <w:tc>
          <w:tcPr>
            <w:tcW w:w="79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21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16,262,425</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3,061,521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1,461,191</w:t>
            </w:r>
          </w:p>
        </w:tc>
      </w:tr>
      <w:tr>
        <w:trPr>
          <w:trHeight w:val="26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exercised options subject to future vesting</w:t>
            </w: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613,627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578,298</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Restricted stock subject to future vesting</w:t>
            </w: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198,992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344,657</w:t>
            </w:r>
          </w:p>
        </w:tc>
      </w:tr>
      <w:tr>
        <w:trPr>
          <w:trHeight w:val="26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subject to future issuance</w:t>
            </w:r>
          </w:p>
        </w:tc>
        <w:tc>
          <w:tcPr>
            <w:tcW w:w="1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3,885,532</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18,646,571</w:t>
            </w:r>
          </w:p>
        </w:tc>
      </w:tr>
      <w:tr>
        <w:trPr>
          <w:trHeight w:val="27"/>
        </w:trPr>
        <w:tc>
          <w:tcPr>
            <w:tcW w:w="7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w:t>
      </w:r>
    </w:p>
    <w:p>
      <w:pPr>
        <w:spacing w:after="0" w:line="35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April 2020, the Company amended its lease agreement for its facility in Westlake Village, California to relocate to a new expanded space comprising 22,643 square feet. The lease will begin when the tenant improvements are substantially complete and terminates 91 months thereafter, with a renewal option for a term of five years. The Company will have a one-time option to cancel the lease after month 67.</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1 year. As a result, the Company recognizes rent expense on a straight-line basis for the full amount of the commitment including the minimum rent increases over the life of the lease and the free rent period. The amended lease agreement provides for a tenant improvement allowance up to $1.25 million. It also requires the Company to have an available letter of credit of $1.5 million upon commencement, which is allowed to be reduced throughout the lease period as rent obligations are met.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2019 and the related Management's Discussion and Analysis of Financial Condition and Results of Operations, both of which are contained in our Annual Report on Form 10-K for the year ended December 31, 2019, which has been filed with the Securities and Exchange Commission.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 late-stage biopharmaceutical company focused on developing and commercializing treatments for dermatological diseases with high unmet medical needs. Our current portfolio is comprised of topical treatments with significant potential to address immune-mediated dermatological diseases and conditions, or immuno-dermatology. Our strategy is to identify and develop treatments against validated biological targets in dermatology that deliver a differentiated clinical profile that addresses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208"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Our lead product candidate, topical roflumilast cream (ARQ-151), is in Phase 3 clinical trials in plaque psoriasis. Roflumilast cream is a topical cream formulation of roflumilast, a highly potent and selective phosphodiesterase type 4, or PDE4, inhibitor, which we are developing for the treatment of plaque psoriasis, including psoriasis in intertriginous regions such as the groin, axillae, and inframammary areas, as well as atopic dermatitis. In July 2018, we executed a worldwide licensing agreement with AstraZeneca AB, or AstraZeneca, for exclusive worldwide rights to all topical dermatological uses of roflumilast. We have successfully completed a Phase 2b study of roflumilast cream in plaque psoriasis, and, in August 2019, paid AstraZeneca the first milestone payment of $2.0 million that was earned upon the achievement of positive Phase 2 data for any AZ-Licensed Product (as defined in “—License Agreements—AstraZeneca License Agreement”). We have initiated three Phase 3 studies in plaque psoriasis, including two pivotal studies (DERMIS-1 and DERMIS-2) and an open label extension study (DERMIS-OLE), with topline data expected in the first half of 2021. We also completed a Phase 2 proof of concept study of roflumilast cream in atopic dermatitis (AD) and plan to initiate a Phase 2b study in AD in the second half of 2020, with topline results expected in the second half of 2021. In addition, we are developing ARQ-154, a topical foam formulation of roflumilast cream, and have initiated a Phase 2 proof of concept study in seborrheic dermatitis and a Phase 2b study in scalp psoriasis. We expect to report topline data in the second half of 2020 with respect to seborrheic dermatitis and in Q4 2020/Q1 2021 with respect to scalp psoriasis.</w:t>
      </w:r>
    </w:p>
    <w:p>
      <w:pPr>
        <w:spacing w:after="0" w:line="21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Beyond this, we also began enrolling patients in the safety cohort of a Phase1/2b study of ARQ-252, a potent and highly selective topical janus kinase type 1, or JAK1, inhibitor for the treatment of chronic hand eczema, and will begin enrolling the efficacy cohort in the second half of 2020, with topline data expected in the second half of 2021. We also plan to initiate a Phase 2a study of ARQ-252 in vitiligo in the second half of 2020. Additionally, we have formulation and preclinical efforts underway for ARQ-255, an alternative topical formulation of ARQ-252 designed to reach deeper into the skin in order to potentially treat alopecia areata. In January 2018, we executed an exclusive option and license agreement with Jiangsu Hengrui Medicine Co., Ltd. of China, or Hengrui, to the active pharmaceutical ingredient in ARQ-252 and ARQ-255 for all topical formulations for dermatological uses in the United States, Canada, Europe and Japan. In December 2019, we exercised our exclusive option associated with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this agreement, for which we made a $1.5 million cash payment, and also contemporaneously amended the agreement to expand the territory to additionally include Canada.</w:t>
      </w:r>
    </w:p>
    <w:p>
      <w:pPr>
        <w:spacing w:after="0" w:line="19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Since our inception in 2016, we have invested a significant portion of our efforts and financial resources in research and development activities. We have not generated any revenue from product sales and, prior to our IPO completed in January 2020, have funded our operations primarily with $162.5 million in net cash proceeds from private placements of our convertible preferred stock. On January 31, 2020, we completed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w:t>
      </w:r>
    </w:p>
    <w:p>
      <w:pPr>
        <w:spacing w:after="0" w:line="208"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We have incurred net losses in each year since inception, including net losses of $28.0 million and $6.7 million for the three months ended March 31, 2020 and 2019, respectively. As of March 31, 2020 and December 31, 2019, we had an accumulated deficit of $94.3 million and $66.3 million, respectively, and cash, cash equivalents and marketable securities of $249.3 million and $101.3 million, respectively.</w:t>
      </w:r>
    </w:p>
    <w:p>
      <w:pPr>
        <w:spacing w:after="0" w:line="18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 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unaudited condensed financial statements for additional information. Based on our current planned operations, we expect our current cash, cash equivalent, and marketable securities will be sufficient to fund our operations through 2021.</w:t>
      </w:r>
    </w:p>
    <w:p>
      <w:pPr>
        <w:spacing w:after="0" w:line="210"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single-source suppliers, for our preclinical and clinical trial materials, as well as the commercial supply of our products. In addition, we do not yet have a sales organization or commercial infrastructure. Accordingly, we expect to incur significant expenses to develop a sales organization or commercial infrastructure in advance of generating any product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ind w:right="20" w:firstLine="8"/>
        <w:spacing w:after="0" w:line="236" w:lineRule="auto"/>
        <w:tabs>
          <w:tab w:leader="none" w:pos="3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potential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topical roflumilast foam (ARQ-154) and ARQ-252. We cannot, at this time, predict the specific extent, duration, or full impact that the COVID-19 outbreak will have on our ongoing and planned clinical trials and other business operations.</w:t>
      </w:r>
    </w:p>
    <w:p>
      <w:pPr>
        <w:spacing w:after="0" w:line="20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97"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may need to undertake additional actions that could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impact our operations as required by applicable laws or regulations, or which we determine to be in the best interests of our employees.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July 2018, we entered into an exclusive license agreement, or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5 to the unaudited condensed financial statements for additional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we entered into an exclusive option and license agreement, or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 execution of the Hengrui Option and License Agreement. In December 2019, we exercised our exclusive option under the agreement, for which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 See Note 5 to the unaudited condensed financial statements for additional information.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June 2019, we entered into a collaboration agreement, or the Hawkeye Agreement, with Hawkeye Therapeutics, Inc., or Hawkeye, a related party with common ownership, to collaborate on the research and development of one or more new applications of roflumilast. The Hawkeye Agreement grants Hawkeye an exclusive license to certain intellectual property developed under the agreement as it relates to the applications.</w:t>
      </w:r>
    </w:p>
    <w:p>
      <w:pPr>
        <w:spacing w:after="0" w:line="204"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Contemporaneously with the execution of the Hawkeye Agreement, we entered into a stock purchase agreement, purchasing 995,000 shares of Hawkeye’s common stock at $0.0001 per share, representing 19.9% of the outstanding common stock of Hawkeye. See Note 5 to the unaudited condensed financial statements for additional information.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to our product candidates; internal costs are not allocated to specific product candidates.</w:t>
      </w:r>
    </w:p>
    <w:p>
      <w:pPr>
        <w:spacing w:after="0" w:line="20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(DERMIS-1 and DERMIS 2) of roflumilast cream for plaque psoriasis, the preclinical studies and clinical trials for the continued development of roflumilast cream for atopic dermatitis, roflumilast foam for seborrheic dermatitis and scalp psoriasis, ARQ-252 for hand eczema and vitiligo, and ARQ-255 for alopecia areata.</w:t>
      </w:r>
    </w:p>
    <w:p>
      <w:pPr>
        <w:spacing w:after="0" w:line="20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20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Securities and Exchange Commission requirements, directors and officers liability insurance premiums and investor relations activities.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(expense), net primarily consists of interest income earned on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7"/>
                <w:szCs w:val="17"/>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5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r>
      <w:tr>
        <w:trPr>
          <w:trHeight w:val="263"/>
        </w:trPr>
        <w:tc>
          <w:tcPr>
            <w:tcW w:w="5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25,182</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18,979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28,651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6,952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21,699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(28,651)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(28,013)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7"/>
                <w:szCs w:val="17"/>
                <w:color w:val="auto"/>
              </w:rPr>
            </w:pPr>
          </w:p>
        </w:tc>
        <w:tc>
          <w:tcPr>
            <w:tcW w:w="1500" w:type="dxa"/>
            <w:vAlign w:val="bottom"/>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5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63"/>
        </w:trPr>
        <w:tc>
          <w:tcPr>
            <w:tcW w:w="5520" w:type="dxa"/>
            <w:vAlign w:val="bottom"/>
          </w:tcPr>
          <w:p>
            <w:pPr>
              <w:ind w:left="360"/>
              <w:spacing w:after="0"/>
              <w:rPr>
                <w:sz w:val="20"/>
                <w:szCs w:val="20"/>
                <w:color w:val="auto"/>
              </w:rPr>
            </w:pPr>
            <w:r>
              <w:rPr>
                <w:rFonts w:ascii="Arial" w:cs="Arial" w:eastAsia="Arial" w:hAnsi="Arial"/>
                <w:sz w:val="18"/>
                <w:szCs w:val="18"/>
                <w:color w:val="auto"/>
              </w:rPr>
              <w:t>Preclinical and clinical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18,736</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Manufacturing</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Pr>
          <w:p>
            <w:pPr>
              <w:ind w:left="20"/>
              <w:spacing w:after="0"/>
              <w:rPr>
                <w:sz w:val="20"/>
                <w:szCs w:val="20"/>
                <w:color w:val="auto"/>
              </w:rPr>
            </w:pPr>
            <w:r>
              <w:rPr>
                <w:rFonts w:ascii="Arial" w:cs="Arial" w:eastAsia="Arial" w:hAnsi="Arial"/>
                <w:sz w:val="18"/>
                <w:szCs w:val="18"/>
                <w:color w:val="auto"/>
              </w:rPr>
              <w:t>Indirect Costs: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personnel-related</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156 %</w:t>
            </w: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25,182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18,979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Research and development expenses increased by $19.0 million, or 306%, for the three months ended March 31, 2020 compared to the three months ended March 31, 2019. The increase was due to an increase in clinical trial costs of $14.4 million, an increase in manufacturing costs of $2.6 million, an increase in compensation and personnel-related expenses of $1.4 million, and an increase of $0.6 million in other costs, including regulatory, research and clinical consulting costs. The increases in clinical trial costs and manufacturing costs, and the increase in the corresponding consulting costs, relate to new and ongoing studies of roflumilast cream, including three Phase 3 studies of roflumilast cream for plaque psoriasis and a Phase 1 pediatric study of roflumilast cream for atopic dermatitis. Additionally, there were new and ongoing costs related to the Phase 2b study of roflumilast foam for scalp psoriasis and a Phase 2 Proof of Concept clinical trial of roflumilast foam for seborrheic dermatitis. The increase in compensation and personnel-related expenses, which includes stock compensation, was primarily due to an increase in headcount.</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General and administrative expenses increased by $2.7 million, or 363%, for the three months ended March 31, 2020 compared to the three months ended March 31, 2019. The increase was primarily due to an increase in compensation and personnel-related expenses of $1.4 million, an increase in professional services of $0.7 million, and an increase in insurance costs of $0.5 million. The increase in compensation and personnel-related expenses, which includes stock compensation, was due to an increase in headcount. The increases in professional services, which includes accounting and audit fees of $0.3 million, and insurance costs were mainly due to the costs associated with being a public company.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Other income, net increased by $0.3 million, or 117%, for the three months ended March 31, 2020 compared to the three months ended March 31, 2019 . The increase was primarily due to interest earned on our marketable securities from the funds received from our IPO in February 2020 and from the issuance of our Series C convertible preferred stock in the year ended December 31,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March 31, 2020 and December 31, 2019, we had cash, cash equivalents and marketable securities of $ 249.3 million and $101.3 million, respectively, and an accumulated deficit of $94.3 million and $66.3 million, respectively.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20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will continue to be dependent upon equity, debt financing or collaborations or other forms of capital at least until we are able to generate positive cash flows from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209"/>
        </w:trPr>
        <w:tc>
          <w:tcPr>
            <w:tcW w:w="71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8"/>
                <w:szCs w:val="18"/>
                <w:color w:val="auto"/>
              </w:rPr>
            </w:pPr>
          </w:p>
        </w:tc>
      </w:tr>
      <w:tr>
        <w:trPr>
          <w:trHeight w:val="250"/>
        </w:trPr>
        <w:tc>
          <w:tcPr>
            <w:tcW w:w="7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6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r>
      <w:tr>
        <w:trPr>
          <w:trHeight w:val="26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(21,010)</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(7,074)</w:t>
            </w: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1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(20,326)</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(9,270)</w:t>
            </w:r>
          </w:p>
        </w:tc>
      </w:tr>
      <w:tr>
        <w:trPr>
          <w:trHeight w:val="26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168,893</w:t>
            </w:r>
          </w:p>
        </w:tc>
        <w:tc>
          <w:tcPr>
            <w:tcW w:w="8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127,557</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(16,344)</w:t>
            </w:r>
          </w:p>
        </w:tc>
      </w:tr>
      <w:tr>
        <w:trPr>
          <w:trHeight w:val="27"/>
        </w:trPr>
        <w:tc>
          <w:tcPr>
            <w:tcW w:w="7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three months ended March 31, 2020, net cash used in operating activities was $21.0 million, which consisted of a net loss of $28.0 million, offset by a change in net operating assets and liabilities of $6.1 million and net non-cash charges of $0.9 million. The change in net operating assets and liabilities was due to an increase of $7.3 million in accounts payable and accrued liabilities due to our overall growth, increased research and development spending and timing of payments, partially offset by an increase of $1.1 million in prepaid expenses and other current assets for premiums paid on insurance policies and other advances made for clinical trial costs. The net non-cash charges were primarily related to stock-based compensation expense of $1.0 million.</w:t>
      </w:r>
    </w:p>
    <w:p>
      <w:pPr>
        <w:spacing w:after="0" w:line="20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During the three months ended March 31, 2019, net cash used in operating activities was $7.1 million and consisted primarily of a net loss of $6.7 million and a change in our net operating assets and liabilities of $ 0.4 million. The change in net operating assets and liabilities was primarily due to an increase of $0.4 million in prepaid expenses and other assets for advances made for clinical trial costs and manufacturing.</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During three months ended March 31, 2020, net cash used in investing activities was $20.3 million, which was comprised primarily of purchases of marketable securities of $35.3 million, partially offset by proceeds from the maturities of marketable securities of $15.0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During the three months ended March 31, 2019, net cash used in investing activities was $9.3 million, which was comprised primarily of purchases of marketable securities of $11.7 million, partially offset by proceeds from maturities of marketable securities of $2.6 million.</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During the three months ended March 31, 2020, net cash provided by financing activities was $168.9 million, which was comprised primarily of the net cash proceeds received from the IPO of $168.6 million.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2019, there were no financing activities.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$94.3 million and $66.3 million as of March 31, 2020 and December 31, 2019, respectively. We had cash, cash equivalents and marketable securities of $249.3 million and $101.3 million as of March 31, 2020 and December 31, 2019, respectively. Based on our current planned operations, we expect that our current cash, cash equivalents and marketable securities will be sufficient to fund our operations through 2021. Our ability to continue as a going concern is dependent upon our ability to successfully secure sources of financing and ultimately achieve profitable operations.</w:t>
      </w:r>
    </w:p>
    <w:p>
      <w:pPr>
        <w:spacing w:after="0" w:line="20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20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96" w:lineRule="exact"/>
        <w:rPr>
          <w:sz w:val="20"/>
          <w:szCs w:val="20"/>
          <w:color w:val="auto"/>
        </w:rPr>
      </w:pPr>
    </w:p>
    <w:p>
      <w:pPr>
        <w:ind w:left="820" w:hanging="164"/>
        <w:spacing w:after="0" w:line="252"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currently ongoing Phase 3 studies (DERMIS-1 and DERMIS 2) of roflumilast cream in plaque psoriasis, our planned Phase 2b study of roflumilast cream in atopic dermatitis, our currently ongoing Phase 2 proof of concept study of roflumilast foam in seborrheic dermatitis, our currently ongoing Phase 2b study of roflumilast foam in scalp psoriasis, our currently ongoing Phase 1/2b study of ARQ-252 in hand eczema, our planned Phase 2a study of ARQ-252 in vitiligo and our formulation and preclinical efforts for ARQ-255 for alopecia areata.</w:t>
      </w:r>
    </w:p>
    <w:p>
      <w:pPr>
        <w:spacing w:after="0" w:line="113" w:lineRule="exact"/>
        <w:rPr>
          <w:rFonts w:ascii="Arial" w:cs="Arial" w:eastAsia="Arial" w:hAnsi="Arial"/>
          <w:sz w:val="18"/>
          <w:szCs w:val="18"/>
          <w:color w:val="auto"/>
        </w:rPr>
      </w:pPr>
    </w:p>
    <w:p>
      <w:pPr>
        <w:ind w:left="820" w:right="140" w:hanging="164"/>
        <w:spacing w:after="0" w:line="197" w:lineRule="auto"/>
        <w:tabs>
          <w:tab w:leader="none" w:pos="815" w:val="left"/>
        </w:tabs>
        <w:numPr>
          <w:ilvl w:val="0"/>
          <w:numId w:val="11"/>
        </w:numPr>
        <w:rPr>
          <w:rFonts w:ascii="Arial" w:cs="Arial" w:eastAsia="Arial" w:hAnsi="Arial"/>
          <w:sz w:val="22"/>
          <w:szCs w:val="22"/>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81" w:lineRule="exact"/>
        <w:rPr>
          <w:rFonts w:ascii="Arial" w:cs="Arial" w:eastAsia="Arial" w:hAnsi="Arial"/>
          <w:sz w:val="22"/>
          <w:szCs w:val="22"/>
          <w:color w:val="auto"/>
        </w:rPr>
      </w:pPr>
    </w:p>
    <w:p>
      <w:pPr>
        <w:ind w:left="820" w:right="80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20" w:right="78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89" w:lineRule="exact"/>
        <w:rPr>
          <w:rFonts w:ascii="Arial" w:cs="Arial" w:eastAsia="Arial" w:hAnsi="Arial"/>
          <w:sz w:val="18"/>
          <w:szCs w:val="18"/>
          <w:color w:val="auto"/>
        </w:rPr>
      </w:pPr>
    </w:p>
    <w:p>
      <w:pPr>
        <w:ind w:left="820" w:right="52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355"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In April 2020, we amended our lease agreement for its facility in Westlake Village, California to relocate to a new expanded space including 22,643 square feet. The lease will begin when the tenant improvements, the allowance for which is up to $1.25 million, are substantially complete and terminates 91 months thereafter, with a renewal option for a term of 5 years. We will have a one-time option to cancel the lease after month 67.</w:t>
      </w:r>
    </w:p>
    <w:p>
      <w:pPr>
        <w:spacing w:after="0" w:line="312"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1 year. The amended lease agreement provides for a tenant improvement allowance up to $1.25 million. It also requires that we deliver a letter of credit to the landlord of $1.5 million upon commencement, which is allowed to be reduced throughout the lease period as rent obligations are met.</w:t>
      </w:r>
    </w:p>
    <w:p>
      <w:pPr>
        <w:spacing w:after="0" w:line="231"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There were no other material changes to our contractual obligations and contingent liabilities as described under the Management’s Discussion and Analysis of Financial Condition and Results of Operations in our Annual Report on Form 10-K for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20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3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2019. There were no material changes to our critical accounting policies during the three months ended March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unaudited condensed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2016-01, </w:t>
      </w:r>
      <w:r>
        <w:rPr>
          <w:rFonts w:ascii="Arial" w:cs="Arial" w:eastAsia="Arial" w:hAnsi="Arial"/>
          <w:sz w:val="18"/>
          <w:szCs w:val="18"/>
          <w:i w:val="1"/>
          <w:iCs w:val="1"/>
          <w:color w:val="auto"/>
        </w:rPr>
        <w:t>Financial Instruments—Overall (Topic</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825)—Recognition and Measurement of Financial 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and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 the JOBS Act does not preclude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w:t>
      </w:r>
    </w:p>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March 31, 2020, we had cash and cash equivalents of $190.9 million and marketable securities of $ 58.4 million, which consist of bank deposits, money market funds, commercial paper and government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March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340" w:firstLine="441"/>
        <w:spacing w:after="0" w:line="238"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94"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Management, with the participation of our CEO and CFO, evaluated the effectiveness of our disclosure controls and procedures as of March 31, 2020.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apply its judgment in evaluating the cost-benefit relationship of possible controls and procedures. Based on the evaluation of our disclosure controls and procedures as of March 31, 2020, our CEO and CFO have concluded that, as of March 31, 2020, our disclosure controls and procedures were effective at the reasonable assurance level.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6"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2020 that has materially affected, or is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 December 31, 2019.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33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8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205"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net loss for the three months ended March 31, 2020 and 2019 was approximately $28.0 million and $6.7 million, respectively. As of March 31, 2020, we had an accumulated deficit of $ 94.3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and working capital.</w:t>
      </w:r>
    </w:p>
    <w:p>
      <w:pPr>
        <w:spacing w:after="0" w:line="20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85"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March 31, 2020, we had capital resources consisting of cash, cash equivalents and marketable securities of $249.3 million. Based on our planned operations, we believe that our existing cash, cash equivalents and marketable securities will be sufficient to fund our operations through 2021.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17" w:lineRule="exact"/>
        <w:rPr>
          <w:sz w:val="20"/>
          <w:szCs w:val="20"/>
          <w:color w:val="auto"/>
        </w:rPr>
      </w:pPr>
    </w:p>
    <w:p>
      <w:pPr>
        <w:ind w:left="820" w:right="20" w:hanging="164"/>
        <w:spacing w:after="0" w:line="252"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currently ongoing Phase 3 clinical trials of roflumilast cream in plaque psoriasis, our planned Phase 2b study of roflumilast cream in atopic dermatitis, our currently ongoing Phase 2 proof of concept study of roflumilast foam in seborrheic dermatitis, our currently ongoing Phase 2b study of roflumilast foam in scalp psoriasis, our currently ongoing Phase 1/2b study of ARQ-252 in hand eczema, our planned Phase 2a study of ARQ-252 in vitiligo and our formulation and preclinical efforts for ARQ-255 in alopecia areata;</w:t>
      </w:r>
    </w:p>
    <w:p>
      <w:pPr>
        <w:spacing w:after="0" w:line="126" w:lineRule="exact"/>
        <w:rPr>
          <w:rFonts w:ascii="Arial" w:cs="Arial" w:eastAsia="Arial" w:hAnsi="Arial"/>
          <w:sz w:val="18"/>
          <w:szCs w:val="18"/>
          <w:color w:val="auto"/>
        </w:rPr>
      </w:pPr>
    </w:p>
    <w:p>
      <w:pPr>
        <w:ind w:left="820" w:hanging="164"/>
        <w:spacing w:after="0" w:line="225" w:lineRule="auto"/>
        <w:tabs>
          <w:tab w:leader="none" w:pos="815" w:val="left"/>
        </w:tabs>
        <w:numPr>
          <w:ilvl w:val="0"/>
          <w:numId w:val="13"/>
        </w:numPr>
        <w:rPr>
          <w:rFonts w:ascii="Arial" w:cs="Arial" w:eastAsia="Arial" w:hAnsi="Arial"/>
          <w:sz w:val="22"/>
          <w:szCs w:val="22"/>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95" w:lineRule="exact"/>
        <w:rPr>
          <w:rFonts w:ascii="Arial" w:cs="Arial" w:eastAsia="Arial" w:hAnsi="Arial"/>
          <w:sz w:val="22"/>
          <w:szCs w:val="22"/>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89"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20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Jiangsu Hengrui Medicine Co., Ltd., or Hengrui, or any future collaboration or licensing partners upon the achievement of negotiated milestones;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2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96" w:lineRule="exact"/>
        <w:rPr>
          <w:sz w:val="20"/>
          <w:szCs w:val="20"/>
          <w:color w:val="auto"/>
        </w:rPr>
      </w:pPr>
    </w:p>
    <w:p>
      <w:pPr>
        <w:ind w:left="820" w:right="4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89"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17"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89" w:lineRule="exact"/>
        <w:rPr>
          <w:rFonts w:ascii="Arial" w:cs="Arial" w:eastAsia="Arial" w:hAnsi="Arial"/>
          <w:sz w:val="18"/>
          <w:szCs w:val="18"/>
          <w:color w:val="auto"/>
        </w:rPr>
      </w:pPr>
    </w:p>
    <w:p>
      <w:pPr>
        <w:ind w:left="820" w:right="4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Food and Drug Administration, or FDA, guidelines and requirements, and the quantity of production;</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17"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17"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89" w:lineRule="exact"/>
        <w:rPr>
          <w:rFonts w:ascii="Arial" w:cs="Arial" w:eastAsia="Arial" w:hAnsi="Arial"/>
          <w:sz w:val="18"/>
          <w:szCs w:val="18"/>
          <w:color w:val="auto"/>
        </w:rPr>
      </w:pPr>
    </w:p>
    <w:p>
      <w:pPr>
        <w:ind w:left="820" w:right="60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dependency on CROs and third-party manufacturers to supply or manufacture our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9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assure you of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39"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cream for the treatment of scalp psoriasis and seborrheic dermatitis, ARQ-252, a potent and highly selective topical JAK1 inhibitor for the treatment of chronic hand eczema, and ARQ-255, a potential topical treatment for alopecia areata. We currently do not have a drug discovery or research and development effort to discover new product candidates, and we have no intention to develop one. The success of our business, including our ability to finance our company and generate any revenue in the future, will primarily depend on the successful development, regulatory approval and commercialization of these current product candidates. We expect to conduct most of our clinical trials in the United States and Canada, with current limited plans for clinical trials in Australia and the European Union.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acquire or in-license. The clinical and commercial success of our product candidates will depend on a number of factors, including the following: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93" w:lineRule="exact"/>
        <w:rPr>
          <w:rFonts w:ascii="Arial" w:cs="Arial" w:eastAsia="Arial" w:hAnsi="Arial"/>
          <w:sz w:val="18"/>
          <w:szCs w:val="18"/>
          <w:color w:val="auto"/>
        </w:rPr>
      </w:pPr>
    </w:p>
    <w:p>
      <w:pPr>
        <w:ind w:left="820" w:right="120" w:hanging="164"/>
        <w:spacing w:after="0" w:line="291"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65" w:lineRule="exact"/>
        <w:rPr>
          <w:rFonts w:ascii="Arial" w:cs="Arial" w:eastAsia="Arial" w:hAnsi="Arial"/>
          <w:sz w:val="17"/>
          <w:szCs w:val="17"/>
          <w:color w:val="auto"/>
        </w:rPr>
      </w:pPr>
    </w:p>
    <w:p>
      <w:pPr>
        <w:ind w:left="820" w:right="14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89"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1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117" w:lineRule="exact"/>
        <w:rPr>
          <w:rFonts w:ascii="Arial" w:cs="Arial" w:eastAsia="Arial" w:hAnsi="Arial"/>
          <w:sz w:val="18"/>
          <w:szCs w:val="18"/>
          <w:color w:val="auto"/>
        </w:rPr>
      </w:pPr>
    </w:p>
    <w:p>
      <w:pPr>
        <w:ind w:left="820" w:right="2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current good manufacturing practices, or cGMP;</w:t>
      </w:r>
    </w:p>
    <w:p>
      <w:pPr>
        <w:spacing w:after="0" w:line="93"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93"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1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20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2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it did not reach statistical significance for the primary endpoint or the secondary endpoint of IGA Success, which we expect will be the primary endpoint in any registrational trial, but did show significance in certain secondary efficacy endpoints. While we believe this is evidence of the ability of roflumilast cream to treat the signs and symptoms of atopic dermatitis, these results may not be replicated or improved in later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For example, we are developing roflumilast foam, including ongoing Phase 2 clinical trials in patients with seborrheic dermatitis and in patients with scalp psoriasis, based on our clinical experience with roflumilast cream in psoriasis. Despite our observations of roflumilast cream in a similar dermatological indication, roflumilast foam may not demonstrate comparable results in seborrheic dermatitis or scalp psoriasis. In addition, given its different formulation there is a risk that we selected an incorrect dose for roflumilast foam, as the clinical effect of roflumilast foam may differ from roflumilast cream at a similar dosing level or we may observe unexpected side effects not previously observed with roflumilast cream.</w:t>
      </w:r>
    </w:p>
    <w:p>
      <w:pPr>
        <w:spacing w:after="0" w:line="208"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90" w:lineRule="exact"/>
        <w:rPr>
          <w:sz w:val="20"/>
          <w:szCs w:val="20"/>
          <w:color w:val="auto"/>
        </w:rPr>
      </w:pPr>
    </w:p>
    <w:p>
      <w:pPr>
        <w:ind w:left="82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 up visits, issues with data collection, or changes to trial protocols as a result of the COVID-19 pandemic;</w:t>
      </w:r>
    </w:p>
    <w:p>
      <w:pPr>
        <w:spacing w:after="0" w:line="89"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89"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93"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93"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93"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89"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89" w:lineRule="exact"/>
        <w:rPr>
          <w:rFonts w:ascii="Arial" w:cs="Arial" w:eastAsia="Arial" w:hAnsi="Arial"/>
          <w:sz w:val="18"/>
          <w:szCs w:val="18"/>
          <w:color w:val="auto"/>
        </w:rPr>
      </w:pPr>
    </w:p>
    <w:p>
      <w:pPr>
        <w:jc w:val="both"/>
        <w:ind w:left="820" w:right="4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17"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9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8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long, expensive and uncertain processes,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20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lead product candidate, roflumilast cream, and roflumilast foam, its foam formulation, are currently in clinical development. Our product candidate ARQ-252 has just entered clinical development for chronic hand eczema and will do so in the second half of 2020 for vitiligo. ARQ-255 is in formulation and preclinical development for the potential treatment of alopecia areata. We currently have no products approved for sale, and we may never obtain regulatory approval to commercialize our lead product candidates.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European Union.</w:t>
      </w:r>
    </w:p>
    <w:p>
      <w:pPr>
        <w:spacing w:after="0" w:line="205"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The FDA or any foreign regulatory authorities can delay, limit or deny approval of our product candidates for many reasons, including:</w:t>
      </w:r>
    </w:p>
    <w:p>
      <w:pPr>
        <w:spacing w:after="0" w:line="90" w:lineRule="exact"/>
        <w:rPr>
          <w:sz w:val="20"/>
          <w:szCs w:val="20"/>
          <w:color w:val="auto"/>
        </w:rPr>
      </w:pPr>
    </w:p>
    <w:p>
      <w:pPr>
        <w:ind w:left="820" w:right="42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89"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89"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93"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89"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89"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17" w:lineRule="exact"/>
        <w:rPr>
          <w:rFonts w:ascii="Arial" w:cs="Arial" w:eastAsia="Arial" w:hAnsi="Arial"/>
          <w:sz w:val="18"/>
          <w:szCs w:val="18"/>
          <w:color w:val="auto"/>
        </w:rPr>
      </w:pPr>
    </w:p>
    <w:p>
      <w:pPr>
        <w:jc w:val="both"/>
        <w:ind w:left="820" w:right="320" w:hanging="164"/>
        <w:spacing w:after="0" w:line="291"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contract research organizations, or CROs, that we retain to conduct clinical trials may take actions outside of our control, or otherwise commit errors or breaches of protocols, that adversely impact our clinical trials and ability to obtain market approvals;</w:t>
      </w:r>
    </w:p>
    <w:p>
      <w:pPr>
        <w:spacing w:after="0" w:line="65" w:lineRule="exact"/>
        <w:rPr>
          <w:rFonts w:ascii="Arial" w:cs="Arial" w:eastAsia="Arial" w:hAnsi="Arial"/>
          <w:sz w:val="17"/>
          <w:szCs w:val="17"/>
          <w:color w:val="auto"/>
        </w:rPr>
      </w:pPr>
    </w:p>
    <w:p>
      <w:pPr>
        <w:ind w:left="820" w:right="20" w:hanging="164"/>
        <w:spacing w:after="0" w:line="253"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9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risk evaluation and mitigation strategy, or REMS, or its equivalent, as a condition of approval;</w:t>
      </w:r>
    </w:p>
    <w:p>
      <w:pPr>
        <w:spacing w:after="0" w:line="89"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89" w:lineRule="exact"/>
        <w:rPr>
          <w:rFonts w:ascii="Arial" w:cs="Arial" w:eastAsia="Arial" w:hAnsi="Arial"/>
          <w:sz w:val="18"/>
          <w:szCs w:val="18"/>
          <w:color w:val="auto"/>
        </w:rPr>
      </w:pPr>
    </w:p>
    <w:p>
      <w:pPr>
        <w:ind w:left="820" w:right="48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89"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 or</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17" w:lineRule="exact"/>
        <w:rPr>
          <w:rFonts w:ascii="Arial" w:cs="Arial" w:eastAsia="Arial" w:hAnsi="Arial"/>
          <w:sz w:val="18"/>
          <w:szCs w:val="18"/>
          <w:color w:val="auto"/>
        </w:rPr>
      </w:pPr>
    </w:p>
    <w:p>
      <w:pPr>
        <w:ind w:left="820" w:right="320" w:hanging="164"/>
        <w:spacing w:after="0" w:line="256"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93"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9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2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20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9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8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Certain of our primary and secondary endpoints in our clinical trials, including our currently ongoing Phase 3 clinical trials of roflumilast cream in plaque psoriasis, involve subjective assessments by physician and patients, which can increase the uncertainty of clinical trial outcomes. For example, one of the secondary endpoints requires patients to report pruritus (itching) as measured by the Worst Itch – Numeric Rating Scale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21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Patient reported outcome instruments, their use in our Phase 3 clinical trials of roflumilast cream and the inclusion of such data in the product labeling will depend on, but is not limited to, the FDA’s review of the following:</w:t>
      </w:r>
    </w:p>
    <w:p>
      <w:pPr>
        <w:spacing w:after="0" w:line="90"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22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our Phase 3 clinical trials of roflumilast cream in plaque psoriasis is based on the percentage of patients achieving a score of “clear” or “almost clear” plus at least a 2-grade improvement from baseline on the 5 point Investigator’s Global Assessment (or IGA) scale, referred to as “IGA Success”. Success in our Phase 3 clinical trials, or other clinical trials with these or similar endpoints, requires the enrollment of patients with conditions that are severe enough to facilitate a two-grade improvement in the IGA scale, but not so severe that they cannot achieve a “clear”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Phase 3 clinical trials will produce the same statistically significant results in “IGA Success”, which will serve as the primary endpoint, as our Phase 2b clinical trial, and there can be no guarantee that the characteristics of the population enrolled in our Phase 3 clinical trials does not adversely impact the results reported for such trial, any of which could have an adverse effect on our ability to secure regulatory approval for our product candidates.</w:t>
      </w:r>
    </w:p>
    <w:p>
      <w:pPr>
        <w:spacing w:after="0" w:line="29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 consuming and may result in additional costs and delays in our product development activities, or in the failure of such activities.</w:t>
      </w:r>
    </w:p>
    <w:p>
      <w:pPr>
        <w:spacing w:after="0" w:line="6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2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205"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institutional review board, or similar regulatory authorities outside the United States, may also require that we suspend, discontinue, or limit our clinical trials based on safety information. Such findings could further result in regulatory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90" w:lineRule="exact"/>
        <w:rPr>
          <w:sz w:val="20"/>
          <w:szCs w:val="20"/>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 or PMRs;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As a company, we have never completed a Phase 3 program or obtained marketing approval for any product candidate and we may be unable to successfully do so in a timely manner, if at all, for any of our product candidates.</w:t>
      </w:r>
    </w:p>
    <w:p>
      <w:pPr>
        <w:spacing w:after="0" w:line="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these activities may require more time and cost more than we anticipate, and we may be unable to successfully complete them for any of our product candidates.</w:t>
      </w:r>
    </w:p>
    <w:p>
      <w:pPr>
        <w:spacing w:after="0" w:line="20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To date, we have completed two Phase 2 studies in plaque psoriasis and a Phase 2 proof of concept study in atopic dermatitis with roflumilast cream, and have initiated a Phase 3 program in plaque psoriasis, which includes three studies comprised of two pivotal studies (DERMIS-1 and DERMIS-2) and an open label extension. We also anticipate commencing more advanced clinical trials of roflumilast cream in the treatment of atopic dermatitis.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21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88"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96" w:lineRule="exact"/>
        <w:rPr>
          <w:sz w:val="20"/>
          <w:szCs w:val="20"/>
          <w:color w:val="auto"/>
        </w:rPr>
      </w:pPr>
    </w:p>
    <w:p>
      <w:pPr>
        <w:ind w:left="820" w:right="24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93"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89"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or OTC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28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9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8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20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 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20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29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current sales and marketing organization consists of two employees, our Chief Commercial Officer and our Vice President of Marketing. To achieve commercial success for any product for which we obtain marketing approval, we will need to build a significantly more robust sales and marketing organization. We do not currently have any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20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91"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293"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6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20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1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1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6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207"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20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hand eczema, vitiligo and alopecia areata.</w:t>
      </w:r>
    </w:p>
    <w:p>
      <w:pPr>
        <w:spacing w:after="0" w:line="90"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and PF-06700841, an oral Tyk2/JAK1 inhibitor under development by Pfizer, Inc.</w:t>
      </w:r>
    </w:p>
    <w:p>
      <w:pPr>
        <w:spacing w:after="0" w:line="230"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Dermira, Inc.</w:t>
      </w:r>
    </w:p>
    <w:p>
      <w:pPr>
        <w:spacing w:after="0" w:line="20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proof-of-concept in a Phase 2a trial and has been approved in a different formulation in Japan (Corectim).</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20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20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17"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17"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6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As of March 31, 2020, we had 43 full-time employees. We will need to continue to expand our managerial, operational, finance and other resources in order to manage our operations and clinical trials, continue our development activities and commercialize our lead product candidates or any future product candidates.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Our management and personnel, systems and facilities currently in place are not adequate to support our future growth. In order to effectively execute our growth strategy, we will need to identify, recruit, retain, incentivize and integrate additional employees in order to expand our ability to:</w:t>
      </w:r>
    </w:p>
    <w:p>
      <w:pPr>
        <w:spacing w:after="0" w:line="94" w:lineRule="exact"/>
        <w:rPr>
          <w:sz w:val="20"/>
          <w:szCs w:val="20"/>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17" w:lineRule="exact"/>
        <w:rPr>
          <w:rFonts w:ascii="Arial" w:cs="Arial" w:eastAsia="Arial" w:hAnsi="Arial"/>
          <w:sz w:val="18"/>
          <w:szCs w:val="18"/>
          <w:color w:val="auto"/>
        </w:rPr>
      </w:pPr>
    </w:p>
    <w:p>
      <w:pPr>
        <w:ind w:left="820" w:right="66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 and</w:t>
      </w:r>
    </w:p>
    <w:p>
      <w:pPr>
        <w:spacing w:after="0" w:line="117"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98" w:lineRule="exact"/>
        <w:rPr>
          <w:sz w:val="20"/>
          <w:szCs w:val="20"/>
          <w:color w:val="auto"/>
        </w:rPr>
      </w:pPr>
    </w:p>
    <w:p>
      <w:pPr>
        <w:ind w:right="260" w:firstLine="648"/>
        <w:spacing w:after="0" w:line="291"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finance and other resources, our business and operational performance will be materially and adversely affected.</w:t>
      </w:r>
    </w:p>
    <w:p>
      <w:pPr>
        <w:spacing w:after="0" w:line="26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6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or research and development efforts to discover new product candidates, but rather we intend to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20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90" w:lineRule="exact"/>
        <w:rPr>
          <w:sz w:val="20"/>
          <w:szCs w:val="20"/>
          <w:color w:val="auto"/>
        </w:rPr>
      </w:pPr>
    </w:p>
    <w:p>
      <w:pPr>
        <w:ind w:left="820" w:right="240" w:hanging="164"/>
        <w:spacing w:after="0" w:line="261"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17" w:lineRule="exact"/>
        <w:rPr>
          <w:rFonts w:ascii="Arial" w:cs="Arial" w:eastAsia="Arial" w:hAnsi="Arial"/>
          <w:sz w:val="18"/>
          <w:szCs w:val="18"/>
          <w:color w:val="auto"/>
        </w:rPr>
      </w:pPr>
    </w:p>
    <w:p>
      <w:pPr>
        <w:ind w:left="820" w:right="240" w:hanging="164"/>
        <w:spacing w:after="0" w:line="256"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choose to focus our efforts and resources on an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29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67" w:lineRule="exact"/>
        <w:rPr>
          <w:sz w:val="20"/>
          <w:szCs w:val="20"/>
          <w:color w:val="auto"/>
        </w:rPr>
      </w:pPr>
    </w:p>
    <w:p>
      <w:pPr>
        <w:ind w:right="440" w:firstLine="648"/>
        <w:spacing w:after="0" w:line="256"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00"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820" w:right="100" w:hanging="164"/>
        <w:spacing w:after="0" w:line="254"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9"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89"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3" w:lineRule="exact"/>
        <w:rPr>
          <w:rFonts w:ascii="Arial" w:cs="Arial" w:eastAsia="Arial" w:hAnsi="Arial"/>
          <w:sz w:val="18"/>
          <w:szCs w:val="18"/>
          <w:color w:val="auto"/>
        </w:rPr>
      </w:pPr>
    </w:p>
    <w:p>
      <w:pPr>
        <w:jc w:val="both"/>
        <w:ind w:left="820" w:right="980" w:hanging="164"/>
        <w:spacing w:after="0" w:line="256"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93"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89"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1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6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Medical Officer, Howard G. Welgus, M.D., and our Chief Technical Officer, David W. Osborne,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9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that vest over time. The value to employees of stock options and restricted stock units that vest over time will be significantly affected by movements in our stock price that are beyond our control, and may at any time be insufficient to counteract offers from other companies.</w:t>
      </w:r>
    </w:p>
    <w:p>
      <w:pPr>
        <w:spacing w:after="0" w:line="20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90" w:lineRule="exact"/>
        <w:rPr>
          <w:sz w:val="20"/>
          <w:szCs w:val="20"/>
          <w:color w:val="auto"/>
        </w:rPr>
      </w:pPr>
    </w:p>
    <w:p>
      <w:pPr>
        <w:ind w:right="1440"/>
        <w:spacing w:after="0" w:line="28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6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22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9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As a new public company, 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9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completed our IPO in January 2020 and are subject to public company reporting obligations under the Securities Exchange Act of 1934, as amended, or the Exchange Act, We will incur significant legal, accounting and other expenses as a public company, including costs resulting from such public company reporting obligations and regulations regarding corporate governance practices. The listing requirements of the Nasdaq Global Select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our next annual report that we will be required to file with the SEC, Section 404 requires an annual management assessment of the effectiveness of our internal control over financial reporting. However, for so long as we remain an emerging growth company as defined in the JOBS Act, or a "smaller reporting company" (SRC) and non-accelerated filer, we intend to take advantage of certain exemptions from various reporting requirements, including, but not limited to, not being required to comply with the auditor attestation requirements of Section 404. Once we are no longer an emerging growth company and otherwise do not meet the definition of a SRC and non-accelerated filer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We could qualify as a SRC if the market value of our common stock held by non-affiliates is below $250 million (or $700 million if our annual revenue is less than $100 million) as of June 30 in any given year.</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we expect that we will need to implement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during the conversion process, we may be limited in our ability to convert any business that we acquire to the ERP. Any disruptions or difficulties in implementing or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20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29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6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recent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29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210"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the Health Insurance Portability and Accountability Act of 1996, as amended by the Health Information Technology for Clinical Health Act of 2009, and its implementing rules and regulations, as well as regulations promulgated by the Federal Trade Commission and state breach notification laws. By way of example, on June 28, 2018, California enacted the California Consumer Privacy Act, or CCPA, which takes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 as well as in non-U.S. jurisdictions. We would also be exposed to a risk of loss or litigation and potential liability, which could materially adversely affect our business, results of operations and financial condition.</w:t>
      </w:r>
    </w:p>
    <w:p>
      <w:pPr>
        <w:spacing w:after="0" w:line="311"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6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and abuse, data privacy laws and other similar non -U.S.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9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9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do not currently have nor do we plan to build or acquire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In the fourth quarter of 2019, we received a batch of our product candidate that we believe is representative of our anticipated early commercial batch requirements. However, as a late-stage company with no prior history of product sales or commercialization of products, representative batches of our product candidate received to date may not represent what will be required to meet our future commercial requirements or be manufactured at scale.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Additionally, we have not yet engaged any manufacturer for the commercial supply of our product candidates. Although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they restore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21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any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our manufacturers or we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20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2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6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20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Before beginning commercial manufacture of roflumilast cream, roflumilast foam, ARQ-252 or ARQ-255, the process and systems used in the manufacture of roflumilast cream, roflumilast foam, ARQ-252 or ARQ-255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do not have day-to-day control over the operations of our contract manufacturers, we are responsible for ensuring compliance with applicable laws and regulations, including cGMPs.</w:t>
      </w:r>
    </w:p>
    <w:p>
      <w:pPr>
        <w:spacing w:after="0" w:line="205"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suspension of production and/or enforcement actions, including injunctions, and criminal or civil prosecution. These possible sanctions would adversely affect our financial results and financial condition.</w:t>
      </w: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8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20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good clinical practices, or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6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20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20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21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90" w:lineRule="exact"/>
        <w:rPr>
          <w:sz w:val="20"/>
          <w:szCs w:val="20"/>
          <w:color w:val="auto"/>
        </w:rPr>
      </w:pPr>
    </w:p>
    <w:p>
      <w:pPr>
        <w:ind w:left="820" w:right="18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89"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patent term extension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29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67" w:lineRule="exact"/>
        <w:rPr>
          <w:sz w:val="20"/>
          <w:szCs w:val="20"/>
          <w:color w:val="auto"/>
        </w:rPr>
      </w:pPr>
    </w:p>
    <w:p>
      <w:pPr>
        <w:ind w:right="120" w:firstLine="648"/>
        <w:spacing w:after="0" w:line="265"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w:t>
      </w:r>
    </w:p>
    <w:p>
      <w:pPr>
        <w:spacing w:after="0" w:line="253" w:lineRule="auto"/>
        <w:rPr>
          <w:sz w:val="20"/>
          <w:szCs w:val="20"/>
          <w:color w:val="auto"/>
        </w:rPr>
      </w:pPr>
      <w:r>
        <w:rPr>
          <w:rFonts w:ascii="Arial" w:cs="Arial" w:eastAsia="Arial" w:hAnsi="Arial"/>
          <w:sz w:val="18"/>
          <w:szCs w:val="18"/>
          <w:color w:val="auto"/>
        </w:rPr>
        <w:t>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1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294" w:lineRule="exact"/>
        <w:rPr>
          <w:sz w:val="20"/>
          <w:szCs w:val="20"/>
          <w:color w:val="auto"/>
        </w:rPr>
      </w:pPr>
    </w:p>
    <w:p>
      <w:pPr>
        <w:ind w:right="760"/>
        <w:spacing w:after="0" w:line="31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4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20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5"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28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 party files an abbreviated new drug application, or ANDA, for a generic drug bioequivalent to roflumilast cream, roflumilast foam, ARQ-252 or ARQ-255,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29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6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1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8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8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11"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11"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2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9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29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our lead candidates in the United States or foreign jurisdictions and failure to secure such registrations could adversely affect our business.</w:t>
      </w:r>
    </w:p>
    <w:p>
      <w:pPr>
        <w:spacing w:after="0" w:line="6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have not yet registered trademarks for a commercial trade name for our lead product candidates in the United States or any foreign jurisdiction. During trademark registration proceedings, we may receive rejections. Although we are given an opportunity to respond to those rejections, we may be unable to overcome such rejections. In addition, in the USPTO and in comparable agencies in many foreign jurisdictions, third parties are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 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2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6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29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6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2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of our proprietary rights, particularly in countries where the laws may not protect such rights as fully as in the United States.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6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20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Claims that we have misappropriated the confidential information or trade secrets of third parties could have a similar negative impact on our business.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9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205"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8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Accordingly, despite our efforts, we may not be able to prevent third parties from infringing upon or misappropriating our intellectual property. In addition, the uncertainties associated with litigation could compromise our ability to raise the funds necessary to continue our clinical trials and internal research programs, or in-license needed technology or other product candidates.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elements to assure safe use, such as restricted distribution methods, patient registries and other risk minimization tools. In addition, if the FDA or a comparable foreign regulatory authority authorizes our product candidates for marketing, the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0" w:lineRule="exact"/>
        <w:rPr>
          <w:sz w:val="20"/>
          <w:szCs w:val="20"/>
          <w:color w:val="auto"/>
        </w:rPr>
      </w:pPr>
    </w:p>
    <w:p>
      <w:pPr>
        <w:ind w:left="820" w:hanging="164"/>
        <w:spacing w:after="0" w:line="261"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20" w:right="100" w:hanging="164"/>
        <w:spacing w:after="0" w:line="291"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65" w:lineRule="exact"/>
        <w:rPr>
          <w:rFonts w:ascii="Arial" w:cs="Arial" w:eastAsia="Arial" w:hAnsi="Arial"/>
          <w:sz w:val="17"/>
          <w:szCs w:val="17"/>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20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1"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85" w:lineRule="exact"/>
        <w:rPr>
          <w:sz w:val="20"/>
          <w:szCs w:val="20"/>
          <w:color w:val="auto"/>
        </w:rPr>
      </w:pPr>
    </w:p>
    <w:p>
      <w:pPr>
        <w:jc w:val="both"/>
        <w:ind w:right="100" w:firstLine="648"/>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harm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harm our business.</w:t>
      </w:r>
    </w:p>
    <w:p>
      <w:pPr>
        <w:spacing w:after="0" w:line="29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or another governmental authority, if such products are marketed, could have a negative impact on us.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2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9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6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96" w:lineRule="exact"/>
        <w:rPr>
          <w:sz w:val="20"/>
          <w:szCs w:val="20"/>
          <w:color w:val="auto"/>
        </w:rPr>
      </w:pPr>
    </w:p>
    <w:p>
      <w:pPr>
        <w:ind w:left="820" w:right="20" w:hanging="164"/>
        <w:spacing w:after="0" w:line="252"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98"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0"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auto"/>
        </w:rPr>
      </w:pPr>
    </w:p>
    <w:p>
      <w:pPr>
        <w:ind w:left="820" w:hanging="164"/>
        <w:spacing w:after="0" w:line="254"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560"/>
        <w:spacing w:after="0" w:line="261" w:lineRule="auto"/>
        <w:rPr>
          <w:sz w:val="20"/>
          <w:szCs w:val="20"/>
          <w:color w:val="auto"/>
        </w:rPr>
      </w:pPr>
      <w:r>
        <w:rPr>
          <w:rFonts w:ascii="Arial" w:cs="Arial" w:eastAsia="Arial" w:hAnsi="Arial"/>
          <w:sz w:val="18"/>
          <w:szCs w:val="18"/>
          <w:color w:val="auto"/>
        </w:rPr>
        <w:t>associates that perform certain services for or on their behalf involving the use or disclosure of individually identifiable health information;</w:t>
      </w:r>
    </w:p>
    <w:p>
      <w:pPr>
        <w:spacing w:after="0" w:line="90" w:lineRule="exact"/>
        <w:rPr>
          <w:sz w:val="20"/>
          <w:szCs w:val="20"/>
          <w:color w:val="auto"/>
        </w:rPr>
      </w:pPr>
    </w:p>
    <w:p>
      <w:pPr>
        <w:ind w:left="820" w:hanging="164"/>
        <w:spacing w:after="0" w:line="270"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(as well as certain other healthcare professionals beginning in 2022) and requires applicable manufacturers and group purchasing organizations to report annually to the government ownership and investment interests held by the physicians described above and their immediate family members;</w:t>
      </w:r>
    </w:p>
    <w:p>
      <w:pPr>
        <w:spacing w:after="0" w:line="84" w:lineRule="exact"/>
        <w:rPr>
          <w:rFonts w:ascii="Arial" w:cs="Arial" w:eastAsia="Arial" w:hAnsi="Arial"/>
          <w:sz w:val="17"/>
          <w:szCs w:val="17"/>
          <w:color w:val="auto"/>
        </w:rPr>
      </w:pPr>
    </w:p>
    <w:p>
      <w:pPr>
        <w:ind w:left="820" w:right="2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privacy laws and regulations, such as those of California, that impose restrictive requirements regulating the use and disclosure of health information and other personally identifiable information (for example, in June 2018, California enacted the California Consumer Privacy Act (which will go into effect on January 1, 2020) that gives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resulting in increased compliance costs and potential liability);</w:t>
      </w:r>
    </w:p>
    <w:p>
      <w:pPr>
        <w:spacing w:after="0" w:line="99" w:lineRule="exact"/>
        <w:rPr>
          <w:rFonts w:ascii="Arial" w:cs="Arial" w:eastAsia="Arial" w:hAnsi="Arial"/>
          <w:sz w:val="18"/>
          <w:szCs w:val="18"/>
          <w:color w:val="auto"/>
        </w:rPr>
      </w:pPr>
    </w:p>
    <w:p>
      <w:pPr>
        <w:ind w:left="820" w:right="360" w:hanging="164"/>
        <w:spacing w:after="0" w:line="254"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95" w:lineRule="exact"/>
        <w:rPr>
          <w:rFonts w:ascii="Arial" w:cs="Arial" w:eastAsia="Arial" w:hAnsi="Arial"/>
          <w:sz w:val="18"/>
          <w:szCs w:val="18"/>
          <w:color w:val="auto"/>
        </w:rPr>
      </w:pPr>
    </w:p>
    <w:p>
      <w:pPr>
        <w:ind w:left="820" w:right="86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9" w:lineRule="exact"/>
        <w:rPr>
          <w:rFonts w:ascii="Arial" w:cs="Arial" w:eastAsia="Arial" w:hAnsi="Arial"/>
          <w:sz w:val="18"/>
          <w:szCs w:val="18"/>
          <w:color w:val="auto"/>
        </w:rPr>
      </w:pPr>
    </w:p>
    <w:p>
      <w:pPr>
        <w:ind w:left="820" w:hanging="164"/>
        <w:spacing w:after="0" w:line="25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2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29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296"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Affordable Care Act,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 regulatory burdens and operating costs. Among the provisions of the Affordable Care Act of importance to our potential product candidates are the following:</w:t>
      </w:r>
    </w:p>
    <w:p>
      <w:pPr>
        <w:spacing w:after="0" w:line="99" w:lineRule="exact"/>
        <w:rPr>
          <w:sz w:val="20"/>
          <w:szCs w:val="20"/>
          <w:color w:val="auto"/>
        </w:rPr>
      </w:pPr>
    </w:p>
    <w:p>
      <w:pPr>
        <w:ind w:left="820" w:right="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9"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17" w:lineRule="exact"/>
        <w:rPr>
          <w:rFonts w:ascii="Arial" w:cs="Arial" w:eastAsia="Arial" w:hAnsi="Arial"/>
          <w:sz w:val="18"/>
          <w:szCs w:val="18"/>
          <w:color w:val="auto"/>
        </w:rPr>
      </w:pPr>
    </w:p>
    <w:p>
      <w:pPr>
        <w:ind w:left="820" w:right="9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U.S. Congress have sought and will likely continue to seek to modify, repeal, or otherwise invalidate all, or certain provisions of, the Affordable Care Act. For example, the Tax Cuts and Jobs Act of 2017, or TCJA, was enacted, which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 therefore, because it was repealed as part of the TCJA, the remaining provisions of the Affordable Care Act are invalid as well. While the Trump administration and CMS have both stated that the ruling will have no immediate effect, it is unclear how this decision, subsequent appeals, if any, and other efforts to repeal and replace the Affordable Care Act will impact the Affordable Care Act and our business. It is uncertain the extent to which any such changes may impact our business or financial condition.</w:t>
      </w:r>
    </w:p>
    <w:p>
      <w:pPr>
        <w:spacing w:after="0" w:line="21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These changes include the Budget Control Act of 2011, which, among other things, resulted in reductions to Medicare payments to providers of 2% per fiscal year and will remain in effect through 2029;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11"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that the Affordable Care Act,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may lose any regulatory approval that may have been obtained and we may not achieve or sustain profitability, which would adversely affect our business.</w:t>
      </w:r>
    </w:p>
    <w:p>
      <w:pPr>
        <w:spacing w:after="0" w:line="2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9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21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The stock price of our common stock may be volatile or may decline and investors may not be able to resell their shares at or above the IPO price.</w:t>
      </w:r>
    </w:p>
    <w:p>
      <w:pPr>
        <w:spacing w:after="0" w:line="17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90" w:lineRule="exact"/>
        <w:rPr>
          <w:sz w:val="20"/>
          <w:szCs w:val="20"/>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any of our product candidates receive regulatory approval;</w:t>
      </w:r>
    </w:p>
    <w:p>
      <w:pPr>
        <w:spacing w:after="0" w:line="117"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1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89"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17" w:lineRule="exact"/>
        <w:rPr>
          <w:rFonts w:ascii="Arial" w:cs="Arial" w:eastAsia="Arial" w:hAnsi="Arial"/>
          <w:sz w:val="18"/>
          <w:szCs w:val="18"/>
          <w:color w:val="auto"/>
        </w:rPr>
      </w:pPr>
    </w:p>
    <w:p>
      <w:pPr>
        <w:ind w:left="820" w:right="360" w:hanging="164"/>
        <w:spacing w:after="0" w:line="24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260" w:hanging="164"/>
        <w:spacing w:after="0" w:line="25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1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w:t>
      </w:r>
    </w:p>
    <w:p>
      <w:pPr>
        <w:spacing w:after="0" w:line="22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develop.</w:t>
      </w:r>
    </w:p>
    <w:p>
      <w:pPr>
        <w:spacing w:after="0" w:line="2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Prior to our IPO, there had been no public market for shares of our common stock, and an active public market for our shares may not develop or be sustained. The lack of an active market may impair the ability to sell our shares at the time you wish to sell them or at a price that you consider reasonable. An inactive market may also impair our ability to raise capital by selling shares and may impair our ability to acquire other businesses, applications, or technologies using our shares as consideration.</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8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We will remain an emerging growth company until the last day of our fiscal year following the fifth anniversary of the completion of the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9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8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2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29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March 31, 2020, our executive officers, directors, holders of 5% or more of our capital stock and their respective affiliates beneficially owned approximately 48% of our voting stock. Therefore, these stockholders will have the ability to influence us through this ownership position, including the ability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24.4 million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0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ability to utilize our net operating loss, or NOL, carryforwards and research and development income tax credit carryforwards may be limited.</w:t>
      </w:r>
    </w:p>
    <w:p>
      <w:pPr>
        <w:spacing w:after="0" w:line="6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December 31, 2019, we had NOL carryforwards available to reduce future taxable income, if any, for federal and California income tax purposes of $54.6 million and $55.1 million, respectively. If not utilized, California NOL carryforwards will expire beginning in 2036. Of the federal net operating losses, $3.5 million originated before the 2019 tax year and will expire beginning in 2036. Under the Tax Act, the remaining $51.0 million of federal NOL carryforwards generated after December 31, 2017 will carryforward indefinitely with utilization limited to 80% of taxable income. As of December 31, 2019, we had federal and California research and development tax credit carryforwards of $2.0 million and $0.7 million, respectively. If not utilized, the federal research and development tax credit carryforwards will begin to expire in 2037. The California research and development tax credit carryforwards are available indefinitely.</w:t>
      </w:r>
    </w:p>
    <w:p>
      <w:pPr>
        <w:spacing w:after="0" w:line="20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9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85"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90" w:lineRule="exact"/>
        <w:rPr>
          <w:sz w:val="20"/>
          <w:szCs w:val="20"/>
          <w:color w:val="auto"/>
        </w:rPr>
      </w:pPr>
    </w:p>
    <w:p>
      <w:pPr>
        <w:ind w:left="820" w:right="86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820" w:right="2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93" w:lineRule="exact"/>
        <w:rPr>
          <w:rFonts w:ascii="Arial" w:cs="Arial" w:eastAsia="Arial" w:hAnsi="Arial"/>
          <w:sz w:val="18"/>
          <w:szCs w:val="18"/>
          <w:color w:val="auto"/>
        </w:rPr>
      </w:pPr>
    </w:p>
    <w:p>
      <w:pPr>
        <w:ind w:left="820" w:right="14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89"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9" w:lineRule="exact"/>
        <w:rPr>
          <w:rFonts w:ascii="Arial" w:cs="Arial" w:eastAsia="Arial" w:hAnsi="Arial"/>
          <w:sz w:val="18"/>
          <w:szCs w:val="18"/>
          <w:color w:val="auto"/>
        </w:rPr>
      </w:pPr>
    </w:p>
    <w:p>
      <w:pPr>
        <w:ind w:left="820" w:right="14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820" w:right="6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provide that we will indemnify our directors and officers, in each case to the fullest extent permitted by Delaware law.</w:t>
      </w:r>
    </w:p>
    <w:p>
      <w:pPr>
        <w:spacing w:after="0" w:line="90"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restated bylaws to be effective immediately prior to the completion of our IPO and our indemnification agreements that we have entered into with our directors and officers provide that:</w:t>
      </w:r>
    </w:p>
    <w:p>
      <w:pPr>
        <w:spacing w:after="0" w:line="90" w:lineRule="exact"/>
        <w:rPr>
          <w:sz w:val="20"/>
          <w:szCs w:val="20"/>
          <w:color w:val="auto"/>
        </w:rPr>
      </w:pPr>
    </w:p>
    <w:p>
      <w:pPr>
        <w:ind w:left="820" w:right="100" w:hanging="164"/>
        <w:spacing w:after="0" w:line="253"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7" w:lineRule="exact"/>
        <w:rPr>
          <w:rFonts w:ascii="Arial" w:cs="Arial" w:eastAsia="Arial" w:hAnsi="Arial"/>
          <w:sz w:val="18"/>
          <w:szCs w:val="18"/>
          <w:color w:val="auto"/>
        </w:rPr>
      </w:pPr>
    </w:p>
    <w:p>
      <w:pPr>
        <w:ind w:left="820" w:right="72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89"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3" w:lineRule="exact"/>
        <w:rPr>
          <w:rFonts w:ascii="Arial" w:cs="Arial" w:eastAsia="Arial" w:hAnsi="Arial"/>
          <w:sz w:val="18"/>
          <w:szCs w:val="18"/>
          <w:color w:val="auto"/>
        </w:rPr>
      </w:pPr>
    </w:p>
    <w:p>
      <w:pPr>
        <w:jc w:val="both"/>
        <w:ind w:left="820" w:right="20" w:hanging="164"/>
        <w:spacing w:after="0" w:line="256"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not be obligated pursuant to our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12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conferred in our restated bylaws are not exclusive, and we are authorized to enter into indemnification agreements with our directors, officers, employees and agents and to obtain insurance to indemnify such persons.</w:t>
      </w:r>
    </w:p>
    <w:p>
      <w:pPr>
        <w:spacing w:after="0" w:line="89"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retroactively amend our restated bylaw provisions to reduce our indemnification obligations to directors, officers, employees and agents.</w:t>
      </w: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9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January 1, 2020 through March 31, 2020, we sold and issued the following unregistered securities:</w:t>
      </w:r>
    </w:p>
    <w:p>
      <w:pPr>
        <w:spacing w:after="0" w:line="212" w:lineRule="exact"/>
        <w:rPr>
          <w:sz w:val="20"/>
          <w:szCs w:val="20"/>
          <w:color w:val="auto"/>
        </w:rPr>
      </w:pPr>
    </w:p>
    <w:p>
      <w:pPr>
        <w:ind w:left="660" w:right="660" w:firstLine="320"/>
        <w:spacing w:after="0" w:line="246"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sold an aggregate of 43,000 shares of common stock to employees and consultants for cash consideration in the aggregate amount of $145,000 upon the exercise of stock options.</w:t>
      </w:r>
    </w:p>
    <w:p>
      <w:pPr>
        <w:spacing w:after="0" w:line="170"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auto"/>
        </w:rPr>
        <w:t>On January 30, 2020, the U.S. Securities and Exchange Commission declared effective our registration statement on Form S-1 (File No. 333-235806), as amended, filed in connection with our IPO. There has been no material change in the planned use of proceeds from our IPO from that described in the related prospectus dated January 30, 2020, filed with the SEC pursuant to Rule 424(b)(4) under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equity securities during the three months ended March 31,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2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Description of Document</w:t>
            </w:r>
          </w:p>
        </w:tc>
        <w:tc>
          <w:tcPr>
            <w:tcW w:w="2380" w:type="dxa"/>
            <w:vAlign w:val="bottom"/>
          </w:tcPr>
          <w:p>
            <w:pPr>
              <w:ind w:left="1060"/>
              <w:spacing w:after="0"/>
              <w:rPr>
                <w:sz w:val="20"/>
                <w:szCs w:val="20"/>
                <w:color w:val="auto"/>
              </w:rPr>
            </w:pPr>
            <w:r>
              <w:rPr>
                <w:rFonts w:ascii="Arial" w:cs="Arial" w:eastAsia="Arial" w:hAnsi="Arial"/>
                <w:sz w:val="14"/>
                <w:szCs w:val="14"/>
                <w:b w:val="1"/>
                <w:bCs w:val="1"/>
                <w:color w:val="auto"/>
              </w:rPr>
              <w:t>Incorporated by</w:t>
            </w:r>
          </w:p>
        </w:tc>
        <w:tc>
          <w:tcPr>
            <w:tcW w:w="8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center"/>
              <w:ind w:left="128"/>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8"/>
        </w:trPr>
        <w:tc>
          <w:tcPr>
            <w:tcW w:w="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8"/>
              </w:rPr>
              <w:t>Number</w:t>
            </w:r>
          </w:p>
        </w:tc>
        <w:tc>
          <w:tcPr>
            <w:tcW w:w="5420" w:type="dxa"/>
            <w:vAlign w:val="bottom"/>
            <w:vMerge w:val="continue"/>
          </w:tcPr>
          <w:p>
            <w:pPr>
              <w:spacing w:after="0"/>
              <w:rPr>
                <w:sz w:val="12"/>
                <w:szCs w:val="12"/>
                <w:color w:val="auto"/>
              </w:rPr>
            </w:pPr>
          </w:p>
        </w:tc>
        <w:tc>
          <w:tcPr>
            <w:tcW w:w="238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Reference Form</w:t>
            </w:r>
          </w:p>
        </w:tc>
        <w:tc>
          <w:tcPr>
            <w:tcW w:w="8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FF"/>
        </w:rPr>
      </w:pPr>
      <w:hyperlink w:anchor="page82">
        <w:r>
          <w:rPr>
            <w:rFonts w:ascii="Arial" w:cs="Arial" w:eastAsia="Arial" w:hAnsi="Arial"/>
            <w:sz w:val="18"/>
            <w:szCs w:val="18"/>
            <w:u w:val="single" w:color="auto"/>
            <w:color w:val="0000FF"/>
          </w:rPr>
          <w:t>Restated Certificate of Incorporation</w:t>
        </w:r>
        <w:r>
          <w:rPr>
            <w:rFonts w:ascii="Arial" w:cs="Arial" w:eastAsia="Arial" w:hAnsi="Arial"/>
            <w:sz w:val="18"/>
            <w:szCs w:val="18"/>
            <w:color w:val="0000FF"/>
          </w:rPr>
          <w:t>.</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Restated Bylaws.</w:t>
        </w:r>
      </w:hyperlink>
    </w:p>
    <w:p>
      <w:pPr>
        <w:spacing w:after="0" w:line="50" w:lineRule="exact"/>
        <w:rPr>
          <w:sz w:val="20"/>
          <w:szCs w:val="20"/>
          <w:color w:val="auto"/>
        </w:rPr>
      </w:pPr>
    </w:p>
    <w:p>
      <w:pPr>
        <w:spacing w:after="0"/>
        <w:rPr>
          <w:rFonts w:ascii="Arial" w:cs="Arial" w:eastAsia="Arial" w:hAnsi="Arial"/>
          <w:sz w:val="18"/>
          <w:szCs w:val="18"/>
          <w:color w:val="0000FF"/>
        </w:rPr>
      </w:pPr>
      <w:hyperlink r:id="rId93">
        <w:r>
          <w:rPr>
            <w:rFonts w:ascii="Arial" w:cs="Arial" w:eastAsia="Arial" w:hAnsi="Arial"/>
            <w:sz w:val="18"/>
            <w:szCs w:val="18"/>
            <w:u w:val="single" w:color="auto"/>
            <w:color w:val="0000FF"/>
          </w:rPr>
          <w:t>Form of Common Stock Certificate</w:t>
        </w:r>
        <w:r>
          <w:rPr>
            <w:rFonts w:ascii="Arial" w:cs="Arial" w:eastAsia="Arial" w:hAnsi="Arial"/>
            <w:sz w:val="18"/>
            <w:szCs w:val="18"/>
            <w:color w:val="0000FF"/>
          </w:rPr>
          <w:t>.</w:t>
        </w:r>
      </w:hyperlink>
    </w:p>
    <w:p>
      <w:pPr>
        <w:spacing w:after="0" w:line="50" w:lineRule="exact"/>
        <w:rPr>
          <w:sz w:val="20"/>
          <w:szCs w:val="20"/>
          <w:color w:val="auto"/>
        </w:rPr>
      </w:pPr>
    </w:p>
    <w:p>
      <w:pPr>
        <w:spacing w:after="0" w:line="227"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Amended and Restated Investors’ Rights Agreement, dated October 8,</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2019, by and among the Registrant and certain of its stockholders.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1/21/20</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1/21/20</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96" w:lineRule="exact"/>
        <w:rPr>
          <w:sz w:val="20"/>
          <w:szCs w:val="20"/>
          <w:color w:val="auto"/>
        </w:rPr>
      </w:pPr>
    </w:p>
    <w:p>
      <w:pPr>
        <w:sectPr>
          <w:pgSz w:w="11900" w:h="16838" w:orient="portrait"/>
          <w:cols w:equalWidth="0" w:num="4">
            <w:col w:w="500" w:space="720"/>
            <w:col w:w="5640" w:space="500"/>
            <w:col w:w="2580" w:space="720"/>
            <w:col w:w="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220" w:type="dxa"/>
            <w:vAlign w:val="bottom"/>
          </w:tcPr>
          <w:p>
            <w:pPr>
              <w:ind w:left="20"/>
              <w:spacing w:after="0" w:line="190" w:lineRule="exact"/>
              <w:rPr>
                <w:sz w:val="20"/>
                <w:szCs w:val="20"/>
                <w:color w:val="auto"/>
              </w:rPr>
            </w:pPr>
            <w:r>
              <w:rPr>
                <w:rFonts w:ascii="Arial" w:cs="Arial" w:eastAsia="Arial" w:hAnsi="Arial"/>
                <w:sz w:val="18"/>
                <w:szCs w:val="18"/>
                <w:color w:val="auto"/>
              </w:rPr>
              <w:t>4.3</w:t>
            </w:r>
          </w:p>
        </w:tc>
        <w:tc>
          <w:tcPr>
            <w:tcW w:w="5880" w:type="dxa"/>
            <w:vAlign w:val="bottom"/>
            <w:gridSpan w:val="4"/>
          </w:tcPr>
          <w:p>
            <w:pPr>
              <w:spacing w:after="0" w:line="190" w:lineRule="exact"/>
              <w:rPr>
                <w:rFonts w:ascii="Arial" w:cs="Arial" w:eastAsia="Arial" w:hAnsi="Arial"/>
                <w:sz w:val="18"/>
                <w:szCs w:val="18"/>
                <w:color w:val="0000FF"/>
              </w:rPr>
            </w:pPr>
            <w:hyperlink r:id="rId95">
              <w:r>
                <w:rPr>
                  <w:rFonts w:ascii="Arial" w:cs="Arial" w:eastAsia="Arial" w:hAnsi="Arial"/>
                  <w:sz w:val="18"/>
                  <w:szCs w:val="18"/>
                  <w:color w:val="0000FF"/>
                </w:rPr>
                <w:t>Description of Arcutis Biotherapeutics’ Securities Registered Pursuant</w:t>
              </w:r>
            </w:hyperlink>
          </w:p>
        </w:tc>
        <w:tc>
          <w:tcPr>
            <w:tcW w:w="1040" w:type="dxa"/>
            <w:vAlign w:val="bottom"/>
          </w:tcPr>
          <w:p>
            <w:pPr>
              <w:jc w:val="center"/>
              <w:spacing w:after="0" w:line="190" w:lineRule="exact"/>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3/19/20</w:t>
            </w:r>
          </w:p>
        </w:tc>
        <w:tc>
          <w:tcPr>
            <w:tcW w:w="1940" w:type="dxa"/>
            <w:vAlign w:val="bottom"/>
          </w:tcPr>
          <w:p>
            <w:pPr>
              <w:jc w:val="center"/>
              <w:ind w:right="990"/>
              <w:spacing w:after="0" w:line="190" w:lineRule="exact"/>
              <w:rPr>
                <w:sz w:val="20"/>
                <w:szCs w:val="20"/>
                <w:color w:val="auto"/>
              </w:rPr>
            </w:pPr>
            <w:r>
              <w:rPr>
                <w:rFonts w:ascii="Arial" w:cs="Arial" w:eastAsia="Arial" w:hAnsi="Arial"/>
                <w:sz w:val="18"/>
                <w:szCs w:val="18"/>
                <w:color w:val="auto"/>
              </w:rPr>
              <w:t>4.3</w:t>
            </w:r>
          </w:p>
        </w:tc>
      </w:tr>
      <w:tr>
        <w:trPr>
          <w:trHeight w:val="156"/>
        </w:trPr>
        <w:tc>
          <w:tcPr>
            <w:tcW w:w="1220" w:type="dxa"/>
            <w:vAlign w:val="bottom"/>
          </w:tcPr>
          <w:p>
            <w:pPr>
              <w:spacing w:after="0"/>
              <w:rPr>
                <w:sz w:val="13"/>
                <w:szCs w:val="13"/>
                <w:color w:val="auto"/>
              </w:rPr>
            </w:pPr>
          </w:p>
        </w:tc>
        <w:tc>
          <w:tcPr>
            <w:tcW w:w="55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to Section 12 of the Securities Exchange Act of 1934.</w:t>
              </w:r>
            </w:hyperlink>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63"/>
        </w:trPr>
        <w:tc>
          <w:tcPr>
            <w:tcW w:w="1220" w:type="dxa"/>
            <w:vAlign w:val="bottom"/>
          </w:tcPr>
          <w:p>
            <w:pPr>
              <w:ind w:left="20"/>
              <w:spacing w:after="0"/>
              <w:rPr>
                <w:sz w:val="20"/>
                <w:szCs w:val="20"/>
                <w:color w:val="auto"/>
              </w:rPr>
            </w:pPr>
            <w:r>
              <w:rPr>
                <w:rFonts w:ascii="Arial" w:cs="Arial" w:eastAsia="Arial" w:hAnsi="Arial"/>
                <w:sz w:val="18"/>
                <w:szCs w:val="18"/>
                <w:color w:val="auto"/>
              </w:rPr>
              <w:t>10.1#</w:t>
            </w:r>
          </w:p>
        </w:tc>
        <w:tc>
          <w:tcPr>
            <w:tcW w:w="424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Form of Indemnity Agreement.</w:t>
              </w:r>
            </w:hyperlink>
          </w:p>
        </w:tc>
        <w:tc>
          <w:tcPr>
            <w:tcW w:w="1640" w:type="dxa"/>
            <w:vAlign w:val="bottom"/>
            <w:gridSpan w:val="2"/>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1940" w:type="dxa"/>
            <w:vAlign w:val="bottom"/>
          </w:tcPr>
          <w:p>
            <w:pPr>
              <w:jc w:val="center"/>
              <w:ind w:right="990"/>
              <w:spacing w:after="0"/>
              <w:rPr>
                <w:sz w:val="20"/>
                <w:szCs w:val="20"/>
                <w:color w:val="auto"/>
              </w:rPr>
            </w:pPr>
            <w:r>
              <w:rPr>
                <w:rFonts w:ascii="Arial" w:cs="Arial" w:eastAsia="Arial" w:hAnsi="Arial"/>
                <w:sz w:val="18"/>
                <w:szCs w:val="18"/>
                <w:color w:val="auto"/>
                <w:w w:val="96"/>
              </w:rPr>
              <w:t>10.1</w:t>
            </w:r>
          </w:p>
        </w:tc>
      </w:tr>
      <w:tr>
        <w:trPr>
          <w:trHeight w:val="256"/>
        </w:trPr>
        <w:tc>
          <w:tcPr>
            <w:tcW w:w="1220" w:type="dxa"/>
            <w:vAlign w:val="bottom"/>
          </w:tcPr>
          <w:p>
            <w:pPr>
              <w:ind w:left="2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rFonts w:ascii="Arial" w:cs="Arial" w:eastAsia="Arial" w:hAnsi="Arial"/>
                <w:sz w:val="18"/>
                <w:szCs w:val="18"/>
                <w:u w:val="single" w:color="auto"/>
                <w:color w:val="0000FF"/>
                <w:w w:val="99"/>
              </w:rPr>
            </w:pPr>
            <w:hyperlink r:id="rId97">
              <w:r>
                <w:rPr>
                  <w:rFonts w:ascii="Arial" w:cs="Arial" w:eastAsia="Arial" w:hAnsi="Arial"/>
                  <w:sz w:val="18"/>
                  <w:szCs w:val="18"/>
                  <w:u w:val="single" w:color="auto"/>
                  <w:color w:val="0000FF"/>
                  <w:w w:val="99"/>
                </w:rPr>
                <w:t>2017</w:t>
              </w:r>
            </w:hyperlink>
          </w:p>
        </w:tc>
        <w:tc>
          <w:tcPr>
            <w:tcW w:w="5460" w:type="dxa"/>
            <w:vAlign w:val="bottom"/>
            <w:gridSpan w:val="3"/>
          </w:tcPr>
          <w:p>
            <w:pPr>
              <w:ind w:left="2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Stock Incentive Plan and forms of award agreements.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1940" w:type="dxa"/>
            <w:vAlign w:val="bottom"/>
          </w:tcPr>
          <w:p>
            <w:pPr>
              <w:jc w:val="center"/>
              <w:ind w:right="990"/>
              <w:spacing w:after="0"/>
              <w:rPr>
                <w:sz w:val="20"/>
                <w:szCs w:val="20"/>
                <w:color w:val="auto"/>
              </w:rPr>
            </w:pPr>
            <w:r>
              <w:rPr>
                <w:rFonts w:ascii="Arial" w:cs="Arial" w:eastAsia="Arial" w:hAnsi="Arial"/>
                <w:sz w:val="18"/>
                <w:szCs w:val="18"/>
                <w:color w:val="auto"/>
                <w:w w:val="96"/>
              </w:rPr>
              <w:t>10.2</w:t>
            </w:r>
          </w:p>
        </w:tc>
      </w:tr>
      <w:tr>
        <w:trPr>
          <w:trHeight w:val="256"/>
        </w:trPr>
        <w:tc>
          <w:tcPr>
            <w:tcW w:w="1220" w:type="dxa"/>
            <w:vAlign w:val="bottom"/>
          </w:tcPr>
          <w:p>
            <w:pPr>
              <w:ind w:left="2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rFonts w:ascii="Arial" w:cs="Arial" w:eastAsia="Arial" w:hAnsi="Arial"/>
                <w:sz w:val="18"/>
                <w:szCs w:val="18"/>
                <w:u w:val="single" w:color="auto"/>
                <w:color w:val="0000FF"/>
                <w:w w:val="99"/>
              </w:rPr>
            </w:pPr>
            <w:hyperlink r:id="rId98">
              <w:r>
                <w:rPr>
                  <w:rFonts w:ascii="Arial" w:cs="Arial" w:eastAsia="Arial" w:hAnsi="Arial"/>
                  <w:sz w:val="18"/>
                  <w:szCs w:val="18"/>
                  <w:u w:val="single" w:color="auto"/>
                  <w:color w:val="0000FF"/>
                  <w:w w:val="99"/>
                </w:rPr>
                <w:t>2020</w:t>
              </w:r>
            </w:hyperlink>
          </w:p>
        </w:tc>
        <w:tc>
          <w:tcPr>
            <w:tcW w:w="5460" w:type="dxa"/>
            <w:vAlign w:val="bottom"/>
            <w:gridSpan w:val="3"/>
          </w:tcPr>
          <w:p>
            <w:pPr>
              <w:ind w:left="2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Stock Incentive Plan and forms of award agreements.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1940" w:type="dxa"/>
            <w:vAlign w:val="bottom"/>
          </w:tcPr>
          <w:p>
            <w:pPr>
              <w:jc w:val="center"/>
              <w:ind w:right="990"/>
              <w:spacing w:after="0"/>
              <w:rPr>
                <w:sz w:val="20"/>
                <w:szCs w:val="20"/>
                <w:color w:val="auto"/>
              </w:rPr>
            </w:pPr>
            <w:r>
              <w:rPr>
                <w:rFonts w:ascii="Arial" w:cs="Arial" w:eastAsia="Arial" w:hAnsi="Arial"/>
                <w:sz w:val="18"/>
                <w:szCs w:val="18"/>
                <w:color w:val="auto"/>
                <w:w w:val="96"/>
              </w:rPr>
              <w:t>10.3</w:t>
            </w:r>
          </w:p>
        </w:tc>
      </w:tr>
      <w:tr>
        <w:trPr>
          <w:trHeight w:val="256"/>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rFonts w:ascii="Arial" w:cs="Arial" w:eastAsia="Arial" w:hAnsi="Arial"/>
                <w:sz w:val="18"/>
                <w:szCs w:val="18"/>
                <w:u w:val="single" w:color="auto"/>
                <w:color w:val="0000FF"/>
                <w:w w:val="99"/>
              </w:rPr>
            </w:pPr>
            <w:hyperlink r:id="rId99">
              <w:r>
                <w:rPr>
                  <w:rFonts w:ascii="Arial" w:cs="Arial" w:eastAsia="Arial" w:hAnsi="Arial"/>
                  <w:sz w:val="18"/>
                  <w:szCs w:val="18"/>
                  <w:u w:val="single" w:color="auto"/>
                  <w:color w:val="0000FF"/>
                  <w:w w:val="99"/>
                </w:rPr>
                <w:t>2020</w:t>
              </w:r>
            </w:hyperlink>
          </w:p>
        </w:tc>
        <w:tc>
          <w:tcPr>
            <w:tcW w:w="5460" w:type="dxa"/>
            <w:vAlign w:val="bottom"/>
            <w:gridSpan w:val="3"/>
          </w:tcPr>
          <w:p>
            <w:pPr>
              <w:ind w:left="2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Employee Stock Purchase Plan and forms of award agreements.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1940" w:type="dxa"/>
            <w:vAlign w:val="bottom"/>
          </w:tcPr>
          <w:p>
            <w:pPr>
              <w:jc w:val="center"/>
              <w:ind w:right="990"/>
              <w:spacing w:after="0"/>
              <w:rPr>
                <w:sz w:val="20"/>
                <w:szCs w:val="20"/>
                <w:color w:val="auto"/>
              </w:rPr>
            </w:pPr>
            <w:r>
              <w:rPr>
                <w:rFonts w:ascii="Arial" w:cs="Arial" w:eastAsia="Arial" w:hAnsi="Arial"/>
                <w:sz w:val="18"/>
                <w:szCs w:val="18"/>
                <w:color w:val="auto"/>
                <w:w w:val="96"/>
              </w:rPr>
              <w:t>10.4</w:t>
            </w:r>
          </w:p>
        </w:tc>
      </w:tr>
      <w:tr>
        <w:trPr>
          <w:trHeight w:val="891"/>
        </w:trPr>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2"/>
          </w:tcPr>
          <w:p>
            <w:pPr>
              <w:jc w:val="right"/>
              <w:ind w:right="106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10.5#</w:t>
            </w:r>
          </w:p>
        </w:tc>
        <w:tc>
          <w:tcPr>
            <w:tcW w:w="5680" w:type="dxa"/>
            <w:vAlign w:val="bottom"/>
            <w:gridSpan w:val="29"/>
          </w:tcPr>
          <w:p>
            <w:pPr>
              <w:spacing w:after="0"/>
              <w:rPr>
                <w:rFonts w:ascii="Arial" w:cs="Arial" w:eastAsia="Arial" w:hAnsi="Arial"/>
                <w:sz w:val="18"/>
                <w:szCs w:val="18"/>
                <w:color w:val="0000FF"/>
              </w:rPr>
            </w:pPr>
            <w:hyperlink r:id="rId102">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8"/>
              </w:rPr>
            </w:pPr>
            <w:hyperlink r:id="rId102">
              <w:r>
                <w:rPr>
                  <w:rFonts w:ascii="Arial" w:cs="Arial" w:eastAsia="Arial" w:hAnsi="Arial"/>
                  <w:sz w:val="18"/>
                  <w:szCs w:val="18"/>
                  <w:color w:val="0000FF"/>
                  <w:w w:val="98"/>
                </w:rPr>
                <w:t>and Todd Franklin Watanabe.</w:t>
              </w:r>
            </w:hyperlink>
          </w:p>
        </w:tc>
        <w:tc>
          <w:tcPr>
            <w:tcW w:w="296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10.6#</w:t>
            </w:r>
          </w:p>
        </w:tc>
        <w:tc>
          <w:tcPr>
            <w:tcW w:w="5680" w:type="dxa"/>
            <w:vAlign w:val="bottom"/>
            <w:gridSpan w:val="29"/>
          </w:tcPr>
          <w:p>
            <w:pPr>
              <w:spacing w:after="0"/>
              <w:rPr>
                <w:rFonts w:ascii="Arial" w:cs="Arial" w:eastAsia="Arial" w:hAnsi="Arial"/>
                <w:sz w:val="18"/>
                <w:szCs w:val="18"/>
                <w:color w:val="0000FF"/>
              </w:rPr>
            </w:pPr>
            <w:hyperlink r:id="rId103">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03">
              <w:r>
                <w:rPr>
                  <w:rFonts w:ascii="Arial" w:cs="Arial" w:eastAsia="Arial" w:hAnsi="Arial"/>
                  <w:sz w:val="18"/>
                  <w:szCs w:val="18"/>
                  <w:color w:val="0000FF"/>
                  <w:w w:val="98"/>
                </w:rPr>
                <w:t>and David W. Osborne.</w:t>
              </w:r>
            </w:hyperlink>
          </w:p>
        </w:tc>
        <w:tc>
          <w:tcPr>
            <w:tcW w:w="346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10.7#</w:t>
            </w:r>
          </w:p>
        </w:tc>
        <w:tc>
          <w:tcPr>
            <w:tcW w:w="5680" w:type="dxa"/>
            <w:vAlign w:val="bottom"/>
            <w:gridSpan w:val="29"/>
          </w:tcPr>
          <w:p>
            <w:pPr>
              <w:spacing w:after="0"/>
              <w:rPr>
                <w:rFonts w:ascii="Arial" w:cs="Arial" w:eastAsia="Arial" w:hAnsi="Arial"/>
                <w:sz w:val="18"/>
                <w:szCs w:val="18"/>
                <w:color w:val="0000FF"/>
              </w:rPr>
            </w:pPr>
            <w:hyperlink r:id="rId104">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and Howard G. Welgus, M.D.</w:t>
              </w:r>
            </w:hyperlink>
          </w:p>
        </w:tc>
        <w:tc>
          <w:tcPr>
            <w:tcW w:w="29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10.8#</w:t>
            </w:r>
          </w:p>
        </w:tc>
        <w:tc>
          <w:tcPr>
            <w:tcW w:w="5680" w:type="dxa"/>
            <w:vAlign w:val="bottom"/>
            <w:gridSpan w:val="29"/>
          </w:tcPr>
          <w:p>
            <w:pPr>
              <w:spacing w:after="0"/>
              <w:rPr>
                <w:rFonts w:ascii="Arial" w:cs="Arial" w:eastAsia="Arial" w:hAnsi="Arial"/>
                <w:sz w:val="18"/>
                <w:szCs w:val="18"/>
                <w:color w:val="0000FF"/>
              </w:rPr>
            </w:pPr>
            <w:hyperlink r:id="rId105">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5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and John W. Smither.</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10.9#</w:t>
            </w:r>
          </w:p>
        </w:tc>
        <w:tc>
          <w:tcPr>
            <w:tcW w:w="5680" w:type="dxa"/>
            <w:vAlign w:val="bottom"/>
            <w:gridSpan w:val="29"/>
          </w:tcPr>
          <w:p>
            <w:pPr>
              <w:spacing w:after="0"/>
              <w:rPr>
                <w:rFonts w:ascii="Arial" w:cs="Arial" w:eastAsia="Arial" w:hAnsi="Arial"/>
                <w:sz w:val="18"/>
                <w:szCs w:val="18"/>
                <w:color w:val="0000FF"/>
              </w:rPr>
            </w:pPr>
            <w:hyperlink r:id="rId106">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06">
              <w:r>
                <w:rPr>
                  <w:rFonts w:ascii="Arial" w:cs="Arial" w:eastAsia="Arial" w:hAnsi="Arial"/>
                  <w:sz w:val="18"/>
                  <w:szCs w:val="18"/>
                  <w:color w:val="0000FF"/>
                  <w:w w:val="98"/>
                </w:rPr>
                <w:t>and Kenneth A. Lock.</w:t>
              </w:r>
            </w:hyperlink>
          </w:p>
        </w:tc>
        <w:tc>
          <w:tcPr>
            <w:tcW w:w="360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10.10#</w:t>
            </w:r>
          </w:p>
        </w:tc>
        <w:tc>
          <w:tcPr>
            <w:tcW w:w="5680" w:type="dxa"/>
            <w:vAlign w:val="bottom"/>
            <w:gridSpan w:val="29"/>
          </w:tcPr>
          <w:p>
            <w:pPr>
              <w:spacing w:after="0"/>
              <w:rPr>
                <w:rFonts w:ascii="Arial" w:cs="Arial" w:eastAsia="Arial" w:hAnsi="Arial"/>
                <w:sz w:val="18"/>
                <w:szCs w:val="18"/>
                <w:color w:val="0000FF"/>
              </w:rPr>
            </w:pPr>
            <w:hyperlink r:id="rId107">
              <w:r>
                <w:rPr>
                  <w:rFonts w:ascii="Arial" w:cs="Arial" w:eastAsia="Arial" w:hAnsi="Arial"/>
                  <w:sz w:val="18"/>
                  <w:szCs w:val="18"/>
                  <w:color w:val="0000FF"/>
                </w:rPr>
                <w:t>Offer Letter, dated January 9, 2020, by and between the Registrant</w:t>
              </w:r>
            </w:hyperlink>
          </w:p>
        </w:tc>
      </w:tr>
      <w:tr>
        <w:trPr>
          <w:trHeight w:val="156"/>
        </w:trPr>
        <w:tc>
          <w:tcPr>
            <w:tcW w:w="1200" w:type="dxa"/>
            <w:vAlign w:val="bottom"/>
          </w:tcPr>
          <w:p>
            <w:pPr>
              <w:spacing w:after="0"/>
              <w:rPr>
                <w:sz w:val="13"/>
                <w:szCs w:val="13"/>
                <w:color w:val="auto"/>
              </w:rPr>
            </w:pPr>
          </w:p>
        </w:tc>
        <w:tc>
          <w:tcPr>
            <w:tcW w:w="5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and Patricia A. Turney.</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10.11#</w:t>
            </w:r>
          </w:p>
        </w:tc>
        <w:tc>
          <w:tcPr>
            <w:tcW w:w="5680" w:type="dxa"/>
            <w:vAlign w:val="bottom"/>
            <w:gridSpan w:val="29"/>
          </w:tcPr>
          <w:p>
            <w:pPr>
              <w:spacing w:after="0"/>
              <w:rPr>
                <w:rFonts w:ascii="Arial" w:cs="Arial" w:eastAsia="Arial" w:hAnsi="Arial"/>
                <w:sz w:val="18"/>
                <w:szCs w:val="18"/>
                <w:color w:val="0000FF"/>
              </w:rPr>
            </w:pPr>
            <w:hyperlink r:id="rId108">
              <w:r>
                <w:rPr>
                  <w:rFonts w:ascii="Arial" w:cs="Arial" w:eastAsia="Arial" w:hAnsi="Arial"/>
                  <w:sz w:val="18"/>
                  <w:szCs w:val="18"/>
                  <w:color w:val="0000FF"/>
                </w:rPr>
                <w:t>Consulting Agreement, dated August 16, 2016, by and between</w:t>
              </w:r>
            </w:hyperlink>
          </w:p>
        </w:tc>
      </w:tr>
      <w:tr>
        <w:trPr>
          <w:trHeight w:val="156"/>
        </w:trPr>
        <w:tc>
          <w:tcPr>
            <w:tcW w:w="1200" w:type="dxa"/>
            <w:vAlign w:val="bottom"/>
          </w:tcPr>
          <w:p>
            <w:pPr>
              <w:spacing w:after="0"/>
              <w:rPr>
                <w:sz w:val="13"/>
                <w:szCs w:val="13"/>
                <w:color w:val="auto"/>
              </w:rPr>
            </w:pPr>
          </w:p>
        </w:tc>
        <w:tc>
          <w:tcPr>
            <w:tcW w:w="5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Bhaskar Chaudhuri and the Registrant.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10.12†^</w:t>
            </w:r>
          </w:p>
        </w:tc>
        <w:tc>
          <w:tcPr>
            <w:tcW w:w="5680" w:type="dxa"/>
            <w:vAlign w:val="bottom"/>
            <w:gridSpan w:val="29"/>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License Agreement, dated July 23, 2018, by and between AstraZeneca</w:t>
              </w:r>
            </w:hyperlink>
          </w:p>
        </w:tc>
      </w:tr>
      <w:tr>
        <w:trPr>
          <w:trHeight w:val="156"/>
        </w:trPr>
        <w:tc>
          <w:tcPr>
            <w:tcW w:w="1200" w:type="dxa"/>
            <w:vAlign w:val="bottom"/>
          </w:tcPr>
          <w:p>
            <w:pPr>
              <w:spacing w:after="0"/>
              <w:rPr>
                <w:sz w:val="13"/>
                <w:szCs w:val="13"/>
                <w:color w:val="auto"/>
              </w:rPr>
            </w:pPr>
          </w:p>
        </w:tc>
        <w:tc>
          <w:tcPr>
            <w:tcW w:w="56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AB and the Registrant.</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10.13†^</w:t>
            </w:r>
          </w:p>
        </w:tc>
        <w:tc>
          <w:tcPr>
            <w:tcW w:w="5680" w:type="dxa"/>
            <w:vAlign w:val="bottom"/>
            <w:gridSpan w:val="29"/>
          </w:tcPr>
          <w:p>
            <w:pPr>
              <w:spacing w:after="0"/>
              <w:rPr>
                <w:rFonts w:ascii="Arial" w:cs="Arial" w:eastAsia="Arial" w:hAnsi="Arial"/>
                <w:sz w:val="18"/>
                <w:szCs w:val="18"/>
                <w:color w:val="0000FF"/>
              </w:rPr>
            </w:pPr>
            <w:hyperlink r:id="rId110">
              <w:r>
                <w:rPr>
                  <w:rFonts w:ascii="Arial" w:cs="Arial" w:eastAsia="Arial" w:hAnsi="Arial"/>
                  <w:sz w:val="18"/>
                  <w:szCs w:val="18"/>
                  <w:color w:val="0000FF"/>
                </w:rPr>
                <w:t>Exclusive Option and License Agreement, dated January 4, 2018, by</w:t>
              </w:r>
            </w:hyperlink>
          </w:p>
        </w:tc>
      </w:tr>
      <w:tr>
        <w:trPr>
          <w:trHeight w:val="209"/>
        </w:trPr>
        <w:tc>
          <w:tcPr>
            <w:tcW w:w="1200" w:type="dxa"/>
            <w:vAlign w:val="bottom"/>
          </w:tcPr>
          <w:p>
            <w:pPr>
              <w:spacing w:after="0"/>
              <w:rPr>
                <w:sz w:val="18"/>
                <w:szCs w:val="18"/>
                <w:color w:val="auto"/>
              </w:rPr>
            </w:pPr>
          </w:p>
        </w:tc>
        <w:tc>
          <w:tcPr>
            <w:tcW w:w="5460" w:type="dxa"/>
            <w:vAlign w:val="bottom"/>
            <w:tcBorders>
              <w:top w:val="single" w:sz="8" w:color="0000FF"/>
            </w:tcBorders>
            <w:gridSpan w:val="23"/>
          </w:tcPr>
          <w:p>
            <w:pPr>
              <w:spacing w:after="0"/>
              <w:rPr>
                <w:rFonts w:ascii="Arial" w:cs="Arial" w:eastAsia="Arial" w:hAnsi="Arial"/>
                <w:sz w:val="18"/>
                <w:szCs w:val="18"/>
                <w:u w:val="single" w:color="auto"/>
                <w:color w:val="0000FF"/>
                <w:w w:val="99"/>
              </w:rPr>
            </w:pPr>
            <w:hyperlink r:id="rId110">
              <w:r>
                <w:rPr>
                  <w:rFonts w:ascii="Arial" w:cs="Arial" w:eastAsia="Arial" w:hAnsi="Arial"/>
                  <w:sz w:val="18"/>
                  <w:szCs w:val="18"/>
                  <w:u w:val="single" w:color="auto"/>
                  <w:color w:val="0000FF"/>
                  <w:w w:val="99"/>
                </w:rPr>
                <w:t>and between Jiangsu Hengrui Medicine Co., Ltd. and the Registrant.</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176"/>
        </w:trPr>
        <w:tc>
          <w:tcPr>
            <w:tcW w:w="120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5680" w:type="dxa"/>
            <w:vAlign w:val="bottom"/>
            <w:gridSpan w:val="29"/>
          </w:tcPr>
          <w:p>
            <w:pPr>
              <w:spacing w:after="0" w:line="176" w:lineRule="exact"/>
              <w:rPr>
                <w:rFonts w:ascii="Arial" w:cs="Arial" w:eastAsia="Arial" w:hAnsi="Arial"/>
                <w:sz w:val="18"/>
                <w:szCs w:val="18"/>
                <w:color w:val="0000FF"/>
              </w:rPr>
            </w:pPr>
            <w:hyperlink r:id="rId111">
              <w:r>
                <w:rPr>
                  <w:rFonts w:ascii="Arial" w:cs="Arial" w:eastAsia="Arial" w:hAnsi="Arial"/>
                  <w:sz w:val="18"/>
                  <w:szCs w:val="18"/>
                  <w:color w:val="0000FF"/>
                </w:rPr>
                <w:t>Collaboration Agreement, dated June 28, 2019, by and between</w:t>
              </w:r>
            </w:hyperlink>
          </w:p>
        </w:tc>
      </w:tr>
      <w:tr>
        <w:trPr>
          <w:trHeight w:val="156"/>
        </w:trPr>
        <w:tc>
          <w:tcPr>
            <w:tcW w:w="1200" w:type="dxa"/>
            <w:vAlign w:val="bottom"/>
          </w:tcPr>
          <w:p>
            <w:pPr>
              <w:spacing w:after="0"/>
              <w:rPr>
                <w:sz w:val="13"/>
                <w:szCs w:val="13"/>
                <w:color w:val="auto"/>
              </w:rPr>
            </w:pPr>
          </w:p>
        </w:tc>
        <w:tc>
          <w:tcPr>
            <w:tcW w:w="5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Hawkeye Therapeutics, Inc. and the Registrant.</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10.15#</w:t>
            </w:r>
          </w:p>
        </w:tc>
        <w:tc>
          <w:tcPr>
            <w:tcW w:w="5680" w:type="dxa"/>
            <w:vAlign w:val="bottom"/>
            <w:gridSpan w:val="29"/>
          </w:tcPr>
          <w:p>
            <w:pPr>
              <w:spacing w:after="0"/>
              <w:rPr>
                <w:rFonts w:ascii="Arial" w:cs="Arial" w:eastAsia="Arial" w:hAnsi="Arial"/>
                <w:sz w:val="18"/>
                <w:szCs w:val="18"/>
                <w:color w:val="0000FF"/>
              </w:rPr>
            </w:pPr>
            <w:hyperlink r:id="rId112">
              <w:r>
                <w:rPr>
                  <w:rFonts w:ascii="Arial" w:cs="Arial" w:eastAsia="Arial" w:hAnsi="Arial"/>
                  <w:sz w:val="18"/>
                  <w:szCs w:val="18"/>
                  <w:color w:val="0000FF"/>
                </w:rPr>
                <w:t>Transition and Amendment Agreement, dated December 13, 2019 by</w:t>
              </w:r>
            </w:hyperlink>
          </w:p>
        </w:tc>
      </w:tr>
      <w:tr>
        <w:trPr>
          <w:trHeight w:val="156"/>
        </w:trPr>
        <w:tc>
          <w:tcPr>
            <w:tcW w:w="1200" w:type="dxa"/>
            <w:vAlign w:val="bottom"/>
          </w:tcPr>
          <w:p>
            <w:pPr>
              <w:spacing w:after="0"/>
              <w:rPr>
                <w:sz w:val="13"/>
                <w:szCs w:val="13"/>
                <w:color w:val="auto"/>
              </w:rPr>
            </w:pPr>
          </w:p>
        </w:tc>
        <w:tc>
          <w:tcPr>
            <w:tcW w:w="55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and between Bhaskar Chaudhuri and the Registrant.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10.16</w:t>
            </w:r>
          </w:p>
        </w:tc>
        <w:tc>
          <w:tcPr>
            <w:tcW w:w="5680" w:type="dxa"/>
            <w:vAlign w:val="bottom"/>
            <w:gridSpan w:val="29"/>
          </w:tcPr>
          <w:p>
            <w:pPr>
              <w:spacing w:after="0"/>
              <w:rPr>
                <w:rFonts w:ascii="Arial" w:cs="Arial" w:eastAsia="Arial" w:hAnsi="Arial"/>
                <w:sz w:val="18"/>
                <w:szCs w:val="18"/>
                <w:color w:val="0000FF"/>
              </w:rPr>
            </w:pPr>
            <w:hyperlink r:id="rId113">
              <w:r>
                <w:rPr>
                  <w:rFonts w:ascii="Arial" w:cs="Arial" w:eastAsia="Arial" w:hAnsi="Arial"/>
                  <w:sz w:val="18"/>
                  <w:szCs w:val="18"/>
                  <w:color w:val="0000FF"/>
                </w:rPr>
                <w:t>Option Notice and Amendment No. 2 to Exclusive Option and License</w:t>
              </w:r>
            </w:hyperlink>
          </w:p>
        </w:tc>
      </w:tr>
      <w:tr>
        <w:trPr>
          <w:trHeight w:val="156"/>
        </w:trPr>
        <w:tc>
          <w:tcPr>
            <w:tcW w:w="1200" w:type="dxa"/>
            <w:vAlign w:val="bottom"/>
          </w:tcPr>
          <w:p>
            <w:pPr>
              <w:spacing w:after="0"/>
              <w:rPr>
                <w:sz w:val="13"/>
                <w:szCs w:val="13"/>
                <w:color w:val="auto"/>
              </w:rPr>
            </w:pPr>
          </w:p>
        </w:tc>
        <w:tc>
          <w:tcPr>
            <w:tcW w:w="55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Agreement, dated December 5, 2019, by and between Jiangsu</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Hengrui Medicine Co., Ltd. and the Registrant.</w:t>
              </w:r>
            </w:hyperlink>
          </w:p>
        </w:tc>
        <w:tc>
          <w:tcPr>
            <w:tcW w:w="130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10.17#</w:t>
            </w:r>
          </w:p>
        </w:tc>
        <w:tc>
          <w:tcPr>
            <w:tcW w:w="5680" w:type="dxa"/>
            <w:vAlign w:val="bottom"/>
            <w:gridSpan w:val="29"/>
          </w:tcPr>
          <w:p>
            <w:pPr>
              <w:spacing w:after="0"/>
              <w:rPr>
                <w:rFonts w:ascii="Arial" w:cs="Arial" w:eastAsia="Arial" w:hAnsi="Arial"/>
                <w:sz w:val="18"/>
                <w:szCs w:val="18"/>
                <w:color w:val="0000FF"/>
              </w:rPr>
            </w:pPr>
            <w:hyperlink r:id="rId114">
              <w:r>
                <w:rPr>
                  <w:rFonts w:ascii="Arial" w:cs="Arial" w:eastAsia="Arial" w:hAnsi="Arial"/>
                  <w:sz w:val="18"/>
                  <w:szCs w:val="18"/>
                  <w:color w:val="0000FF"/>
                </w:rPr>
                <w:t>Severance &amp; Change in Control Agreement, by and between the</w:t>
              </w:r>
            </w:hyperlink>
          </w:p>
        </w:tc>
      </w:tr>
      <w:tr>
        <w:trPr>
          <w:trHeight w:val="156"/>
        </w:trPr>
        <w:tc>
          <w:tcPr>
            <w:tcW w:w="120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8"/>
              </w:rPr>
            </w:pPr>
            <w:hyperlink r:id="rId114">
              <w:r>
                <w:rPr>
                  <w:rFonts w:ascii="Arial" w:cs="Arial" w:eastAsia="Arial" w:hAnsi="Arial"/>
                  <w:sz w:val="18"/>
                  <w:szCs w:val="18"/>
                  <w:color w:val="0000FF"/>
                  <w:w w:val="98"/>
                </w:rPr>
                <w:t>Registrant and Todd Franklin Watanabe.</w:t>
              </w:r>
            </w:hyperlink>
          </w:p>
        </w:tc>
        <w:tc>
          <w:tcPr>
            <w:tcW w:w="190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10.18#</w:t>
            </w:r>
          </w:p>
        </w:tc>
        <w:tc>
          <w:tcPr>
            <w:tcW w:w="5680" w:type="dxa"/>
            <w:vAlign w:val="bottom"/>
            <w:gridSpan w:val="29"/>
          </w:tcPr>
          <w:p>
            <w:pPr>
              <w:spacing w:after="0"/>
              <w:rPr>
                <w:rFonts w:ascii="Arial" w:cs="Arial" w:eastAsia="Arial" w:hAnsi="Arial"/>
                <w:sz w:val="18"/>
                <w:szCs w:val="18"/>
                <w:color w:val="0000FF"/>
              </w:rPr>
            </w:pPr>
            <w:hyperlink r:id="rId115">
              <w:r>
                <w:rPr>
                  <w:rFonts w:ascii="Arial" w:cs="Arial" w:eastAsia="Arial" w:hAnsi="Arial"/>
                  <w:sz w:val="18"/>
                  <w:szCs w:val="18"/>
                  <w:color w:val="0000FF"/>
                </w:rPr>
                <w:t>Severance &amp; Change in Control Agreement, by and between the</w:t>
              </w:r>
            </w:hyperlink>
          </w:p>
        </w:tc>
      </w:tr>
      <w:tr>
        <w:trPr>
          <w:trHeight w:val="155"/>
        </w:trPr>
        <w:tc>
          <w:tcPr>
            <w:tcW w:w="1200" w:type="dxa"/>
            <w:vAlign w:val="bottom"/>
          </w:tcPr>
          <w:p>
            <w:pPr>
              <w:spacing w:after="0"/>
              <w:rPr>
                <w:sz w:val="13"/>
                <w:szCs w:val="13"/>
                <w:color w:val="auto"/>
              </w:rPr>
            </w:pPr>
          </w:p>
        </w:tc>
        <w:tc>
          <w:tcPr>
            <w:tcW w:w="5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Registrant and David W. Osborne.</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10.19#</w:t>
            </w:r>
          </w:p>
        </w:tc>
        <w:tc>
          <w:tcPr>
            <w:tcW w:w="5680" w:type="dxa"/>
            <w:vAlign w:val="bottom"/>
            <w:gridSpan w:val="29"/>
          </w:tcPr>
          <w:p>
            <w:pPr>
              <w:spacing w:after="0"/>
              <w:rPr>
                <w:rFonts w:ascii="Arial" w:cs="Arial" w:eastAsia="Arial" w:hAnsi="Arial"/>
                <w:sz w:val="18"/>
                <w:szCs w:val="18"/>
                <w:color w:val="0000FF"/>
              </w:rPr>
            </w:pPr>
            <w:hyperlink r:id="rId116">
              <w:r>
                <w:rPr>
                  <w:rFonts w:ascii="Arial" w:cs="Arial" w:eastAsia="Arial" w:hAnsi="Arial"/>
                  <w:sz w:val="18"/>
                  <w:szCs w:val="18"/>
                  <w:color w:val="0000FF"/>
                </w:rPr>
                <w:t>Severance &amp; Change in Control Agreement, by and between the</w:t>
              </w:r>
            </w:hyperlink>
          </w:p>
        </w:tc>
      </w:tr>
      <w:tr>
        <w:trPr>
          <w:trHeight w:val="155"/>
        </w:trPr>
        <w:tc>
          <w:tcPr>
            <w:tcW w:w="1200" w:type="dxa"/>
            <w:vAlign w:val="bottom"/>
          </w:tcPr>
          <w:p>
            <w:pPr>
              <w:spacing w:after="0"/>
              <w:rPr>
                <w:sz w:val="13"/>
                <w:szCs w:val="13"/>
                <w:color w:val="auto"/>
              </w:rPr>
            </w:pPr>
          </w:p>
        </w:tc>
        <w:tc>
          <w:tcPr>
            <w:tcW w:w="5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Registrant and Howard G. Welgus, M.D.</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10.20#</w:t>
            </w:r>
          </w:p>
        </w:tc>
        <w:tc>
          <w:tcPr>
            <w:tcW w:w="5680" w:type="dxa"/>
            <w:vAlign w:val="bottom"/>
            <w:gridSpan w:val="29"/>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Severance &amp; Change in Control Agreement, by and between the</w:t>
              </w:r>
            </w:hyperlink>
          </w:p>
        </w:tc>
      </w:tr>
      <w:tr>
        <w:trPr>
          <w:trHeight w:val="155"/>
        </w:trPr>
        <w:tc>
          <w:tcPr>
            <w:tcW w:w="12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Registrant and John W. Smither.</w:t>
              </w:r>
            </w:hyperlink>
          </w:p>
        </w:tc>
        <w:tc>
          <w:tcPr>
            <w:tcW w:w="2540" w:type="dxa"/>
            <w:vAlign w:val="bottom"/>
            <w:tcBorders>
              <w:top w:val="single" w:sz="8" w:color="0000FF"/>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10.21#</w:t>
            </w:r>
          </w:p>
        </w:tc>
        <w:tc>
          <w:tcPr>
            <w:tcW w:w="5680" w:type="dxa"/>
            <w:vAlign w:val="bottom"/>
            <w:gridSpan w:val="29"/>
          </w:tcPr>
          <w:p>
            <w:pPr>
              <w:spacing w:after="0"/>
              <w:rPr>
                <w:rFonts w:ascii="Arial" w:cs="Arial" w:eastAsia="Arial" w:hAnsi="Arial"/>
                <w:sz w:val="18"/>
                <w:szCs w:val="18"/>
                <w:color w:val="0000FF"/>
              </w:rPr>
            </w:pPr>
            <w:hyperlink r:id="rId118">
              <w:r>
                <w:rPr>
                  <w:rFonts w:ascii="Arial" w:cs="Arial" w:eastAsia="Arial" w:hAnsi="Arial"/>
                  <w:sz w:val="18"/>
                  <w:szCs w:val="18"/>
                  <w:color w:val="0000FF"/>
                </w:rPr>
                <w:t>Severance &amp; Change in Control Agreement, by and between the</w:t>
              </w:r>
            </w:hyperlink>
          </w:p>
        </w:tc>
      </w:tr>
      <w:tr>
        <w:trPr>
          <w:trHeight w:val="155"/>
        </w:trPr>
        <w:tc>
          <w:tcPr>
            <w:tcW w:w="1200" w:type="dxa"/>
            <w:vAlign w:val="bottom"/>
          </w:tcPr>
          <w:p>
            <w:pPr>
              <w:spacing w:after="0"/>
              <w:rPr>
                <w:sz w:val="13"/>
                <w:szCs w:val="13"/>
                <w:color w:val="auto"/>
              </w:rPr>
            </w:pPr>
          </w:p>
        </w:tc>
        <w:tc>
          <w:tcPr>
            <w:tcW w:w="5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Registrant and Kenneth A. Lock.</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10.22#</w:t>
            </w:r>
          </w:p>
        </w:tc>
        <w:tc>
          <w:tcPr>
            <w:tcW w:w="5680" w:type="dxa"/>
            <w:vAlign w:val="bottom"/>
            <w:gridSpan w:val="29"/>
          </w:tcPr>
          <w:p>
            <w:pPr>
              <w:spacing w:after="0"/>
              <w:rPr>
                <w:rFonts w:ascii="Arial" w:cs="Arial" w:eastAsia="Arial" w:hAnsi="Arial"/>
                <w:sz w:val="18"/>
                <w:szCs w:val="18"/>
                <w:color w:val="0000FF"/>
              </w:rPr>
            </w:pPr>
            <w:hyperlink r:id="rId119">
              <w:r>
                <w:rPr>
                  <w:rFonts w:ascii="Arial" w:cs="Arial" w:eastAsia="Arial" w:hAnsi="Arial"/>
                  <w:sz w:val="18"/>
                  <w:szCs w:val="18"/>
                  <w:color w:val="0000FF"/>
                </w:rPr>
                <w:t>Severance &amp; Change in Control Agreement, by and between the</w:t>
              </w:r>
            </w:hyperlink>
          </w:p>
        </w:tc>
      </w:tr>
      <w:tr>
        <w:trPr>
          <w:trHeight w:val="155"/>
        </w:trPr>
        <w:tc>
          <w:tcPr>
            <w:tcW w:w="12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Registrant and Patricia A. Turney.</w:t>
              </w:r>
            </w:hyperlink>
          </w:p>
        </w:tc>
        <w:tc>
          <w:tcPr>
            <w:tcW w:w="240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gridSpan w:val="29"/>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Certification of Principal Executive Officer Pursuant to Rules 13a-14(a)</w:t>
              </w:r>
            </w:hyperlink>
          </w:p>
        </w:tc>
      </w:tr>
      <w:tr>
        <w:trPr>
          <w:trHeight w:val="183"/>
        </w:trPr>
        <w:tc>
          <w:tcPr>
            <w:tcW w:w="1200" w:type="dxa"/>
            <w:vAlign w:val="bottom"/>
          </w:tcPr>
          <w:p>
            <w:pPr>
              <w:spacing w:after="0"/>
              <w:rPr>
                <w:sz w:val="15"/>
                <w:szCs w:val="15"/>
                <w:color w:val="auto"/>
              </w:rPr>
            </w:pPr>
          </w:p>
        </w:tc>
        <w:tc>
          <w:tcPr>
            <w:tcW w:w="56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and 15d-14(a) under the Securities and Exchange Act of 1934, as</w:t>
              </w:r>
            </w:hyperlink>
          </w:p>
        </w:tc>
        <w:tc>
          <w:tcPr>
            <w:tcW w:w="80" w:type="dxa"/>
            <w:vAlign w:val="bottom"/>
            <w:gridSpan w:val="2"/>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800" w:type="dxa"/>
            <w:vAlign w:val="bottom"/>
            <w:gridSpan w:val="14"/>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19"/>
                <w:szCs w:val="19"/>
                <w:color w:val="auto"/>
              </w:rPr>
            </w:pPr>
          </w:p>
        </w:tc>
        <w:tc>
          <w:tcPr>
            <w:tcW w:w="5680" w:type="dxa"/>
            <w:vAlign w:val="bottom"/>
            <w:gridSpan w:val="29"/>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adopted pursuant to Section 302 of the Sarbanes-Oxley Act of 2002.</w:t>
              </w:r>
            </w:hyperlink>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5680" w:type="dxa"/>
            <w:vAlign w:val="bottom"/>
            <w:gridSpan w:val="29"/>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Principal Financial Officer Pursuant to Rules 13a-14(a)</w:t>
              </w:r>
            </w:hyperlink>
          </w:p>
        </w:tc>
      </w:tr>
      <w:tr>
        <w:trPr>
          <w:trHeight w:val="183"/>
        </w:trPr>
        <w:tc>
          <w:tcPr>
            <w:tcW w:w="1200" w:type="dxa"/>
            <w:vAlign w:val="bottom"/>
          </w:tcPr>
          <w:p>
            <w:pPr>
              <w:spacing w:after="0"/>
              <w:rPr>
                <w:sz w:val="15"/>
                <w:szCs w:val="15"/>
                <w:color w:val="auto"/>
              </w:rPr>
            </w:pPr>
          </w:p>
        </w:tc>
        <w:tc>
          <w:tcPr>
            <w:tcW w:w="55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107">
              <w:r>
                <w:rPr>
                  <w:rFonts w:ascii="Arial" w:cs="Arial" w:eastAsia="Arial" w:hAnsi="Arial"/>
                  <w:sz w:val="18"/>
                  <w:szCs w:val="18"/>
                  <w:color w:val="0000FF"/>
                </w:rPr>
                <w:t>and 15d-14(a) under the Securities and Exchange Act of 1934, as</w:t>
              </w:r>
            </w:hyperlink>
          </w:p>
        </w:tc>
        <w:tc>
          <w:tcPr>
            <w:tcW w:w="14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800" w:type="dxa"/>
            <w:vAlign w:val="bottom"/>
            <w:gridSpan w:val="14"/>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223"/>
        </w:trPr>
        <w:tc>
          <w:tcPr>
            <w:tcW w:w="1200" w:type="dxa"/>
            <w:vAlign w:val="bottom"/>
          </w:tcPr>
          <w:p>
            <w:pPr>
              <w:spacing w:after="0"/>
              <w:rPr>
                <w:sz w:val="19"/>
                <w:szCs w:val="19"/>
                <w:color w:val="auto"/>
              </w:rPr>
            </w:pPr>
          </w:p>
        </w:tc>
        <w:tc>
          <w:tcPr>
            <w:tcW w:w="5680" w:type="dxa"/>
            <w:vAlign w:val="bottom"/>
            <w:gridSpan w:val="29"/>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adopted pursuant to Section 302 of the Sarbanes-Oxley Act of 2002.</w:t>
              </w:r>
            </w:hyperlink>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5220" w:type="dxa"/>
            <w:vAlign w:val="bottom"/>
            <w:tcBorders>
              <w:bottom w:val="single" w:sz="8" w:color="0000FF"/>
            </w:tcBorders>
            <w:gridSpan w:val="20"/>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Certification of Principal Executive Officer and Principal Financial</w:t>
              </w:r>
            </w:hyperlink>
          </w:p>
        </w:tc>
        <w:tc>
          <w:tcPr>
            <w:tcW w:w="460" w:type="dxa"/>
            <w:vAlign w:val="bottom"/>
            <w:gridSpan w:val="9"/>
          </w:tcPr>
          <w:p>
            <w:pPr>
              <w:spacing w:after="0"/>
              <w:rPr>
                <w:sz w:val="18"/>
                <w:szCs w:val="18"/>
                <w:color w:val="auto"/>
              </w:rPr>
            </w:pPr>
          </w:p>
        </w:tc>
      </w:tr>
      <w:tr>
        <w:trPr>
          <w:trHeight w:val="183"/>
        </w:trPr>
        <w:tc>
          <w:tcPr>
            <w:tcW w:w="1200" w:type="dxa"/>
            <w:vAlign w:val="bottom"/>
          </w:tcPr>
          <w:p>
            <w:pPr>
              <w:spacing w:after="0"/>
              <w:rPr>
                <w:sz w:val="15"/>
                <w:szCs w:val="15"/>
                <w:color w:val="auto"/>
              </w:rPr>
            </w:pPr>
          </w:p>
        </w:tc>
        <w:tc>
          <w:tcPr>
            <w:tcW w:w="5680" w:type="dxa"/>
            <w:vAlign w:val="bottom"/>
            <w:gridSpan w:val="29"/>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Officer Pursuant to 18 U.S.C. Section 1350, as adopted pursuant to</w:t>
              </w:r>
            </w:hyperlink>
          </w:p>
        </w:tc>
      </w:tr>
      <w:tr>
        <w:trPr>
          <w:trHeight w:val="183"/>
        </w:trPr>
        <w:tc>
          <w:tcPr>
            <w:tcW w:w="120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w:anchor="page108">
              <w:r>
                <w:rPr>
                  <w:rFonts w:ascii="Arial" w:cs="Arial" w:eastAsia="Arial" w:hAnsi="Arial"/>
                  <w:sz w:val="18"/>
                  <w:szCs w:val="18"/>
                  <w:color w:val="0000FF"/>
                  <w:w w:val="99"/>
                </w:rPr>
                <w:t>Section 906 of the Sarbanes-Oxley Act of 2002.</w:t>
              </w:r>
            </w:hyperlink>
          </w:p>
        </w:tc>
        <w:tc>
          <w:tcPr>
            <w:tcW w:w="1560" w:type="dxa"/>
            <w:vAlign w:val="bottom"/>
            <w:tcBorders>
              <w:top w:val="single" w:sz="8" w:color="0000FF"/>
            </w:tcBorders>
            <w:gridSpan w:val="8"/>
          </w:tcPr>
          <w:p>
            <w:pPr>
              <w:spacing w:after="0"/>
              <w:rPr>
                <w:sz w:val="15"/>
                <w:szCs w:val="15"/>
                <w:color w:val="auto"/>
              </w:rPr>
            </w:pPr>
          </w:p>
        </w:tc>
        <w:tc>
          <w:tcPr>
            <w:tcW w:w="320" w:type="dxa"/>
            <w:vAlign w:val="bottom"/>
            <w:gridSpan w:val="7"/>
          </w:tcPr>
          <w:p>
            <w:pPr>
              <w:spacing w:after="0"/>
              <w:rPr>
                <w:sz w:val="15"/>
                <w:szCs w:val="15"/>
                <w:color w:val="auto"/>
              </w:rPr>
            </w:pPr>
          </w:p>
        </w:tc>
      </w:tr>
      <w:tr>
        <w:trPr>
          <w:trHeight w:val="263"/>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gridSpan w:val="29"/>
          </w:tcPr>
          <w:p>
            <w:pPr>
              <w:spacing w:after="0"/>
              <w:rPr>
                <w:sz w:val="20"/>
                <w:szCs w:val="20"/>
                <w:color w:val="auto"/>
              </w:rPr>
            </w:pPr>
            <w:r>
              <w:rPr>
                <w:rFonts w:ascii="Arial" w:cs="Arial" w:eastAsia="Arial" w:hAnsi="Arial"/>
                <w:sz w:val="18"/>
                <w:szCs w:val="18"/>
                <w:color w:val="auto"/>
              </w:rPr>
              <w:t>XBRL Instance Document - The instance document does not appear in</w:t>
            </w:r>
          </w:p>
        </w:tc>
      </w:tr>
      <w:tr>
        <w:trPr>
          <w:trHeight w:val="203"/>
        </w:trPr>
        <w:tc>
          <w:tcPr>
            <w:tcW w:w="1200" w:type="dxa"/>
            <w:vAlign w:val="bottom"/>
          </w:tcPr>
          <w:p>
            <w:pPr>
              <w:spacing w:after="0"/>
              <w:rPr>
                <w:sz w:val="17"/>
                <w:szCs w:val="17"/>
                <w:color w:val="auto"/>
              </w:rPr>
            </w:pPr>
          </w:p>
        </w:tc>
        <w:tc>
          <w:tcPr>
            <w:tcW w:w="5680" w:type="dxa"/>
            <w:vAlign w:val="bottom"/>
            <w:gridSpan w:val="29"/>
          </w:tcPr>
          <w:p>
            <w:pPr>
              <w:spacing w:after="0" w:line="202" w:lineRule="exact"/>
              <w:rPr>
                <w:sz w:val="20"/>
                <w:szCs w:val="20"/>
                <w:color w:val="auto"/>
              </w:rPr>
            </w:pPr>
            <w:r>
              <w:rPr>
                <w:rFonts w:ascii="Arial" w:cs="Arial" w:eastAsia="Arial" w:hAnsi="Arial"/>
                <w:sz w:val="18"/>
                <w:szCs w:val="18"/>
                <w:color w:val="auto"/>
              </w:rPr>
              <w:t>the interactive data file because its XBRL tags are embedded within</w:t>
            </w:r>
          </w:p>
        </w:tc>
      </w:tr>
      <w:tr>
        <w:trPr>
          <w:trHeight w:val="217"/>
        </w:trPr>
        <w:tc>
          <w:tcPr>
            <w:tcW w:w="1200" w:type="dxa"/>
            <w:vAlign w:val="bottom"/>
          </w:tcPr>
          <w:p>
            <w:pPr>
              <w:spacing w:after="0"/>
              <w:rPr>
                <w:sz w:val="18"/>
                <w:szCs w:val="18"/>
                <w:color w:val="auto"/>
              </w:rPr>
            </w:pPr>
          </w:p>
        </w:tc>
        <w:tc>
          <w:tcPr>
            <w:tcW w:w="5680" w:type="dxa"/>
            <w:vAlign w:val="bottom"/>
            <w:gridSpan w:val="29"/>
          </w:tcPr>
          <w:p>
            <w:pPr>
              <w:spacing w:after="0"/>
              <w:rPr>
                <w:sz w:val="20"/>
                <w:szCs w:val="20"/>
                <w:color w:val="auto"/>
              </w:rPr>
            </w:pPr>
            <w:r>
              <w:rPr>
                <w:rFonts w:ascii="Arial" w:cs="Arial" w:eastAsia="Arial" w:hAnsi="Arial"/>
                <w:sz w:val="18"/>
                <w:szCs w:val="18"/>
                <w:color w:val="auto"/>
              </w:rPr>
              <w:t>the inline XBRL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gridSpan w:val="29"/>
          </w:tcPr>
          <w:p>
            <w:pPr>
              <w:spacing w:after="0"/>
              <w:rPr>
                <w:sz w:val="20"/>
                <w:szCs w:val="20"/>
                <w:color w:val="auto"/>
              </w:rPr>
            </w:pPr>
            <w:r>
              <w:rPr>
                <w:rFonts w:ascii="Arial" w:cs="Arial" w:eastAsia="Arial" w:hAnsi="Arial"/>
                <w:sz w:val="18"/>
                <w:szCs w:val="18"/>
                <w:color w:val="auto"/>
              </w:rPr>
              <w:t>XBRL Taxonomy Extension Schema Document.</w:t>
            </w:r>
          </w:p>
        </w:tc>
      </w:tr>
      <w:tr>
        <w:trPr>
          <w:trHeight w:val="891"/>
        </w:trPr>
        <w:tc>
          <w:tcPr>
            <w:tcW w:w="1200" w:type="dxa"/>
            <w:vAlign w:val="bottom"/>
          </w:tcPr>
          <w:p>
            <w:pPr>
              <w:spacing w:after="0"/>
              <w:rPr>
                <w:sz w:val="24"/>
                <w:szCs w:val="24"/>
                <w:color w:val="auto"/>
              </w:rPr>
            </w:pPr>
          </w:p>
        </w:tc>
        <w:tc>
          <w:tcPr>
            <w:tcW w:w="5000" w:type="dxa"/>
            <w:vAlign w:val="bottom"/>
            <w:gridSpan w:val="16"/>
          </w:tcPr>
          <w:p>
            <w:pPr>
              <w:ind w:left="430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10.5</w:t>
      </w:r>
    </w:p>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10.6</w:t>
      </w:r>
    </w:p>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10.7</w:t>
      </w:r>
    </w:p>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10.8</w:t>
      </w:r>
    </w:p>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10.9</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10.10</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10.11</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10.12</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10.13</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10.14</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10.15</w:t>
      </w:r>
    </w:p>
    <w:p>
      <w:pPr>
        <w:spacing w:after="0" w:line="19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8"/>
          <w:szCs w:val="18"/>
          <w:color w:val="auto"/>
        </w:rPr>
        <w:t>10.16</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10.17</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10.18</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10.19</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10.20</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10.21</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1/21/20</w:t>
      </w:r>
      <w:r>
        <w:rPr>
          <w:sz w:val="20"/>
          <w:szCs w:val="20"/>
          <w:color w:val="auto"/>
        </w:rPr>
        <w:tab/>
      </w:r>
      <w:r>
        <w:rPr>
          <w:rFonts w:ascii="Arial" w:cs="Arial" w:eastAsia="Arial" w:hAnsi="Arial"/>
          <w:sz w:val="18"/>
          <w:szCs w:val="18"/>
          <w:color w:val="auto"/>
        </w:rPr>
        <w:t>10.22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880" w:space="480"/>
            <w:col w:w="460" w:space="640"/>
            <w:col w:w="2320"/>
          </w:cols>
          <w:pgMar w:left="320" w:top="125" w:right="7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320" w:type="dxa"/>
            <w:vAlign w:val="bottom"/>
          </w:tcPr>
          <w:p>
            <w:pPr>
              <w:spacing w:after="0"/>
              <w:rPr>
                <w:sz w:val="20"/>
                <w:szCs w:val="20"/>
                <w:color w:val="auto"/>
              </w:rPr>
            </w:pPr>
          </w:p>
        </w:tc>
      </w:tr>
      <w:tr>
        <w:trPr>
          <w:trHeight w:val="823"/>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7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320" w:type="dxa"/>
            <w:vAlign w:val="bottom"/>
          </w:tcPr>
          <w:p>
            <w:pPr>
              <w:ind w:left="220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7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320" w:type="dxa"/>
            <w:vAlign w:val="bottom"/>
          </w:tcPr>
          <w:p>
            <w:pPr>
              <w:ind w:left="220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74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320" w:type="dxa"/>
            <w:vAlign w:val="bottom"/>
          </w:tcPr>
          <w:p>
            <w:pPr>
              <w:ind w:left="220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7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320" w:type="dxa"/>
            <w:vAlign w:val="bottom"/>
          </w:tcPr>
          <w:p>
            <w:pPr>
              <w:ind w:left="2200"/>
              <w:spacing w:after="0"/>
              <w:rPr>
                <w:sz w:val="20"/>
                <w:szCs w:val="20"/>
                <w:color w:val="auto"/>
              </w:rPr>
            </w:pPr>
            <w:r>
              <w:rPr>
                <w:rFonts w:ascii="Arial" w:cs="Arial" w:eastAsia="Arial" w:hAnsi="Arial"/>
                <w:sz w:val="18"/>
                <w:szCs w:val="18"/>
                <w:color w:val="auto"/>
                <w:w w:val="82"/>
              </w:rPr>
              <w:t>X</w:t>
            </w:r>
          </w:p>
        </w:tc>
      </w:tr>
      <w:tr>
        <w:trPr>
          <w:trHeight w:val="242"/>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74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 and</w:t>
            </w:r>
          </w:p>
        </w:tc>
        <w:tc>
          <w:tcPr>
            <w:tcW w:w="2320" w:type="dxa"/>
            <w:vAlign w:val="bottom"/>
          </w:tcPr>
          <w:p>
            <w:pPr>
              <w:ind w:left="2200"/>
              <w:spacing w:after="0"/>
              <w:rPr>
                <w:sz w:val="20"/>
                <w:szCs w:val="20"/>
                <w:color w:val="auto"/>
              </w:rPr>
            </w:pPr>
            <w:r>
              <w:rPr>
                <w:rFonts w:ascii="Arial" w:cs="Arial" w:eastAsia="Arial" w:hAnsi="Arial"/>
                <w:sz w:val="18"/>
                <w:szCs w:val="18"/>
                <w:color w:val="auto"/>
                <w:w w:val="82"/>
              </w:rPr>
              <w:t>X</w:t>
            </w:r>
          </w:p>
        </w:tc>
      </w:tr>
      <w:tr>
        <w:trPr>
          <w:trHeight w:val="217"/>
        </w:trPr>
        <w:tc>
          <w:tcPr>
            <w:tcW w:w="98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contained in Exhibit 101).</w:t>
            </w:r>
          </w:p>
        </w:tc>
        <w:tc>
          <w:tcPr>
            <w:tcW w:w="2320" w:type="dxa"/>
            <w:vAlign w:val="bottom"/>
          </w:tcPr>
          <w:p>
            <w:pPr>
              <w:spacing w:after="0"/>
              <w:rPr>
                <w:sz w:val="18"/>
                <w:szCs w:val="18"/>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Registrant has omitted portions of the exhibit as permitted under Item 601(b)(10) of Regulation S-K.</w:t>
      </w:r>
    </w:p>
    <w:p>
      <w:pPr>
        <w:spacing w:after="0" w:line="117" w:lineRule="exact"/>
        <w:rPr>
          <w:sz w:val="20"/>
          <w:szCs w:val="20"/>
          <w:color w:val="auto"/>
        </w:rPr>
      </w:pPr>
    </w:p>
    <w:p>
      <w:pPr>
        <w:ind w:left="660" w:right="1120" w:hanging="652"/>
        <w:spacing w:after="0" w:line="261" w:lineRule="auto"/>
        <w:tabs>
          <w:tab w:leader="none" w:pos="1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Registrant has omitted schedules and exhibits pursuant to Item 601(b)(2) of Regulation S-K. The Registrant agrees to furnish supplementally a copy of the omitted schedules and exhibits to the SEC upon request.</w:t>
      </w:r>
    </w:p>
    <w:p>
      <w:pPr>
        <w:spacing w:after="0" w:line="90" w:lineRule="exact"/>
        <w:rPr>
          <w:sz w:val="20"/>
          <w:szCs w:val="20"/>
          <w:color w:val="auto"/>
        </w:rPr>
      </w:pPr>
    </w:p>
    <w:p>
      <w:pPr>
        <w:ind w:left="660" w:hanging="652"/>
        <w:spacing w:after="0" w:line="254" w:lineRule="auto"/>
        <w:tabs>
          <w:tab w:leader="none" w:pos="1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216"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ARCUTIS BIOTHERAPEUTICS, INC.</w:t>
      </w:r>
    </w:p>
    <w:p>
      <w:pPr>
        <w:spacing w:after="0" w:line="342" w:lineRule="exact"/>
        <w:rPr>
          <w:sz w:val="20"/>
          <w:szCs w:val="20"/>
          <w:color w:val="auto"/>
        </w:rPr>
      </w:pPr>
    </w:p>
    <w:p>
      <w:pPr>
        <w:ind w:left="20"/>
        <w:spacing w:after="0"/>
        <w:tabs>
          <w:tab w:leader="none" w:pos="780" w:val="left"/>
          <w:tab w:leader="none" w:pos="608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John W. Smither</w:t>
      </w:r>
    </w:p>
    <w:p>
      <w:pPr>
        <w:ind w:left="6540"/>
        <w:spacing w:after="0" w:line="203" w:lineRule="auto"/>
        <w:rPr>
          <w:sz w:val="20"/>
          <w:szCs w:val="20"/>
          <w:color w:val="auto"/>
        </w:rPr>
      </w:pPr>
      <w:r>
        <w:rPr>
          <w:rFonts w:ascii="Arial" w:cs="Arial" w:eastAsia="Arial" w:hAnsi="Arial"/>
          <w:sz w:val="18"/>
          <w:szCs w:val="18"/>
          <w:i w:val="1"/>
          <w:iCs w:val="1"/>
          <w:color w:val="auto"/>
        </w:rPr>
        <w:t>Chief Financial Officer</w:t>
      </w:r>
    </w:p>
    <w:p>
      <w:pPr>
        <w:ind w:left="65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040"/>
          </w:cols>
          <w:pgMar w:left="320" w:top="1210" w:right="539" w:bottom="1440" w:gutter="0" w:footer="0" w:header="0"/>
        </w:sectPr>
      </w:pPr>
    </w:p>
    <w:bookmarkStart w:id="81" w:name="page82"/>
    <w:bookmarkEnd w:id="81"/>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Arcutis Biotherapeutics, Inc., a Delaware corporation, hereby certifies as follows:</w:t>
      </w:r>
    </w:p>
    <w:p>
      <w:pPr>
        <w:spacing w:after="0" w:line="117" w:lineRule="exact"/>
        <w:rPr>
          <w:sz w:val="20"/>
          <w:szCs w:val="20"/>
          <w:color w:val="auto"/>
        </w:rPr>
      </w:pPr>
    </w:p>
    <w:p>
      <w:pPr>
        <w:ind w:firstLine="449"/>
        <w:spacing w:after="0" w:line="277" w:lineRule="auto"/>
        <w:tabs>
          <w:tab w:leader="none" w:pos="7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of the corporation is Arcutis Biotherapeutics, Inc. The date of the filing of its original Certificate of Incorporation with the Secretary of State was June 1, 2016 under the name Arcutis, Inc.</w:t>
      </w:r>
    </w:p>
    <w:p>
      <w:pPr>
        <w:spacing w:after="0" w:line="62" w:lineRule="exact"/>
        <w:rPr>
          <w:rFonts w:ascii="Arial" w:cs="Arial" w:eastAsia="Arial" w:hAnsi="Arial"/>
          <w:sz w:val="18"/>
          <w:szCs w:val="18"/>
          <w:color w:val="auto"/>
        </w:rPr>
      </w:pPr>
    </w:p>
    <w:p>
      <w:pPr>
        <w:ind w:right="180" w:firstLine="449"/>
        <w:spacing w:after="0" w:line="275" w:lineRule="auto"/>
        <w:tabs>
          <w:tab w:leader="none" w:pos="7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17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February 4, 2020</w:t>
            </w:r>
          </w:p>
        </w:tc>
        <w:tc>
          <w:tcPr>
            <w:tcW w:w="7280" w:type="dxa"/>
            <w:vAlign w:val="bottom"/>
            <w:gridSpan w:val="2"/>
          </w:tcPr>
          <w:p>
            <w:pPr>
              <w:ind w:left="1940"/>
              <w:spacing w:after="0"/>
              <w:rPr>
                <w:sz w:val="20"/>
                <w:szCs w:val="20"/>
                <w:color w:val="auto"/>
              </w:rPr>
            </w:pPr>
            <w:r>
              <w:rPr>
                <w:rFonts w:ascii="Arial" w:cs="Arial" w:eastAsia="Arial" w:hAnsi="Arial"/>
                <w:sz w:val="18"/>
                <w:szCs w:val="18"/>
                <w:color w:val="auto"/>
              </w:rPr>
              <w:t>ARCUTIS BIOTHERAPEUTICS, INC.</w:t>
            </w:r>
          </w:p>
        </w:tc>
      </w:tr>
      <w:tr>
        <w:trPr>
          <w:trHeight w:val="486"/>
        </w:trPr>
        <w:tc>
          <w:tcPr>
            <w:tcW w:w="3700" w:type="dxa"/>
            <w:vAlign w:val="bottom"/>
          </w:tcPr>
          <w:p>
            <w:pPr>
              <w:spacing w:after="0"/>
              <w:rPr>
                <w:sz w:val="24"/>
                <w:szCs w:val="24"/>
                <w:color w:val="auto"/>
              </w:rPr>
            </w:pP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020" w:type="dxa"/>
            <w:vAlign w:val="bottom"/>
          </w:tcPr>
          <w:p>
            <w:pPr>
              <w:ind w:left="1480"/>
              <w:spacing w:after="0"/>
              <w:rPr>
                <w:sz w:val="20"/>
                <w:szCs w:val="20"/>
                <w:color w:val="auto"/>
              </w:rPr>
            </w:pPr>
            <w:r>
              <w:rPr>
                <w:rFonts w:ascii="Arial" w:cs="Arial" w:eastAsia="Arial" w:hAnsi="Arial"/>
                <w:sz w:val="18"/>
                <w:szCs w:val="18"/>
                <w:b w:val="1"/>
                <w:bCs w:val="1"/>
                <w:color w:val="auto"/>
              </w:rPr>
              <w:t>/s/ Todd Franklin Watanabe</w:t>
            </w:r>
          </w:p>
        </w:tc>
      </w:tr>
      <w:tr>
        <w:trPr>
          <w:trHeight w:val="27"/>
        </w:trPr>
        <w:tc>
          <w:tcPr>
            <w:tcW w:w="3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331"/>
        </w:trPr>
        <w:tc>
          <w:tcPr>
            <w:tcW w:w="3700" w:type="dxa"/>
            <w:vAlign w:val="bottom"/>
          </w:tcPr>
          <w:p>
            <w:pPr>
              <w:spacing w:after="0"/>
              <w:rPr>
                <w:sz w:val="24"/>
                <w:szCs w:val="24"/>
                <w:color w:val="auto"/>
              </w:rPr>
            </w:pPr>
          </w:p>
        </w:tc>
        <w:tc>
          <w:tcPr>
            <w:tcW w:w="7280" w:type="dxa"/>
            <w:vAlign w:val="bottom"/>
            <w:gridSpan w:val="2"/>
          </w:tcPr>
          <w:p>
            <w:pPr>
              <w:ind w:left="1940"/>
              <w:spacing w:after="0"/>
              <w:rPr>
                <w:sz w:val="20"/>
                <w:szCs w:val="20"/>
                <w:color w:val="auto"/>
              </w:rPr>
            </w:pPr>
            <w:r>
              <w:rPr>
                <w:rFonts w:ascii="Arial" w:cs="Arial" w:eastAsia="Arial" w:hAnsi="Arial"/>
                <w:sz w:val="18"/>
                <w:szCs w:val="18"/>
                <w:color w:val="auto"/>
              </w:rPr>
              <w:t>Name: Todd Franklin Watanabe</w:t>
            </w:r>
          </w:p>
        </w:tc>
      </w:tr>
      <w:tr>
        <w:trPr>
          <w:trHeight w:val="378"/>
        </w:trPr>
        <w:tc>
          <w:tcPr>
            <w:tcW w:w="3700" w:type="dxa"/>
            <w:vAlign w:val="bottom"/>
          </w:tcPr>
          <w:p>
            <w:pPr>
              <w:spacing w:after="0"/>
              <w:rPr>
                <w:sz w:val="24"/>
                <w:szCs w:val="24"/>
                <w:color w:val="auto"/>
              </w:rPr>
            </w:pPr>
          </w:p>
        </w:tc>
        <w:tc>
          <w:tcPr>
            <w:tcW w:w="7280" w:type="dxa"/>
            <w:vAlign w:val="bottom"/>
            <w:gridSpan w:val="2"/>
          </w:tcPr>
          <w:p>
            <w:pPr>
              <w:ind w:left="194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 NAME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Arcutis Biotherapeutics, Inc. (collectively with its subsidiaries,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22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3500 South Dupont Highway, in the City of Dover, County of Kent 19901. The name of the registered agent of the Corporation at that address is Incorporating Services, Ltd.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 PURPOSE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AUTHORIZED STOCK</w:t>
      </w:r>
    </w:p>
    <w:p>
      <w:pPr>
        <w:spacing w:after="0" w:line="225" w:lineRule="exact"/>
        <w:rPr>
          <w:sz w:val="20"/>
          <w:szCs w:val="20"/>
          <w:color w:val="auto"/>
        </w:rPr>
      </w:pPr>
    </w:p>
    <w:p>
      <w:pPr>
        <w:ind w:right="180" w:firstLine="449"/>
        <w:spacing w:after="0" w:line="289" w:lineRule="auto"/>
        <w:tabs>
          <w:tab w:leader="none" w:pos="75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Total Authorized</w:t>
      </w:r>
      <w:r>
        <w:rPr>
          <w:rFonts w:ascii="Arial" w:cs="Arial" w:eastAsia="Arial" w:hAnsi="Arial"/>
          <w:sz w:val="17"/>
          <w:szCs w:val="17"/>
          <w:color w:val="auto"/>
        </w:rPr>
        <w:t>. The total number of shares of all classes of stock that the Corporation has authority to issue is Three Hundred Ten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(310,000,000) shares, consisting of two classes: Three Hundred Million (300,000,000) shares of Common Stock, $0.0001 par value per share (“</w:t>
      </w:r>
      <w:r>
        <w:rPr>
          <w:rFonts w:ascii="Arial" w:cs="Arial" w:eastAsia="Arial" w:hAnsi="Arial"/>
          <w:sz w:val="17"/>
          <w:szCs w:val="17"/>
          <w:b w:val="1"/>
          <w:bCs w:val="1"/>
          <w:i w:val="1"/>
          <w:i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and Ten Million (10,000,000) shares of Preferred Stock, $0.0001 par value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57" w:lineRule="exact"/>
        <w:rPr>
          <w:rFonts w:ascii="Arial" w:cs="Arial" w:eastAsia="Arial" w:hAnsi="Arial"/>
          <w:sz w:val="17"/>
          <w:szCs w:val="17"/>
          <w:b w:val="1"/>
          <w:bCs w:val="1"/>
          <w:color w:val="auto"/>
        </w:rPr>
      </w:pPr>
    </w:p>
    <w:p>
      <w:pPr>
        <w:ind w:left="760" w:hanging="311"/>
        <w:spacing w:after="0"/>
        <w:tabs>
          <w:tab w:leader="none" w:pos="7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121" w:lineRule="exact"/>
        <w:rPr>
          <w:sz w:val="20"/>
          <w:szCs w:val="20"/>
          <w:color w:val="auto"/>
        </w:rPr>
      </w:pPr>
    </w:p>
    <w:p>
      <w:pPr>
        <w:ind w:right="40" w:firstLine="881"/>
        <w:spacing w:after="0" w:line="288"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of the then-outstanding shares of capital stock of the Corporation entitled to vote thereon, without a separate vote of the holders of the Preferred Stock, unless a vote of any such holders is required pursuant to the terms of any certificate or certificates establishing a series of Preferred Stock.</w:t>
      </w:r>
    </w:p>
    <w:p>
      <w:pPr>
        <w:spacing w:after="0" w:line="60"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1440" w:right="359" w:bottom="1440" w:gutter="0" w:footer="0" w:header="0"/>
        </w:sectPr>
      </w:pPr>
    </w:p>
    <w:bookmarkStart w:id="83" w:name="page84"/>
    <w:bookmarkEnd w:id="83"/>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conversion rights, senior to, junior to or pari passu with the rights of the Common Stock, the Preferred Stock or any future class or series of Preferred Stock or Common Stock.</w:t>
      </w:r>
    </w:p>
    <w:p>
      <w:pPr>
        <w:spacing w:after="0" w:line="62"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 relating to any series of Preferred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AMENDMENT OF BYLAWS</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Any adoption, amendment or repeal of the Bylaws by the Board shall require the approval of a majority of the Whole Board. For purposes of this Restated Certificate of Incorporation,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 The stockholders shall also have power to adopt, amend or repeal the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notwithstanding any other provision of this Restated Certificate of Incorporation or any provision of law that might otherwise permit a lesser or no vote, but in addition to any vote of the holders of any class or series of stock of the Corporation required by applicable law or by this Restated Certificate of Incorporation (including any Preferred Stock issued pursuant to a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for the stockholders to adopt, amend or repeal any provision of the</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Bylaws; </w:t>
      </w:r>
      <w:r>
        <w:rPr>
          <w:rFonts w:ascii="Arial" w:cs="Arial" w:eastAsia="Arial" w:hAnsi="Arial"/>
          <w:sz w:val="18"/>
          <w:szCs w:val="18"/>
          <w:i w:val="1"/>
          <w:iCs w:val="1"/>
          <w:u w:val="single" w:color="auto"/>
          <w:color w:val="auto"/>
        </w:rPr>
        <w:t>provided further</w:t>
      </w:r>
      <w:r>
        <w:rPr>
          <w:rFonts w:ascii="Arial" w:cs="Arial" w:eastAsia="Arial" w:hAnsi="Arial"/>
          <w:sz w:val="18"/>
          <w:szCs w:val="18"/>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of the then-outstanding shares of the capital stock of the Corporation entitled to vote generally in the election of directors, voting together as a single class, shall be required to adopt, amend or repeal any provision of the Bylaws.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225" w:lineRule="exact"/>
        <w:rPr>
          <w:sz w:val="20"/>
          <w:szCs w:val="20"/>
          <w:color w:val="auto"/>
        </w:rPr>
      </w:pPr>
    </w:p>
    <w:p>
      <w:pPr>
        <w:ind w:right="60" w:firstLine="449"/>
        <w:spacing w:after="0" w:line="261" w:lineRule="auto"/>
        <w:tabs>
          <w:tab w:leader="none" w:pos="7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color w:val="auto"/>
        </w:rPr>
        <w:t>. Except as otherwise provided by the General Corporation Law, the conduct of the affairs of the Corporation shall be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under the direction of the Board. In addition to the powers and authority expressly conferred upon them by applicable law or by this Restated Certificate of Incorporation or the Bylaws of the Corporation, the directors are hereby empowered to exercise all such powers and do all such acts and things as may be exercised or done by the Corporation.</w:t>
      </w:r>
    </w:p>
    <w:p>
      <w:pPr>
        <w:spacing w:after="0" w:line="179" w:lineRule="exact"/>
        <w:rPr>
          <w:rFonts w:ascii="Arial" w:cs="Arial" w:eastAsia="Arial" w:hAnsi="Arial"/>
          <w:sz w:val="18"/>
          <w:szCs w:val="18"/>
          <w:b w:val="1"/>
          <w:bCs w:val="1"/>
          <w:color w:val="auto"/>
        </w:rPr>
      </w:pPr>
    </w:p>
    <w:p>
      <w:pPr>
        <w:ind w:left="760" w:hanging="311"/>
        <w:spacing w:after="0"/>
        <w:tabs>
          <w:tab w:leader="none" w:pos="7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Directors</w:t>
      </w:r>
      <w:r>
        <w:rPr>
          <w:rFonts w:ascii="Arial" w:cs="Arial" w:eastAsia="Arial" w:hAnsi="Arial"/>
          <w:sz w:val="17"/>
          <w:szCs w:val="17"/>
          <w:color w:val="auto"/>
        </w:rPr>
        <w:t>. Subject to the rights of the holders of any series of Preferred Stock to elect additional directors under specified</w:t>
      </w:r>
    </w:p>
    <w:p>
      <w:pPr>
        <w:spacing w:after="0" w:line="38" w:lineRule="exact"/>
        <w:rPr>
          <w:rFonts w:ascii="Arial" w:cs="Arial" w:eastAsia="Arial" w:hAnsi="Arial"/>
          <w:sz w:val="17"/>
          <w:szCs w:val="17"/>
          <w:b w:val="1"/>
          <w:bCs w:val="1"/>
          <w:color w:val="auto"/>
        </w:rPr>
      </w:pPr>
    </w:p>
    <w:p>
      <w:pPr>
        <w:ind w:right="8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81" w:lineRule="exact"/>
        <w:rPr>
          <w:rFonts w:ascii="Arial" w:cs="Arial" w:eastAsia="Arial" w:hAnsi="Arial"/>
          <w:sz w:val="17"/>
          <w:szCs w:val="17"/>
          <w:b w:val="1"/>
          <w:bCs w:val="1"/>
          <w:color w:val="auto"/>
        </w:rPr>
      </w:pPr>
    </w:p>
    <w:p>
      <w:pPr>
        <w:ind w:right="80" w:firstLine="449"/>
        <w:spacing w:after="0" w:line="256" w:lineRule="auto"/>
        <w:tabs>
          <w:tab w:leader="none" w:pos="7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The number of directors in each class shall be divided as nearly equal as reasonably possible. The initial term of office of the Class 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9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the initial term of office of the Class II directors shall expire at the Corporation’s second annual meeting of stockholders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spacing w:after="0" w:line="191" w:lineRule="exact"/>
        <w:rPr>
          <w:sz w:val="20"/>
          <w:szCs w:val="20"/>
          <w:color w:val="auto"/>
        </w:rPr>
      </w:pPr>
    </w:p>
    <w:p>
      <w:pPr>
        <w:ind w:firstLine="449"/>
        <w:spacing w:after="0" w:line="294" w:lineRule="auto"/>
        <w:tabs>
          <w:tab w:leader="none" w:pos="756"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and Removal</w:t>
      </w:r>
      <w:r>
        <w:rPr>
          <w:rFonts w:ascii="Arial" w:cs="Arial" w:eastAsia="Arial" w:hAnsi="Arial"/>
          <w:sz w:val="16"/>
          <w:szCs w:val="16"/>
          <w:color w:val="auto"/>
        </w:rPr>
        <w:t>. Each director shall hold office until the annual meeting at which such director’s term expires and until such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is duly elected and qualified, or until such director’s earlier death, resignation, disqualification or removal. Any director may resign at any time upon notice to the Corporation given in writing or by any electronic transmission permitted in the Bylaws.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at an election of directors, voting together as a single class. No decrease in the authorized number of directors constituting the Whole Board shall shorten the term of any incumbent director.</w:t>
      </w:r>
    </w:p>
    <w:p>
      <w:pPr>
        <w:spacing w:after="0" w:line="159" w:lineRule="exact"/>
        <w:rPr>
          <w:rFonts w:ascii="Arial" w:cs="Arial" w:eastAsia="Arial" w:hAnsi="Arial"/>
          <w:sz w:val="16"/>
          <w:szCs w:val="16"/>
          <w:b w:val="1"/>
          <w:bCs w:val="1"/>
          <w:color w:val="auto"/>
        </w:rPr>
      </w:pPr>
    </w:p>
    <w:p>
      <w:pPr>
        <w:ind w:right="160" w:firstLine="449"/>
        <w:spacing w:after="0" w:line="293" w:lineRule="auto"/>
        <w:tabs>
          <w:tab w:leader="none" w:pos="756"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color w:val="auto"/>
        </w:rPr>
        <w:t>. Subject to the special rights of the holders of any series of Preferred Stock, any vacancy</w:t>
      </w:r>
      <w:r>
        <w:rPr>
          <w:rFonts w:ascii="Arial" w:cs="Arial" w:eastAsia="Arial" w:hAnsi="Arial"/>
          <w:sz w:val="16"/>
          <w:szCs w:val="16"/>
          <w:b w:val="1"/>
          <w:bCs w:val="1"/>
          <w:color w:val="auto"/>
        </w:rPr>
        <w:t xml:space="preserve"> </w:t>
      </w:r>
      <w:r>
        <w:rPr>
          <w:rFonts w:ascii="Arial" w:cs="Arial" w:eastAsia="Arial" w:hAnsi="Arial"/>
          <w:sz w:val="16"/>
          <w:szCs w:val="16"/>
          <w:color w:val="auto"/>
        </w:rPr>
        <w:t>occurring in the Board for any cause, and any newly created directorship resulting from any increase in the authorized number of directors, shall, unless</w:t>
      </w:r>
    </w:p>
    <w:p>
      <w:pPr>
        <w:spacing w:after="0" w:line="1" w:lineRule="exact"/>
        <w:rPr>
          <w:rFonts w:ascii="Arial" w:cs="Arial" w:eastAsia="Arial" w:hAnsi="Arial"/>
          <w:sz w:val="16"/>
          <w:szCs w:val="16"/>
          <w:b w:val="1"/>
          <w:bCs w:val="1"/>
          <w:color w:val="auto"/>
        </w:rPr>
      </w:pPr>
    </w:p>
    <w:p>
      <w:pPr>
        <w:ind w:right="40" w:firstLine="8"/>
        <w:spacing w:after="0" w:line="271"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or until such director’s successor shall have been duly elected and qualified, or until such director’s earlier death, resignation, disqualification or removal.</w:t>
      </w:r>
    </w:p>
    <w:p>
      <w:pPr>
        <w:spacing w:after="0" w:line="174" w:lineRule="exact"/>
        <w:rPr>
          <w:rFonts w:ascii="Arial" w:cs="Arial" w:eastAsia="Arial" w:hAnsi="Arial"/>
          <w:sz w:val="17"/>
          <w:szCs w:val="17"/>
          <w:color w:val="auto"/>
        </w:rPr>
      </w:pPr>
    </w:p>
    <w:p>
      <w:pPr>
        <w:ind w:left="760" w:hanging="311"/>
        <w:spacing w:after="0"/>
        <w:tabs>
          <w:tab w:leader="none" w:pos="760"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117" w:lineRule="exact"/>
        <w:rPr>
          <w:sz w:val="20"/>
          <w:szCs w:val="20"/>
          <w:color w:val="auto"/>
        </w:rPr>
      </w:pPr>
    </w:p>
    <w:p>
      <w:pPr>
        <w:ind w:right="60" w:firstLine="449"/>
        <w:spacing w:after="0" w:line="261" w:lineRule="auto"/>
        <w:tabs>
          <w:tab w:leader="none" w:pos="75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79" w:lineRule="exact"/>
        <w:rPr>
          <w:rFonts w:ascii="Arial" w:cs="Arial" w:eastAsia="Arial" w:hAnsi="Arial"/>
          <w:sz w:val="18"/>
          <w:szCs w:val="18"/>
          <w:b w:val="1"/>
          <w:bCs w:val="1"/>
          <w:color w:val="auto"/>
        </w:rPr>
      </w:pPr>
    </w:p>
    <w:p>
      <w:pPr>
        <w:ind w:right="60" w:firstLine="449"/>
        <w:spacing w:after="0" w:line="289" w:lineRule="auto"/>
        <w:tabs>
          <w:tab w:leader="none" w:pos="75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Rights</w:t>
      </w:r>
      <w:r>
        <w:rPr>
          <w:rFonts w:ascii="Arial" w:cs="Arial" w:eastAsia="Arial" w:hAnsi="Arial"/>
          <w:sz w:val="17"/>
          <w:szCs w:val="17"/>
          <w:color w:val="auto"/>
        </w:rPr>
        <w:t>. Neither any amendment nor repeal of this Article VII, nor the adoption of any provision of this Restated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225" w:lineRule="exact"/>
        <w:rPr>
          <w:sz w:val="20"/>
          <w:szCs w:val="20"/>
          <w:color w:val="auto"/>
        </w:rPr>
      </w:pPr>
    </w:p>
    <w:p>
      <w:pPr>
        <w:jc w:val="both"/>
        <w:ind w:firstLine="449"/>
        <w:spacing w:after="0" w:line="266" w:lineRule="auto"/>
        <w:tabs>
          <w:tab w:leader="none" w:pos="75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94" w:lineRule="exact"/>
        <w:rPr>
          <w:sz w:val="20"/>
          <w:szCs w:val="20"/>
          <w:color w:val="auto"/>
        </w:rPr>
      </w:pPr>
    </w:p>
    <w:p>
      <w:pPr>
        <w:jc w:val="both"/>
        <w:ind w:right="40" w:firstLine="449"/>
        <w:spacing w:after="0" w:line="266" w:lineRule="auto"/>
        <w:tabs>
          <w:tab w:leader="none" w:pos="75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color w:val="auto"/>
        </w:rPr>
        <w:t>. 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President, or the Board acting pursuant to a resolution adopted by a majority of the Whole Board and may not be called by any other person or persons.</w:t>
      </w:r>
    </w:p>
    <w:p>
      <w:pPr>
        <w:spacing w:after="0" w:line="121" w:lineRule="exact"/>
        <w:rPr>
          <w:rFonts w:ascii="Arial" w:cs="Arial" w:eastAsia="Arial" w:hAnsi="Arial"/>
          <w:sz w:val="18"/>
          <w:szCs w:val="18"/>
          <w:b w:val="1"/>
          <w:bCs w:val="1"/>
          <w:color w:val="auto"/>
        </w:rPr>
      </w:pPr>
    </w:p>
    <w:p>
      <w:pPr>
        <w:ind w:right="80" w:firstLine="449"/>
        <w:spacing w:after="0" w:line="261" w:lineRule="auto"/>
        <w:tabs>
          <w:tab w:leader="none" w:pos="75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 CHOICE OF FORUM</w:t>
      </w:r>
    </w:p>
    <w:p>
      <w:pPr>
        <w:spacing w:after="0" w:line="22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to the fullest extent permitted by law, shall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Restated Certificate of Incorporation or the Bylaws; (d) any action to interpret, apply, enforce or determine the validity of this Restated Certificate of Incorporation or the Bylaws; or (e) any action asserting a claim against the Corporation or any director, officer, stockholder, employee or agent of the Corporation governed by the internal affairs doctrine.</w:t>
      </w:r>
    </w:p>
    <w:p>
      <w:pPr>
        <w:spacing w:after="0" w:line="19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to have consented to the provisions of this Article IX.</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any provision of this Restated Certificate of Incorporation becomes or is declared on any ground by a court of competent jurisdiction to be illegal, unenforceable or void, portions of such provision, or such provision in its entirety, to the extent necessary, shall be severed from this Restated Certificate of Incorporation, and the court will replace such illegal, void or unenforceable provision of this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Restated Certificate of Incorporation shall be enforceable in accordance with its terms.</w:t>
      </w:r>
    </w:p>
    <w:p>
      <w:pPr>
        <w:spacing w:after="0" w:line="192"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notwithstanding any other provision of this Restated Certificate of Incorporation or any provision of law that might otherwise permit a lesser vote or no vote, but in addition to any vote of the holders of any class or series of the stock of the Corporation required by law or by this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if two-thirds of the Whole Board has approved such amendment or repeal of any provisions of this Restated Certificate of Incorporation, then only the affirmative vote of the holders of at least a majority of the voting power of all of the then-outstanding shares of capital stock of the Corporation entitled to vote generally in the election of directors, voting together as a single class, shall be required to amend or repeal such provisions of this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40" w:right="379" w:bottom="1440" w:gutter="0" w:footer="0" w:header="0"/>
        </w:sectPr>
      </w:pPr>
    </w:p>
    <w:bookmarkStart w:id="86" w:name="page87"/>
    <w:bookmarkEnd w:id="86"/>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420370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ARCUTIS BIOTHERAPEUTICS, INC.</w:t>
      </w:r>
    </w:p>
    <w:p>
      <w:pPr>
        <w:spacing w:after="0" w:line="1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RESTATED BYLAWS</w:t>
      </w:r>
    </w:p>
    <w:p>
      <w:pPr>
        <w:spacing w:after="0" w:line="25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February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528955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8"/>
          </w:tcPr>
          <w:p>
            <w:pPr>
              <w:jc w:val="center"/>
              <w:spacing w:after="0"/>
              <w:rPr>
                <w:sz w:val="20"/>
                <w:szCs w:val="20"/>
                <w:color w:val="auto"/>
              </w:rPr>
            </w:pPr>
            <w:r>
              <w:rPr>
                <w:rFonts w:ascii="Arial" w:cs="Arial" w:eastAsia="Arial" w:hAnsi="Arial"/>
                <w:sz w:val="18"/>
                <w:szCs w:val="18"/>
                <w:b w:val="1"/>
                <w:bCs w:val="1"/>
                <w:color w:val="auto"/>
              </w:rPr>
              <w:t>ARCUTIS BIOTHERAPEUTICS, INC.</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6"/>
          </w:tcPr>
          <w:p>
            <w:pPr>
              <w:jc w:val="center"/>
              <w:ind w:right="580"/>
              <w:spacing w:after="0"/>
              <w:rPr>
                <w:sz w:val="20"/>
                <w:szCs w:val="20"/>
                <w:color w:val="auto"/>
              </w:rPr>
            </w:pPr>
            <w:r>
              <w:rPr>
                <w:rFonts w:ascii="Arial" w:cs="Arial" w:eastAsia="Arial" w:hAnsi="Arial"/>
                <w:sz w:val="18"/>
                <w:szCs w:val="18"/>
                <w:color w:val="auto"/>
                <w:w w:val="90"/>
              </w:rPr>
              <w:t>(a Delaware corporation)</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7"/>
              </w:rPr>
              <w:t>RESTATED BYLAWS</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73"/>
        </w:trPr>
        <w:tc>
          <w:tcPr>
            <w:tcW w:w="7000" w:type="dxa"/>
            <w:vAlign w:val="bottom"/>
            <w:gridSpan w:val="29"/>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1.1:</w:t>
            </w:r>
          </w:p>
        </w:tc>
        <w:tc>
          <w:tcPr>
            <w:tcW w:w="5020" w:type="dxa"/>
            <w:vAlign w:val="bottom"/>
            <w:gridSpan w:val="25"/>
          </w:tcPr>
          <w:p>
            <w:pPr>
              <w:spacing w:after="0"/>
              <w:rPr>
                <w:sz w:val="20"/>
                <w:szCs w:val="20"/>
                <w:color w:val="auto"/>
              </w:rPr>
            </w:pPr>
            <w:r>
              <w:rPr>
                <w:rFonts w:ascii="Arial" w:cs="Arial" w:eastAsia="Arial" w:hAnsi="Arial"/>
                <w:sz w:val="18"/>
                <w:szCs w:val="18"/>
                <w:color w:val="auto"/>
              </w:rPr>
              <w:t>Annual Meetings</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1.2:</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5020" w:type="dxa"/>
            <w:vAlign w:val="bottom"/>
            <w:gridSpan w:val="25"/>
          </w:tcPr>
          <w:p>
            <w:pPr>
              <w:spacing w:after="0"/>
              <w:rPr>
                <w:sz w:val="20"/>
                <w:szCs w:val="20"/>
                <w:color w:val="auto"/>
              </w:rPr>
            </w:pPr>
            <w:r>
              <w:rPr>
                <w:rFonts w:ascii="Arial" w:cs="Arial" w:eastAsia="Arial" w:hAnsi="Arial"/>
                <w:sz w:val="18"/>
                <w:szCs w:val="18"/>
                <w:color w:val="auto"/>
              </w:rPr>
              <w:t>Special Meetings</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1.3:</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5020" w:type="dxa"/>
            <w:vAlign w:val="bottom"/>
            <w:gridSpan w:val="25"/>
          </w:tcPr>
          <w:p>
            <w:pPr>
              <w:spacing w:after="0"/>
              <w:rPr>
                <w:sz w:val="20"/>
                <w:szCs w:val="20"/>
                <w:color w:val="auto"/>
              </w:rPr>
            </w:pPr>
            <w:r>
              <w:rPr>
                <w:rFonts w:ascii="Arial" w:cs="Arial" w:eastAsia="Arial" w:hAnsi="Arial"/>
                <w:sz w:val="18"/>
                <w:szCs w:val="18"/>
                <w:color w:val="auto"/>
              </w:rPr>
              <w:t>Notice of Meetings</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1.4:</w:t>
            </w:r>
          </w:p>
        </w:tc>
        <w:tc>
          <w:tcPr>
            <w:tcW w:w="138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Adjournments</w:t>
            </w:r>
          </w:p>
        </w:tc>
        <w:tc>
          <w:tcPr>
            <w:tcW w:w="36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1.5:</w:t>
            </w:r>
          </w:p>
        </w:tc>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2"/>
              </w:rPr>
              <w:t>Quorum</w:t>
            </w:r>
          </w:p>
        </w:tc>
        <w:tc>
          <w:tcPr>
            <w:tcW w:w="380" w:type="dxa"/>
            <w:vAlign w:val="bottom"/>
            <w:tcBorders>
              <w:top w:val="single" w:sz="8" w:color="auto"/>
            </w:tcBorders>
            <w:gridSpan w:val="6"/>
          </w:tcPr>
          <w:p>
            <w:pPr>
              <w:spacing w:after="0"/>
              <w:rPr>
                <w:sz w:val="21"/>
                <w:szCs w:val="21"/>
                <w:color w:val="auto"/>
              </w:rPr>
            </w:pPr>
          </w:p>
        </w:tc>
        <w:tc>
          <w:tcPr>
            <w:tcW w:w="40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1.6:</w:t>
            </w:r>
          </w:p>
        </w:tc>
        <w:tc>
          <w:tcPr>
            <w:tcW w:w="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Organization</w:t>
            </w:r>
          </w:p>
        </w:tc>
        <w:tc>
          <w:tcPr>
            <w:tcW w:w="40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1.7:</w:t>
            </w:r>
          </w:p>
        </w:tc>
        <w:tc>
          <w:tcPr>
            <w:tcW w:w="5020" w:type="dxa"/>
            <w:vAlign w:val="bottom"/>
            <w:gridSpan w:val="25"/>
          </w:tcPr>
          <w:p>
            <w:pPr>
              <w:spacing w:after="0"/>
              <w:rPr>
                <w:sz w:val="20"/>
                <w:szCs w:val="20"/>
                <w:color w:val="auto"/>
              </w:rPr>
            </w:pPr>
            <w:r>
              <w:rPr>
                <w:rFonts w:ascii="Arial" w:cs="Arial" w:eastAsia="Arial" w:hAnsi="Arial"/>
                <w:sz w:val="18"/>
                <w:szCs w:val="18"/>
                <w:color w:val="auto"/>
              </w:rPr>
              <w:t>Voting; Proxies</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1.8:</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414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2"/>
              </w:rPr>
              <w:t>Fixing Date for Determination of Stockholders of Record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1.9:</w:t>
            </w:r>
          </w:p>
        </w:tc>
        <w:tc>
          <w:tcPr>
            <w:tcW w:w="5020" w:type="dxa"/>
            <w:vAlign w:val="bottom"/>
            <w:gridSpan w:val="25"/>
          </w:tcPr>
          <w:p>
            <w:pPr>
              <w:spacing w:after="0"/>
              <w:rPr>
                <w:sz w:val="20"/>
                <w:szCs w:val="20"/>
                <w:color w:val="auto"/>
              </w:rPr>
            </w:pPr>
            <w:r>
              <w:rPr>
                <w:rFonts w:ascii="Arial" w:cs="Arial" w:eastAsia="Arial" w:hAnsi="Arial"/>
                <w:sz w:val="18"/>
                <w:szCs w:val="18"/>
                <w:color w:val="auto"/>
              </w:rPr>
              <w:t>List of Stockholders Entitled to Vote</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1.10:</w:t>
            </w:r>
          </w:p>
        </w:tc>
        <w:tc>
          <w:tcPr>
            <w:tcW w:w="262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Inspectors of Elections</w:t>
            </w:r>
          </w:p>
        </w:tc>
        <w:tc>
          <w:tcPr>
            <w:tcW w:w="24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1.11:</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5020" w:type="dxa"/>
            <w:vAlign w:val="bottom"/>
            <w:gridSpan w:val="25"/>
          </w:tcPr>
          <w:p>
            <w:pPr>
              <w:spacing w:after="0"/>
              <w:rPr>
                <w:sz w:val="20"/>
                <w:szCs w:val="20"/>
                <w:color w:val="auto"/>
              </w:rPr>
            </w:pPr>
            <w:r>
              <w:rPr>
                <w:rFonts w:ascii="Arial" w:cs="Arial" w:eastAsia="Arial" w:hAnsi="Arial"/>
                <w:sz w:val="18"/>
                <w:szCs w:val="18"/>
                <w:color w:val="auto"/>
              </w:rPr>
              <w:t>Notice of Stockholder Business; Nominations.</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0" w:type="dxa"/>
            <w:vAlign w:val="bottom"/>
            <w:gridSpan w:val="29"/>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2.1:</w:t>
            </w:r>
          </w:p>
        </w:tc>
        <w:tc>
          <w:tcPr>
            <w:tcW w:w="5020" w:type="dxa"/>
            <w:vAlign w:val="bottom"/>
            <w:gridSpan w:val="25"/>
          </w:tcPr>
          <w:p>
            <w:pPr>
              <w:spacing w:after="0"/>
              <w:rPr>
                <w:sz w:val="20"/>
                <w:szCs w:val="20"/>
                <w:color w:val="auto"/>
              </w:rPr>
            </w:pPr>
            <w:r>
              <w:rPr>
                <w:rFonts w:ascii="Arial" w:cs="Arial" w:eastAsia="Arial" w:hAnsi="Arial"/>
                <w:sz w:val="18"/>
                <w:szCs w:val="18"/>
                <w:color w:val="auto"/>
              </w:rPr>
              <w:t>Number; Qualifications</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2.2:</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31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0"/>
              </w:rPr>
              <w:t>Election; Resignation; Removal; Vacancies</w:t>
            </w:r>
          </w:p>
        </w:tc>
        <w:tc>
          <w:tcPr>
            <w:tcW w:w="19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2.3:</w:t>
            </w:r>
          </w:p>
        </w:tc>
        <w:tc>
          <w:tcPr>
            <w:tcW w:w="5020" w:type="dxa"/>
            <w:vAlign w:val="bottom"/>
            <w:gridSpan w:val="25"/>
          </w:tcPr>
          <w:p>
            <w:pPr>
              <w:spacing w:after="0"/>
              <w:rPr>
                <w:sz w:val="20"/>
                <w:szCs w:val="20"/>
                <w:color w:val="auto"/>
              </w:rPr>
            </w:pPr>
            <w:r>
              <w:rPr>
                <w:rFonts w:ascii="Arial" w:cs="Arial" w:eastAsia="Arial" w:hAnsi="Arial"/>
                <w:sz w:val="18"/>
                <w:szCs w:val="18"/>
                <w:color w:val="auto"/>
              </w:rPr>
              <w:t>Regular Meetings</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2.4:</w:t>
            </w:r>
          </w:p>
        </w:tc>
        <w:tc>
          <w:tcPr>
            <w:tcW w:w="128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w w:val="91"/>
              </w:rPr>
              <w:t>Special Meetings</w:t>
            </w:r>
          </w:p>
        </w:tc>
        <w:tc>
          <w:tcPr>
            <w:tcW w:w="37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2.5:</w:t>
            </w: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202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89"/>
              </w:rPr>
              <w:t>Remote Meetings Permitted</w:t>
            </w:r>
          </w:p>
        </w:tc>
        <w:tc>
          <w:tcPr>
            <w:tcW w:w="30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2.6:</w:t>
            </w:r>
          </w:p>
        </w:tc>
        <w:tc>
          <w:tcPr>
            <w:tcW w:w="25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2"/>
              </w:rPr>
              <w:t>Quorum; Vote Required for Action</w:t>
            </w:r>
          </w:p>
        </w:tc>
        <w:tc>
          <w:tcPr>
            <w:tcW w:w="25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2.7:</w:t>
            </w:r>
          </w:p>
        </w:tc>
        <w:tc>
          <w:tcPr>
            <w:tcW w:w="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Organization</w:t>
            </w:r>
          </w:p>
        </w:tc>
        <w:tc>
          <w:tcPr>
            <w:tcW w:w="40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2.8:</w:t>
            </w:r>
          </w:p>
        </w:tc>
        <w:tc>
          <w:tcPr>
            <w:tcW w:w="5020" w:type="dxa"/>
            <w:vAlign w:val="bottom"/>
            <w:gridSpan w:val="25"/>
          </w:tcPr>
          <w:p>
            <w:pPr>
              <w:spacing w:after="0"/>
              <w:rPr>
                <w:sz w:val="20"/>
                <w:szCs w:val="20"/>
                <w:color w:val="auto"/>
              </w:rPr>
            </w:pPr>
            <w:r>
              <w:rPr>
                <w:rFonts w:ascii="Arial" w:cs="Arial" w:eastAsia="Arial" w:hAnsi="Arial"/>
                <w:sz w:val="18"/>
                <w:szCs w:val="18"/>
                <w:color w:val="auto"/>
              </w:rPr>
              <w:t>Unanimous Action by Directors in Lieu of a Meeting</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2.9:</w:t>
            </w:r>
          </w:p>
        </w:tc>
        <w:tc>
          <w:tcPr>
            <w:tcW w:w="382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Powers</w:t>
            </w:r>
          </w:p>
        </w:tc>
        <w:tc>
          <w:tcPr>
            <w:tcW w:w="1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2.10:</w:t>
            </w: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5020" w:type="dxa"/>
            <w:vAlign w:val="bottom"/>
            <w:gridSpan w:val="25"/>
          </w:tcPr>
          <w:p>
            <w:pPr>
              <w:spacing w:after="0"/>
              <w:rPr>
                <w:sz w:val="20"/>
                <w:szCs w:val="20"/>
                <w:color w:val="auto"/>
              </w:rPr>
            </w:pPr>
            <w:r>
              <w:rPr>
                <w:rFonts w:ascii="Arial" w:cs="Arial" w:eastAsia="Arial" w:hAnsi="Arial"/>
                <w:sz w:val="18"/>
                <w:szCs w:val="18"/>
                <w:color w:val="auto"/>
              </w:rPr>
              <w:t>Compensation of Directors</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0" w:type="dxa"/>
            <w:vAlign w:val="bottom"/>
            <w:gridSpan w:val="29"/>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60" w:type="dxa"/>
            <w:vAlign w:val="bottom"/>
            <w:tcBorders>
              <w:left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3.1:</w:t>
            </w:r>
          </w:p>
        </w:tc>
        <w:tc>
          <w:tcPr>
            <w:tcW w:w="5020" w:type="dxa"/>
            <w:vAlign w:val="bottom"/>
            <w:gridSpan w:val="25"/>
          </w:tcPr>
          <w:p>
            <w:pPr>
              <w:spacing w:after="0"/>
              <w:rPr>
                <w:sz w:val="20"/>
                <w:szCs w:val="20"/>
                <w:color w:val="auto"/>
              </w:rPr>
            </w:pPr>
            <w:r>
              <w:rPr>
                <w:rFonts w:ascii="Arial" w:cs="Arial" w:eastAsia="Arial" w:hAnsi="Arial"/>
                <w:sz w:val="18"/>
                <w:szCs w:val="18"/>
                <w:color w:val="auto"/>
              </w:rPr>
              <w:t>Committees</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3.2:</w:t>
            </w: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12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9"/>
              </w:rPr>
              <w:t>Committee Rules</w:t>
            </w:r>
          </w:p>
        </w:tc>
        <w:tc>
          <w:tcPr>
            <w:tcW w:w="37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7000" w:type="dxa"/>
            <w:vAlign w:val="bottom"/>
            <w:gridSpan w:val="29"/>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4.1:</w:t>
            </w:r>
          </w:p>
        </w:tc>
        <w:tc>
          <w:tcPr>
            <w:tcW w:w="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Generally</w:t>
            </w:r>
          </w:p>
        </w:tc>
        <w:tc>
          <w:tcPr>
            <w:tcW w:w="430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4.2:</w:t>
            </w:r>
          </w:p>
        </w:tc>
        <w:tc>
          <w:tcPr>
            <w:tcW w:w="5020" w:type="dxa"/>
            <w:vAlign w:val="bottom"/>
            <w:gridSpan w:val="25"/>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4.3:</w:t>
            </w: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5"/>
            <w:shd w:val="clear" w:color="auto" w:fill="000000"/>
          </w:tcPr>
          <w:p>
            <w:pPr>
              <w:spacing w:after="0" w:line="20" w:lineRule="exact"/>
              <w:rPr>
                <w:sz w:val="1"/>
                <w:szCs w:val="1"/>
                <w:color w:val="auto"/>
              </w:rPr>
            </w:pPr>
          </w:p>
        </w:tc>
        <w:tc>
          <w:tcPr>
            <w:tcW w:w="600" w:type="dxa"/>
            <w:vAlign w:val="bottom"/>
            <w:tcBorders>
              <w:right w:val="single" w:sz="8" w:color="auto"/>
            </w:tcBorders>
            <w:gridSpan w:val="6"/>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5020" w:type="dxa"/>
            <w:vAlign w:val="bottom"/>
            <w:gridSpan w:val="25"/>
          </w:tcPr>
          <w:p>
            <w:pPr>
              <w:spacing w:after="0"/>
              <w:rPr>
                <w:sz w:val="20"/>
                <w:szCs w:val="20"/>
                <w:color w:val="auto"/>
              </w:rPr>
            </w:pPr>
            <w:r>
              <w:rPr>
                <w:rFonts w:ascii="Arial" w:cs="Arial" w:eastAsia="Arial" w:hAnsi="Arial"/>
                <w:sz w:val="18"/>
                <w:szCs w:val="18"/>
                <w:color w:val="auto"/>
              </w:rPr>
              <w:t>Chairperson of the Board</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4.4:</w:t>
            </w:r>
          </w:p>
        </w:tc>
        <w:tc>
          <w:tcPr>
            <w:tcW w:w="182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President</w:t>
            </w:r>
          </w:p>
        </w:tc>
        <w:tc>
          <w:tcPr>
            <w:tcW w:w="32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Section 4.5:</w:t>
            </w: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gridSpan w:val="4"/>
            <w:vMerge w:val="continue"/>
          </w:tcPr>
          <w:p>
            <w:pPr>
              <w:spacing w:after="0"/>
              <w:rPr>
                <w:sz w:val="21"/>
                <w:szCs w:val="21"/>
                <w:color w:val="auto"/>
              </w:rPr>
            </w:pPr>
          </w:p>
        </w:tc>
        <w:tc>
          <w:tcPr>
            <w:tcW w:w="170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3"/>
              </w:rPr>
              <w:t>Chief Financial Officer</w:t>
            </w:r>
          </w:p>
        </w:tc>
        <w:tc>
          <w:tcPr>
            <w:tcW w:w="3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4.6:</w:t>
            </w:r>
          </w:p>
        </w:tc>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Treasurer</w:t>
            </w:r>
          </w:p>
        </w:tc>
        <w:tc>
          <w:tcPr>
            <w:tcW w:w="43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4.7:</w:t>
            </w:r>
          </w:p>
        </w:tc>
        <w:tc>
          <w:tcPr>
            <w:tcW w:w="5020" w:type="dxa"/>
            <w:vAlign w:val="bottom"/>
            <w:gridSpan w:val="25"/>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4.8:</w:t>
            </w:r>
          </w:p>
        </w:tc>
        <w:tc>
          <w:tcPr>
            <w:tcW w:w="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5"/>
              </w:rPr>
              <w:t>Secretary</w:t>
            </w:r>
          </w:p>
        </w:tc>
        <w:tc>
          <w:tcPr>
            <w:tcW w:w="420" w:type="dxa"/>
            <w:vAlign w:val="bottom"/>
            <w:tcBorders>
              <w:top w:val="single" w:sz="8" w:color="auto"/>
            </w:tcBorders>
            <w:gridSpan w:val="6"/>
          </w:tcPr>
          <w:p>
            <w:pPr>
              <w:spacing w:after="0"/>
              <w:rPr>
                <w:sz w:val="21"/>
                <w:szCs w:val="21"/>
                <w:color w:val="auto"/>
              </w:rPr>
            </w:pPr>
          </w:p>
        </w:tc>
        <w:tc>
          <w:tcPr>
            <w:tcW w:w="39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4.9:</w:t>
            </w:r>
          </w:p>
        </w:tc>
        <w:tc>
          <w:tcPr>
            <w:tcW w:w="5020" w:type="dxa"/>
            <w:vAlign w:val="bottom"/>
            <w:gridSpan w:val="25"/>
          </w:tcPr>
          <w:p>
            <w:pPr>
              <w:spacing w:after="0"/>
              <w:rPr>
                <w:sz w:val="20"/>
                <w:szCs w:val="20"/>
                <w:color w:val="auto"/>
              </w:rPr>
            </w:pPr>
            <w:r>
              <w:rPr>
                <w:rFonts w:ascii="Arial" w:cs="Arial" w:eastAsia="Arial" w:hAnsi="Arial"/>
                <w:sz w:val="18"/>
                <w:szCs w:val="18"/>
                <w:color w:val="auto"/>
              </w:rPr>
              <w:t>Delegation of Authority</w:t>
            </w:r>
          </w:p>
        </w:tc>
        <w:tc>
          <w:tcPr>
            <w:tcW w:w="0" w:type="dxa"/>
            <w:vAlign w:val="bottom"/>
          </w:tcPr>
          <w:p>
            <w:pPr>
              <w:spacing w:after="0"/>
              <w:rPr>
                <w:sz w:val="1"/>
                <w:szCs w:val="1"/>
                <w:color w:val="auto"/>
              </w:rPr>
            </w:pPr>
          </w:p>
        </w:tc>
      </w:tr>
      <w:tr>
        <w:trPr>
          <w:trHeight w:val="250"/>
        </w:trPr>
        <w:tc>
          <w:tcPr>
            <w:tcW w:w="198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Section 4.10:</w:t>
            </w:r>
          </w:p>
        </w:tc>
        <w:tc>
          <w:tcPr>
            <w:tcW w:w="170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Removal</w:t>
            </w:r>
          </w:p>
        </w:tc>
        <w:tc>
          <w:tcPr>
            <w:tcW w:w="3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2">
            <w:col w:w="9960" w:space="720"/>
            <w:col w:w="180"/>
          </w:cols>
          <w:pgMar w:left="480" w:top="1417" w:right="559" w:bottom="1440" w:gutter="0" w:footer="0" w:header="0"/>
        </w:sectPr>
      </w:pPr>
    </w:p>
    <w:bookmarkStart w:id="88" w:name="page89"/>
    <w:bookmarkEnd w:id="8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5.1:</w:t>
            </w:r>
          </w:p>
        </w:tc>
        <w:tc>
          <w:tcPr>
            <w:tcW w:w="8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Certificates</w:t>
            </w:r>
          </w:p>
        </w:tc>
        <w:tc>
          <w:tcPr>
            <w:tcW w:w="57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5.2:</w:t>
            </w:r>
          </w:p>
        </w:tc>
        <w:tc>
          <w:tcPr>
            <w:tcW w:w="662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1"/>
              </w:rPr>
              <w:t>Lost, Stolen or Destroyed Stock Certificates; Issuance of New Certificates or Uncertificated</w:t>
            </w:r>
          </w:p>
        </w:tc>
        <w:tc>
          <w:tcPr>
            <w:tcW w:w="0" w:type="dxa"/>
            <w:vAlign w:val="bottom"/>
          </w:tcPr>
          <w:p>
            <w:pPr>
              <w:spacing w:after="0"/>
              <w:rPr>
                <w:sz w:val="1"/>
                <w:szCs w:val="1"/>
                <w:color w:val="auto"/>
              </w:rPr>
            </w:pPr>
          </w:p>
        </w:tc>
      </w:tr>
      <w:tr>
        <w:trPr>
          <w:trHeight w:val="156"/>
        </w:trPr>
        <w:tc>
          <w:tcPr>
            <w:tcW w:w="26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Section 5.3:</w:t>
            </w:r>
          </w:p>
        </w:tc>
        <w:tc>
          <w:tcPr>
            <w:tcW w:w="160" w:type="dxa"/>
            <w:vAlign w:val="bottom"/>
          </w:tcPr>
          <w:p>
            <w:pPr>
              <w:spacing w:after="0"/>
              <w:rPr>
                <w:sz w:val="13"/>
                <w:szCs w:val="13"/>
                <w:color w:val="auto"/>
              </w:rPr>
            </w:pPr>
          </w:p>
        </w:tc>
        <w:tc>
          <w:tcPr>
            <w:tcW w:w="6460" w:type="dxa"/>
            <w:vAlign w:val="bottom"/>
            <w:gridSpan w:val="21"/>
          </w:tcPr>
          <w:p>
            <w:pPr>
              <w:spacing w:after="0" w:line="156" w:lineRule="exact"/>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0"/>
        </w:trPr>
        <w:tc>
          <w:tcPr>
            <w:tcW w:w="2680" w:type="dxa"/>
            <w:vAlign w:val="bottom"/>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80" w:type="dxa"/>
            <w:vAlign w:val="bottom"/>
            <w:gridSpan w:val="5"/>
            <w:vMerge w:val="continue"/>
          </w:tcPr>
          <w:p>
            <w:pPr>
              <w:spacing w:after="0"/>
              <w:rPr>
                <w:sz w:val="18"/>
                <w:szCs w:val="18"/>
                <w:color w:val="auto"/>
              </w:rPr>
            </w:pPr>
          </w:p>
        </w:tc>
        <w:tc>
          <w:tcPr>
            <w:tcW w:w="6620" w:type="dxa"/>
            <w:vAlign w:val="bottom"/>
            <w:gridSpan w:val="22"/>
          </w:tcPr>
          <w:p>
            <w:pPr>
              <w:spacing w:after="0"/>
              <w:rPr>
                <w:sz w:val="20"/>
                <w:szCs w:val="20"/>
                <w:color w:val="auto"/>
              </w:rPr>
            </w:pPr>
            <w:r>
              <w:rPr>
                <w:rFonts w:ascii="Arial" w:cs="Arial" w:eastAsia="Arial" w:hAnsi="Arial"/>
                <w:sz w:val="18"/>
                <w:szCs w:val="18"/>
                <w:color w:val="auto"/>
              </w:rPr>
              <w:t>Other Regulations</w:t>
            </w:r>
          </w:p>
        </w:tc>
        <w:tc>
          <w:tcPr>
            <w:tcW w:w="0" w:type="dxa"/>
            <w:vAlign w:val="bottom"/>
          </w:tcPr>
          <w:p>
            <w:pPr>
              <w:spacing w:after="0"/>
              <w:rPr>
                <w:sz w:val="1"/>
                <w:szCs w:val="1"/>
                <w:color w:val="auto"/>
              </w:rPr>
            </w:pPr>
          </w:p>
        </w:tc>
      </w:tr>
      <w:tr>
        <w:trPr>
          <w:trHeight w:val="561"/>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6.1:</w:t>
            </w:r>
          </w:p>
        </w:tc>
        <w:tc>
          <w:tcPr>
            <w:tcW w:w="300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3"/>
              </w:rPr>
              <w:t>Indemnification of Officers and Directors</w:t>
            </w:r>
          </w:p>
        </w:tc>
        <w:tc>
          <w:tcPr>
            <w:tcW w:w="36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6.2:</w:t>
            </w:r>
          </w:p>
        </w:tc>
        <w:tc>
          <w:tcPr>
            <w:tcW w:w="6620" w:type="dxa"/>
            <w:vAlign w:val="bottom"/>
            <w:gridSpan w:val="22"/>
          </w:tcPr>
          <w:p>
            <w:pPr>
              <w:spacing w:after="0"/>
              <w:rPr>
                <w:sz w:val="20"/>
                <w:szCs w:val="20"/>
                <w:color w:val="auto"/>
              </w:rPr>
            </w:pPr>
            <w:r>
              <w:rPr>
                <w:rFonts w:ascii="Arial" w:cs="Arial" w:eastAsia="Arial" w:hAnsi="Arial"/>
                <w:sz w:val="18"/>
                <w:szCs w:val="18"/>
                <w:color w:val="auto"/>
              </w:rPr>
              <w:t>Advancement of Expenses</w:t>
            </w: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6.3:</w:t>
            </w:r>
          </w:p>
        </w:tc>
        <w:tc>
          <w:tcPr>
            <w:tcW w:w="19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w w:val="95"/>
              </w:rPr>
              <w:t>Non-Exclusivity of Rights</w:t>
            </w:r>
          </w:p>
        </w:tc>
        <w:tc>
          <w:tcPr>
            <w:tcW w:w="47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6.4:</w:t>
            </w:r>
          </w:p>
        </w:tc>
        <w:tc>
          <w:tcPr>
            <w:tcW w:w="190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w w:val="92"/>
              </w:rPr>
              <w:t>Indemnification Contracts</w:t>
            </w:r>
          </w:p>
        </w:tc>
        <w:tc>
          <w:tcPr>
            <w:tcW w:w="47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Section 6.5:</w:t>
            </w: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vMerge w:val="continue"/>
          </w:tcPr>
          <w:p>
            <w:pPr>
              <w:spacing w:after="0"/>
              <w:rPr>
                <w:sz w:val="21"/>
                <w:szCs w:val="21"/>
                <w:color w:val="auto"/>
              </w:rPr>
            </w:pPr>
          </w:p>
        </w:tc>
        <w:tc>
          <w:tcPr>
            <w:tcW w:w="6620" w:type="dxa"/>
            <w:vAlign w:val="bottom"/>
            <w:gridSpan w:val="22"/>
          </w:tcPr>
          <w:p>
            <w:pPr>
              <w:spacing w:after="0"/>
              <w:rPr>
                <w:sz w:val="20"/>
                <w:szCs w:val="20"/>
                <w:color w:val="auto"/>
              </w:rPr>
            </w:pPr>
            <w:r>
              <w:rPr>
                <w:rFonts w:ascii="Arial" w:cs="Arial" w:eastAsia="Arial" w:hAnsi="Arial"/>
                <w:sz w:val="18"/>
                <w:szCs w:val="18"/>
                <w:color w:val="auto"/>
              </w:rPr>
              <w:t>Right of Indemnitee to Bring Suit</w:t>
            </w: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6.6:</w:t>
            </w:r>
          </w:p>
        </w:tc>
        <w:tc>
          <w:tcPr>
            <w:tcW w:w="242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Nature of Rights</w:t>
            </w:r>
          </w:p>
        </w:tc>
        <w:tc>
          <w:tcPr>
            <w:tcW w:w="42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6.7:</w:t>
            </w:r>
          </w:p>
        </w:tc>
        <w:tc>
          <w:tcPr>
            <w:tcW w:w="12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Insurance</w:t>
            </w:r>
          </w:p>
        </w:tc>
        <w:tc>
          <w:tcPr>
            <w:tcW w:w="54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NOTICES</w:t>
            </w: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7.1:</w:t>
            </w:r>
          </w:p>
        </w:tc>
        <w:tc>
          <w:tcPr>
            <w:tcW w:w="6620" w:type="dxa"/>
            <w:vAlign w:val="bottom"/>
            <w:gridSpan w:val="22"/>
          </w:tcPr>
          <w:p>
            <w:pPr>
              <w:spacing w:after="0"/>
              <w:rPr>
                <w:sz w:val="20"/>
                <w:szCs w:val="20"/>
                <w:color w:val="auto"/>
              </w:rPr>
            </w:pPr>
            <w:r>
              <w:rPr>
                <w:rFonts w:ascii="Arial" w:cs="Arial" w:eastAsia="Arial" w:hAnsi="Arial"/>
                <w:sz w:val="18"/>
                <w:szCs w:val="18"/>
                <w:color w:val="auto"/>
              </w:rPr>
              <w:t>Notice</w:t>
            </w:r>
          </w:p>
        </w:tc>
        <w:tc>
          <w:tcPr>
            <w:tcW w:w="0" w:type="dxa"/>
            <w:vAlign w:val="bottom"/>
          </w:tcPr>
          <w:p>
            <w:pPr>
              <w:spacing w:after="0"/>
              <w:rPr>
                <w:sz w:val="1"/>
                <w:szCs w:val="1"/>
                <w:color w:val="auto"/>
              </w:rPr>
            </w:pPr>
          </w:p>
        </w:tc>
      </w:tr>
      <w:tr>
        <w:trPr>
          <w:trHeight w:val="20"/>
        </w:trPr>
        <w:tc>
          <w:tcPr>
            <w:tcW w:w="26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Section 7.2:</w:t>
            </w: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vMerge w:val="continue"/>
          </w:tcPr>
          <w:p>
            <w:pPr>
              <w:spacing w:after="0"/>
              <w:rPr>
                <w:sz w:val="21"/>
                <w:szCs w:val="21"/>
                <w:color w:val="auto"/>
              </w:rPr>
            </w:pPr>
          </w:p>
        </w:tc>
        <w:tc>
          <w:tcPr>
            <w:tcW w:w="12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2"/>
              </w:rPr>
              <w:t>Waiver of Notice</w:t>
            </w:r>
          </w:p>
        </w:tc>
        <w:tc>
          <w:tcPr>
            <w:tcW w:w="5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9300" w:type="dxa"/>
            <w:vAlign w:val="bottom"/>
            <w:gridSpan w:val="27"/>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0" w:type="dxa"/>
            <w:vAlign w:val="bottom"/>
          </w:tcPr>
          <w:p>
            <w:pPr>
              <w:spacing w:after="0"/>
              <w:rPr>
                <w:sz w:val="1"/>
                <w:szCs w:val="1"/>
                <w:color w:val="auto"/>
              </w:rPr>
            </w:pPr>
          </w:p>
        </w:tc>
      </w:tr>
      <w:tr>
        <w:trPr>
          <w:trHeight w:val="20"/>
        </w:trPr>
        <w:tc>
          <w:tcPr>
            <w:tcW w:w="980" w:type="dxa"/>
            <w:vAlign w:val="bottom"/>
            <w:gridSpan w:val="4"/>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8.1:</w:t>
            </w:r>
          </w:p>
        </w:tc>
        <w:tc>
          <w:tcPr>
            <w:tcW w:w="6620" w:type="dxa"/>
            <w:vAlign w:val="bottom"/>
            <w:gridSpan w:val="22"/>
          </w:tcPr>
          <w:p>
            <w:pPr>
              <w:spacing w:after="0"/>
              <w:rPr>
                <w:sz w:val="20"/>
                <w:szCs w:val="20"/>
                <w:color w:val="auto"/>
              </w:rPr>
            </w:pPr>
            <w:r>
              <w:rPr>
                <w:rFonts w:ascii="Arial" w:cs="Arial" w:eastAsia="Arial" w:hAnsi="Arial"/>
                <w:sz w:val="18"/>
                <w:szCs w:val="18"/>
                <w:color w:val="auto"/>
              </w:rPr>
              <w:t>Interested Directors</w:t>
            </w: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8.2:</w:t>
            </w:r>
          </w:p>
        </w:tc>
        <w:tc>
          <w:tcPr>
            <w:tcW w:w="142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Quorum</w:t>
            </w:r>
          </w:p>
        </w:tc>
        <w:tc>
          <w:tcPr>
            <w:tcW w:w="52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9.1:</w:t>
            </w:r>
          </w:p>
        </w:tc>
        <w:tc>
          <w:tcPr>
            <w:tcW w:w="6620" w:type="dxa"/>
            <w:vAlign w:val="bottom"/>
            <w:gridSpan w:val="22"/>
          </w:tcPr>
          <w:p>
            <w:pPr>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9.2:</w:t>
            </w: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3"/>
              </w:rPr>
              <w:t>Seal</w:t>
            </w:r>
          </w:p>
        </w:tc>
        <w:tc>
          <w:tcPr>
            <w:tcW w:w="480" w:type="dxa"/>
            <w:vAlign w:val="bottom"/>
            <w:tcBorders>
              <w:top w:val="single" w:sz="8" w:color="auto"/>
            </w:tcBorders>
            <w:gridSpan w:val="4"/>
          </w:tcPr>
          <w:p>
            <w:pPr>
              <w:spacing w:after="0"/>
              <w:rPr>
                <w:sz w:val="21"/>
                <w:szCs w:val="21"/>
                <w:color w:val="auto"/>
              </w:rPr>
            </w:pPr>
          </w:p>
        </w:tc>
        <w:tc>
          <w:tcPr>
            <w:tcW w:w="58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9.3:</w:t>
            </w:r>
          </w:p>
        </w:tc>
        <w:tc>
          <w:tcPr>
            <w:tcW w:w="6620" w:type="dxa"/>
            <w:vAlign w:val="bottom"/>
            <w:gridSpan w:val="22"/>
          </w:tcPr>
          <w:p>
            <w:pPr>
              <w:spacing w:after="0"/>
              <w:rPr>
                <w:sz w:val="20"/>
                <w:szCs w:val="20"/>
                <w:color w:val="auto"/>
              </w:rPr>
            </w:pPr>
            <w:r>
              <w:rPr>
                <w:rFonts w:ascii="Arial" w:cs="Arial" w:eastAsia="Arial" w:hAnsi="Arial"/>
                <w:sz w:val="18"/>
                <w:szCs w:val="18"/>
                <w:color w:val="auto"/>
              </w:rPr>
              <w:t>Form of Records</w:t>
            </w:r>
          </w:p>
        </w:tc>
        <w:tc>
          <w:tcPr>
            <w:tcW w:w="0" w:type="dxa"/>
            <w:vAlign w:val="bottom"/>
          </w:tcPr>
          <w:p>
            <w:pPr>
              <w:spacing w:after="0"/>
              <w:rPr>
                <w:sz w:val="1"/>
                <w:szCs w:val="1"/>
                <w:color w:val="auto"/>
              </w:rPr>
            </w:pPr>
          </w:p>
        </w:tc>
      </w:tr>
      <w:tr>
        <w:trPr>
          <w:trHeight w:val="20"/>
        </w:trPr>
        <w:tc>
          <w:tcPr>
            <w:tcW w:w="26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Section 9.4:</w:t>
            </w:r>
          </w:p>
        </w:tc>
        <w:tc>
          <w:tcPr>
            <w:tcW w:w="88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5"/>
            <w:vMerge w:val="continue"/>
          </w:tcPr>
          <w:p>
            <w:pPr>
              <w:spacing w:after="0"/>
              <w:rPr>
                <w:sz w:val="21"/>
                <w:szCs w:val="21"/>
                <w:color w:val="auto"/>
              </w:rPr>
            </w:pPr>
          </w:p>
        </w:tc>
        <w:tc>
          <w:tcPr>
            <w:tcW w:w="6620" w:type="dxa"/>
            <w:vAlign w:val="bottom"/>
            <w:gridSpan w:val="22"/>
          </w:tcPr>
          <w:p>
            <w:pPr>
              <w:spacing w:after="0"/>
              <w:rPr>
                <w:sz w:val="20"/>
                <w:szCs w:val="20"/>
                <w:color w:val="auto"/>
              </w:rPr>
            </w:pPr>
            <w:r>
              <w:rPr>
                <w:rFonts w:ascii="Arial" w:cs="Arial" w:eastAsia="Arial" w:hAnsi="Arial"/>
                <w:sz w:val="18"/>
                <w:szCs w:val="18"/>
                <w:color w:val="auto"/>
              </w:rPr>
              <w:t>Reliance upon Books, Records and Experts</w:t>
            </w: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9.5:</w:t>
            </w:r>
          </w:p>
        </w:tc>
        <w:tc>
          <w:tcPr>
            <w:tcW w:w="2640" w:type="dxa"/>
            <w:vAlign w:val="bottom"/>
            <w:tcBorders>
              <w:top w:val="single" w:sz="8" w:color="auto"/>
              <w:bottom w:val="single" w:sz="8" w:color="auto"/>
            </w:tcBorders>
            <w:gridSpan w:val="19"/>
          </w:tcPr>
          <w:p>
            <w:pPr>
              <w:spacing w:after="0"/>
              <w:rPr>
                <w:sz w:val="20"/>
                <w:szCs w:val="20"/>
                <w:color w:val="auto"/>
              </w:rPr>
            </w:pPr>
            <w:r>
              <w:rPr>
                <w:rFonts w:ascii="Arial" w:cs="Arial" w:eastAsia="Arial" w:hAnsi="Arial"/>
                <w:sz w:val="18"/>
                <w:szCs w:val="18"/>
                <w:color w:val="auto"/>
                <w:w w:val="92"/>
              </w:rPr>
              <w:t>Certificate of Incorporation Governs</w:t>
            </w:r>
          </w:p>
        </w:tc>
        <w:tc>
          <w:tcPr>
            <w:tcW w:w="480" w:type="dxa"/>
            <w:vAlign w:val="bottom"/>
            <w:tcBorders>
              <w:top w:val="single" w:sz="8" w:color="auto"/>
            </w:tcBorders>
            <w:gridSpan w:val="2"/>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9.6:</w:t>
            </w:r>
          </w:p>
        </w:tc>
        <w:tc>
          <w:tcPr>
            <w:tcW w:w="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Severability</w:t>
            </w:r>
          </w:p>
        </w:tc>
        <w:tc>
          <w:tcPr>
            <w:tcW w:w="57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Section 9.7:</w:t>
            </w:r>
          </w:p>
        </w:tc>
        <w:tc>
          <w:tcPr>
            <w:tcW w:w="6620" w:type="dxa"/>
            <w:vAlign w:val="bottom"/>
            <w:gridSpan w:val="22"/>
          </w:tcPr>
          <w:p>
            <w:pPr>
              <w:spacing w:after="0"/>
              <w:rPr>
                <w:sz w:val="20"/>
                <w:szCs w:val="20"/>
                <w:color w:val="auto"/>
              </w:rPr>
            </w:pPr>
            <w:r>
              <w:rPr>
                <w:rFonts w:ascii="Arial" w:cs="Arial" w:eastAsia="Arial" w:hAnsi="Arial"/>
                <w:sz w:val="18"/>
                <w:szCs w:val="18"/>
                <w:color w:val="auto"/>
              </w:rPr>
              <w:t>Time Periods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X:</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9680" w:space="720"/>
            <w:col w:w="180"/>
          </w:cols>
          <w:pgMar w:left="620" w:top="1440" w:right="69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4,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u w:val="single" w:color="auto"/>
          <w:color w:val="auto"/>
        </w:rPr>
        <w:t>Annual Meetings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annual meeting of stockholders shall be held for the election of directors at such date and time as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Arcutis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Biotherapeutics, Inc. (collectively with its subsidiaries,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The meeting may be held either at a place, within or without the State of Delaware as permitted by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w:t>
      </w:r>
    </w:p>
    <w:p>
      <w:pPr>
        <w:spacing w:after="0" w:line="18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u w:val="single" w:color="auto"/>
          <w:color w:val="auto"/>
        </w:rPr>
        <w:t>Special Meetings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Special meetings of stockholders for any purpose or purposes may be called at any time by the Chairperson of the Board, the Chief Executive Officer, the President or the Board acting pursuant to a resolution adopted by a majority of the Whole Board (as defined below). Special meetings may not be called by any other person or persons.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8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u w:val="single" w:color="auto"/>
          <w:color w:val="auto"/>
        </w:rPr>
        <w:t>Notice of Meetings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of all meetings of stockholders shall be given in writing or by electronic transmission in the manner provided by applicable law (including,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without limitation, as set forth in Section 7.1.1 of these Bylaws) stating the date, time and place, if any, of the meeting and the means of remote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communication, if any, by which stockholders and proxyholders may be deemed to be present in person and vote at such meeting. In the case of a special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meeting, such notice shall also set forth the purpose or purposes for which the meeting is called. Unless otherwise required by applicable law 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Incorporation</w:t>
      </w:r>
      <w:r>
        <w:rPr>
          <w:rFonts w:ascii="Arial" w:cs="Arial" w:eastAsia="Arial" w:hAnsi="Arial"/>
          <w:sz w:val="16"/>
          <w:szCs w:val="16"/>
          <w:color w:val="auto"/>
        </w:rPr>
        <w:t>”), notice of any meeting of stockholders shall be given not less than ten (10), nor more than sixty (60), days before the date of the meeting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stockholder of record entitled to vote at such meeting.</w:t>
      </w:r>
    </w:p>
    <w:p>
      <w:pPr>
        <w:spacing w:after="0" w:line="15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u w:val="single" w:color="auto"/>
          <w:color w:val="auto"/>
        </w:rPr>
        <w:t>Adjournments</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The chairperson of the meeting shall have the power to adjourn the meeting to another time, date and place (if any). Any meeting of stockholders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reschedule or cancel any previously scheduled special or annual meeting of stockholders before it is to be held, in which case notice shall be provided to the stockholders of the new date, time and place, if any, of the meeting as provided in Section 1.3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90" w:name="page91"/>
    <w:bookmarkEnd w:id="90"/>
    <w:p>
      <w:pPr>
        <w:spacing w:after="0" w:line="19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u w:val="single" w:color="auto"/>
          <w:color w:val="auto"/>
        </w:rPr>
        <w:t>Quorum</w:t>
      </w:r>
    </w:p>
    <w:p>
      <w:pPr>
        <w:spacing w:after="0" w:line="121"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At each meeting of stockholders the holders of a majority of the voting power of the shares of stock entitled to vote at the meeting, present in person or represented by proxy, shall constitute a quorum for the transaction of business, unless otherwise required by applicable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purposes;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highlight w:val="white"/>
        </w:rPr>
        <w:t>however</w:t>
      </w:r>
      <w:r>
        <w:rPr>
          <w:rFonts w:ascii="Arial" w:cs="Arial" w:eastAsia="Arial" w:hAnsi="Arial"/>
          <w:sz w:val="18"/>
          <w:szCs w:val="18"/>
          <w:color w:val="auto"/>
          <w:highlight w:val="white"/>
        </w:rPr>
        <w:t>, that the foregoing shall not limit the right of the Corporation or any other corporation to vote any shares of the Corporation’s</w:t>
      </w:r>
      <w:r>
        <w:rPr>
          <w:rFonts w:ascii="Arial" w:cs="Arial" w:eastAsia="Arial" w:hAnsi="Arial"/>
          <w:sz w:val="18"/>
          <w:szCs w:val="18"/>
          <w:color w:val="auto"/>
        </w:rPr>
        <w:t xml:space="preserve"> stock held by it in a fiduciary capacity and to count such shares for purposes of determining a quorum.</w:t>
      </w:r>
    </w:p>
    <w:p>
      <w:pPr>
        <w:spacing w:after="0" w:line="1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u w:val="single" w:color="auto"/>
          <w:color w:val="auto"/>
        </w:rPr>
        <w:t>Organization</w:t>
      </w:r>
    </w:p>
    <w:p>
      <w:pPr>
        <w:spacing w:after="0" w:line="121" w:lineRule="exact"/>
        <w:rPr>
          <w:sz w:val="20"/>
          <w:szCs w:val="20"/>
          <w:color w:val="auto"/>
        </w:rPr>
      </w:pPr>
    </w:p>
    <w:p>
      <w:pPr>
        <w:ind w:right="140" w:firstLine="445"/>
        <w:spacing w:after="0" w:line="272" w:lineRule="auto"/>
        <w:rPr>
          <w:sz w:val="20"/>
          <w:szCs w:val="20"/>
          <w:color w:val="auto"/>
        </w:rPr>
      </w:pPr>
      <w:r>
        <w:rPr>
          <w:rFonts w:ascii="Arial" w:cs="Arial" w:eastAsia="Arial" w:hAnsi="Arial"/>
          <w:sz w:val="17"/>
          <w:szCs w:val="17"/>
          <w:color w:val="auto"/>
        </w:rPr>
        <w:t>Meetings of stockholders shall be presided over by (a) such person as the Board may designate, or (b) in the absence of such a person, the Chairperson of the Board, or (c) in the absence of such person, the Chief Executive Officer of the Corporation, or (d) in the absence of such person, the President of the Corporation, or (e) in the absence of such person, such person as may be chosen by the holders of a majority of the voting power of the shares entitled to vote who are present, in person or by proxy, at the meeting. Such person shall be chairperson of the meeting and, subject to Section 1.10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7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u w:val="single" w:color="auto"/>
          <w:color w:val="auto"/>
        </w:rPr>
        <w:t>Voting; Proxies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Unless otherwise provided by applicable law, the rules of any stock exchange upon which the Corporation’s securities are listed, the Certificate of Incorporation or these Bylaws, every matter other than the election of directors shall be decided by a majority of the votes cast for or against the matter.</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u w:val="single" w:color="auto"/>
          <w:color w:val="auto"/>
        </w:rPr>
        <w:t>Fixing Date for Determination of Stockholders of Record</w:t>
      </w:r>
    </w:p>
    <w:p>
      <w:pPr>
        <w:spacing w:after="0" w:line="12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In order that the Corporation may determine the stockholders entitled to notice of or to vote at any meeting of stockholders or entitled to receive payment of any dividend or other distribution or allotment of any rights, or entitled to exercise any rights in respect of any change, conversion or exchange of stock or for the purpose of any other lawful action, unless otherwise required by law, the Board may fix, in advance, a record date, which shall not precede the date upon which the resolution fixing the record date is adopted by the Board and which shall not be more than sixty (60), nor less than ten (10), days before the date of such meeting, nor more than sixty (60) days prior to any other action. If no record date is fixed by the Board, then the record date shall be as provided by applicable law. To the fullest extent permitted by law, a determination of stockholders of record entitled to notice of or to vote at a meeting of stockholders shall apply to any adjournment of the meeting;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Board may fix a new record date for the adjourned meeting.</w:t>
      </w:r>
    </w:p>
    <w:p>
      <w:pPr>
        <w:spacing w:after="0" w:line="138"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the close of business on the day on which the Board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9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u w:val="single" w:color="auto"/>
          <w:color w:val="auto"/>
        </w:rPr>
        <w:t>List of Stockholders Entitled to Vote</w:t>
      </w:r>
    </w:p>
    <w:p>
      <w:pPr>
        <w:spacing w:after="0" w:line="121"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77"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u w:val="single" w:color="auto"/>
          <w:color w:val="auto"/>
        </w:rPr>
        <w:t>Inspectors of Elections</w:t>
      </w:r>
    </w:p>
    <w:p>
      <w:pPr>
        <w:spacing w:after="0" w:line="121"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7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3"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right="320" w:firstLine="445"/>
        <w:spacing w:after="0" w:line="291"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determine and retain for a reasonable period of time a record of the disposition of any challenges made to any determination by the inspectors, and</w:t>
      </w:r>
    </w:p>
    <w:p>
      <w:pPr>
        <w:spacing w:after="0" w:line="32" w:lineRule="exact"/>
        <w:rPr>
          <w:rFonts w:ascii="Arial" w:cs="Arial" w:eastAsia="Arial" w:hAnsi="Arial"/>
          <w:sz w:val="16"/>
          <w:szCs w:val="16"/>
          <w:color w:val="auto"/>
        </w:rPr>
      </w:pPr>
    </w:p>
    <w:p>
      <w:pPr>
        <w:ind w:right="300" w:firstLine="8"/>
        <w:spacing w:after="0" w:line="260"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5"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 xml:space="preserve">1.10.5 </w:t>
      </w:r>
      <w:r>
        <w:rPr>
          <w:rFonts w:ascii="Arial" w:cs="Arial" w:eastAsia="Arial" w:hAnsi="Arial"/>
          <w:sz w:val="17"/>
          <w:szCs w:val="17"/>
          <w:u w:val="single" w:color="auto"/>
          <w:color w:val="auto"/>
        </w:rPr>
        <w:t>Opening and Closing of Polls</w:t>
      </w:r>
      <w:r>
        <w:rPr>
          <w:rFonts w:ascii="Arial" w:cs="Arial" w:eastAsia="Arial" w:hAnsi="Arial"/>
          <w:sz w:val="17"/>
          <w:szCs w:val="17"/>
          <w:color w:val="auto"/>
        </w:rPr>
        <w:t>.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65"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was obtained, the means by which the information was obtained and the basis for the inspectors’ belief that such information is accurate and reliable.</w:t>
      </w:r>
    </w:p>
    <w:p>
      <w:pPr>
        <w:spacing w:after="0" w:line="166"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2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17" w:lineRule="exact"/>
        <w:rPr>
          <w:sz w:val="20"/>
          <w:szCs w:val="20"/>
          <w:color w:val="auto"/>
        </w:rPr>
      </w:pPr>
    </w:p>
    <w:p>
      <w:pPr>
        <w:ind w:right="60" w:firstLine="453"/>
        <w:spacing w:after="0" w:line="254" w:lineRule="auto"/>
        <w:tabs>
          <w:tab w:leader="none" w:pos="8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business to be considered by the stockholders shall be made at an annual meeting of stockholders (i) pursuant to the Corporation’s notice of such meeting, (ii) by or at the direction of the Board or (iii) by any stockholder of the Corporation who was a stockholder of record at the time of giving of the notice provided for in this Section 1.11, who is entitled to vote at such meeting and who complies with the notice procedures set forth in this Section 1.11.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at an annual meeting of stockholders.</w:t>
      </w:r>
    </w:p>
    <w:p>
      <w:pPr>
        <w:spacing w:after="0" w:line="194" w:lineRule="exact"/>
        <w:rPr>
          <w:rFonts w:ascii="Arial" w:cs="Arial" w:eastAsia="Arial" w:hAnsi="Arial"/>
          <w:sz w:val="18"/>
          <w:szCs w:val="18"/>
          <w:color w:val="auto"/>
        </w:rPr>
      </w:pPr>
    </w:p>
    <w:p>
      <w:pPr>
        <w:ind w:left="840" w:hanging="387"/>
        <w:spacing w:after="0"/>
        <w:tabs>
          <w:tab w:leader="none" w:pos="8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pursuant to Section 1.11.1(a):</w:t>
      </w:r>
    </w:p>
    <w:p>
      <w:pPr>
        <w:spacing w:after="0" w:line="236" w:lineRule="exact"/>
        <w:rPr>
          <w:rFonts w:ascii="Arial" w:cs="Arial" w:eastAsia="Arial" w:hAnsi="Arial"/>
          <w:sz w:val="17"/>
          <w:szCs w:val="17"/>
          <w:color w:val="auto"/>
        </w:rPr>
      </w:pPr>
    </w:p>
    <w:p>
      <w:pPr>
        <w:ind w:left="1240" w:hanging="341"/>
        <w:spacing w:after="0"/>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stockholder must have given timely notice thereof in writing to the Secretary of the Corporation;</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other business must otherwise be a proper matter for stockholder action;</w:t>
      </w:r>
    </w:p>
    <w:p>
      <w:pPr>
        <w:spacing w:after="0" w:line="225" w:lineRule="exact"/>
        <w:rPr>
          <w:rFonts w:ascii="Arial" w:cs="Arial" w:eastAsia="Arial" w:hAnsi="Arial"/>
          <w:sz w:val="18"/>
          <w:szCs w:val="18"/>
          <w:color w:val="auto"/>
        </w:rPr>
      </w:pPr>
    </w:p>
    <w:p>
      <w:pPr>
        <w:ind w:right="80" w:firstLine="899"/>
        <w:spacing w:after="0" w:line="293" w:lineRule="auto"/>
        <w:tabs>
          <w:tab w:leader="none" w:pos="1341"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the stockholder, or the beneficial owner on whose behalf any such proposal or nomination is made, has provided the Corporation with a Solicitation Notice, as that term is defined in this Section,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w:t>
      </w:r>
    </w:p>
    <w:p>
      <w:pPr>
        <w:spacing w:after="0" w:line="110" w:lineRule="exact"/>
        <w:rPr>
          <w:rFonts w:ascii="Arial" w:cs="Arial" w:eastAsia="Arial" w:hAnsi="Arial"/>
          <w:sz w:val="16"/>
          <w:szCs w:val="16"/>
          <w:color w:val="auto"/>
        </w:rPr>
      </w:pPr>
    </w:p>
    <w:p>
      <w:pPr>
        <w:ind w:firstLine="899"/>
        <w:spacing w:after="0" w:line="263" w:lineRule="auto"/>
        <w:tabs>
          <w:tab w:leader="none" w:pos="1331"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w:t>
      </w:r>
    </w:p>
    <w:p>
      <w:pPr>
        <w:spacing w:after="0" w:line="184" w:lineRule="exact"/>
        <w:rPr>
          <w:sz w:val="20"/>
          <w:szCs w:val="20"/>
          <w:color w:val="auto"/>
        </w:rPr>
      </w:pPr>
    </w:p>
    <w:p>
      <w:pPr>
        <w:ind w:right="80" w:firstLine="445"/>
        <w:spacing w:after="0" w:line="218" w:lineRule="exact"/>
        <w:rPr>
          <w:sz w:val="20"/>
          <w:szCs w:val="20"/>
          <w:color w:val="auto"/>
        </w:rPr>
      </w:pPr>
      <w:r>
        <w:rPr>
          <w:rFonts w:ascii="Arial" w:cs="Arial" w:eastAsia="Arial" w:hAnsi="Arial"/>
          <w:sz w:val="17"/>
          <w:szCs w:val="17"/>
          <w:color w:val="auto"/>
        </w:rPr>
        <w:t xml:space="preserve">To be timely, a stockholder’s notice must be delivered to the Secretary at the principal executive offices of the Corporation not later than the close of business on the seventy-fifth (75th) day nor earlier than the close of business on the one hundred and fifth (105th)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1.11.2);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stockholder to be timely must be so delivered (A) no earlier than the close of business on the one hundred and fifth (105th) day prior to currently proposed annual meeting and (B) no later than the close of business on the later of the seventy</w:t>
      </w:r>
      <w:r>
        <w:rPr>
          <w:rFonts w:ascii="MS PGothic" w:cs="MS PGothic" w:eastAsia="MS PGothic" w:hAnsi="MS PGothic"/>
          <w:sz w:val="17"/>
          <w:szCs w:val="17"/>
          <w:color w:val="auto"/>
        </w:rPr>
        <w:t>‑</w:t>
      </w:r>
      <w:r>
        <w:rPr>
          <w:rFonts w:ascii="Arial" w:cs="Arial" w:eastAsia="Arial" w:hAnsi="Arial"/>
          <w:sz w:val="17"/>
          <w:szCs w:val="17"/>
          <w:color w:val="auto"/>
        </w:rPr>
        <w:t>fifth (75th) day prior to such annual meeting or the close of business on the tenth (10th) day following the day on which Public Announcement of the date of such meeting is first made by the Corporation. Such stockholder’s notice shall set forth:</w:t>
      </w:r>
    </w:p>
    <w:p>
      <w:pPr>
        <w:spacing w:after="0" w:line="203" w:lineRule="exact"/>
        <w:rPr>
          <w:sz w:val="20"/>
          <w:szCs w:val="20"/>
          <w:color w:val="auto"/>
        </w:rPr>
      </w:pPr>
    </w:p>
    <w:p>
      <w:pPr>
        <w:ind w:right="60" w:firstLine="453"/>
        <w:spacing w:after="0" w:line="259" w:lineRule="auto"/>
        <w:tabs>
          <w:tab w:leader="none" w:pos="8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would be required to be disclosed in solicitations of proxies for election of directors, or would be otherwise required, in each case pursuant to Regulation 14A under the Exchange Act, including such person’s written consent to being named in the proxy statement as a nominee and to serving as a director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98" w:lineRule="exact"/>
        <w:rPr>
          <w:sz w:val="20"/>
          <w:szCs w:val="20"/>
          <w:color w:val="auto"/>
        </w:rPr>
      </w:pPr>
    </w:p>
    <w:p>
      <w:pPr>
        <w:ind w:right="460" w:firstLine="453"/>
        <w:spacing w:after="0" w:line="263" w:lineRule="auto"/>
        <w:tabs>
          <w:tab w:leader="none" w:pos="8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w:t>
      </w:r>
    </w:p>
    <w:p>
      <w:pPr>
        <w:spacing w:after="0" w:line="183" w:lineRule="exact"/>
        <w:rPr>
          <w:rFonts w:ascii="Arial" w:cs="Arial" w:eastAsia="Arial" w:hAnsi="Arial"/>
          <w:sz w:val="18"/>
          <w:szCs w:val="18"/>
          <w:color w:val="auto"/>
        </w:rPr>
      </w:pPr>
    </w:p>
    <w:p>
      <w:pPr>
        <w:ind w:right="60" w:firstLine="453"/>
        <w:spacing w:after="0" w:line="268" w:lineRule="auto"/>
        <w:tabs>
          <w:tab w:leader="none" w:pos="8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 proposal is made, (aa) the name and address of such stockholder, as they appear on the Corporation’s books, and of such beneficial owner, (bb) the class and number of shares of the Corporation that are owned beneficially and held of record by such stockholder and such beneficial owner, (cc) a description of any agreement, arrangement or understanding with respect to the nomination or proposal between or among such stockholder and such beneficial owner, any of their respective affiliates or associates, and any others acting in concert with any of the foregoing, (dd)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owners, the effect or intent of which is to mitigate loss to, manage risk or benefit of share price changes for, or increase or decrease the voting power of, such stockholder or such beneficial owner, with respect to shares of stock of the Corporation, (ee) a representation that the stockholder is a holder of record of stock of the Corporation entitled to vote at such meeting and intends to appear in person or by proxy at the meeting to propose such business or nomination and (ff)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 If requested by the Corporation, the information required under clauses (bb), (cc) and (dd) of this subparagraph (z) shall be supplemented by such stockholder and beneficial owner, if any, not later than 10 days after the record date for the meeting to disclose such information as of the record date.</w:t>
      </w:r>
    </w:p>
    <w:p>
      <w:pPr>
        <w:spacing w:after="0" w:line="180" w:lineRule="exact"/>
        <w:rPr>
          <w:sz w:val="20"/>
          <w:szCs w:val="20"/>
          <w:color w:val="auto"/>
        </w:rPr>
      </w:pPr>
    </w:p>
    <w:p>
      <w:pPr>
        <w:ind w:right="160" w:firstLine="453"/>
        <w:spacing w:after="0" w:line="272" w:lineRule="auto"/>
        <w:tabs>
          <w:tab w:leader="none" w:pos="825"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Section 1.11.1(b) to the contrary, in the event that the number of directors to be elected to the Board is increased and there is no Public Announcement by the Corporation naming all of the nominees for director or specifying the size of the increased Board at least seventy five (75) days prior to the first anniversary of the preceding year’s annual meeting (or, if the annual meeting is held more than thirty (30) days before or sixty (60) days after such anniversary date, at least seventy five (75) days prior to such annual meeting), a stockholder’s notice required by this Section 1.11 shall also be considered timely, but only with respect to nominees for any new positions created by such increase, if it shall be delivered to the Secretary of the Corporation at the principal executive office of the Corporation no later than the close of business on the tenth (10th) day following the day on which such Public Announcement is first made by the Corporation.</w:t>
      </w:r>
    </w:p>
    <w:p>
      <w:pPr>
        <w:spacing w:after="0" w:line="177" w:lineRule="exact"/>
        <w:rPr>
          <w:sz w:val="20"/>
          <w:szCs w:val="20"/>
          <w:color w:val="auto"/>
        </w:rPr>
      </w:pPr>
    </w:p>
    <w:p>
      <w:pPr>
        <w:ind w:right="200" w:firstLine="445"/>
        <w:spacing w:after="0" w:line="287"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w:t>
      </w:r>
    </w:p>
    <w:p>
      <w:pPr>
        <w:spacing w:after="0" w:line="2" w:lineRule="exact"/>
        <w:rPr>
          <w:sz w:val="20"/>
          <w:szCs w:val="20"/>
          <w:color w:val="auto"/>
        </w:rPr>
      </w:pPr>
    </w:p>
    <w:p>
      <w:pPr>
        <w:ind w:firstLine="8"/>
        <w:spacing w:after="0" w:line="287"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procedures set forth in this Section 1.11.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1.11.1(b) shall be delivered to the Secretary of the Corporation at the principal executive offices of the Corporation (i) no earlier than the one hundred fifth (105th) day prior to such special meeting and (ii) no later than the close of business on the later of the seventy fifth (75th) day prior to such special meeting or the tenth (10th) day following the day on which Public Announcement is first made of the date of the special meeting and of the nominees proposed by the Board to be elected at such meeting.</w:t>
      </w:r>
    </w:p>
    <w:p>
      <w:pPr>
        <w:spacing w:after="0" w:line="170"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90" w:lineRule="exact"/>
        <w:rPr>
          <w:sz w:val="20"/>
          <w:szCs w:val="20"/>
          <w:color w:val="auto"/>
        </w:rPr>
      </w:pPr>
    </w:p>
    <w:p>
      <w:pPr>
        <w:ind w:right="80" w:firstLine="453"/>
        <w:spacing w:after="0" w:line="255" w:lineRule="auto"/>
        <w:tabs>
          <w:tab w:leader="none" w:pos="8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1.11 shall be eligible to serve as directors and only such business shall be conducted at a meeting of stockholders as shall have been brought before the meeting in accordance with the procedures set forth in this Section 1.11. Except as otherwise provided by law or these Bylaws, the chairperson of the meeting shall have the power and duty to determine whether a nomination or any business proposed to be brought before the meeting was made or proposed, as the case may be, in accordance with the procedures set forth in this Section 1.11 and, if any proposed nomination or business is not in compliance herewith, to declare that such defective proposal or nomination shall be disregarded.</w:t>
      </w:r>
    </w:p>
    <w:p>
      <w:pPr>
        <w:spacing w:after="0" w:line="192" w:lineRule="exact"/>
        <w:rPr>
          <w:rFonts w:ascii="Arial" w:cs="Arial" w:eastAsia="Arial" w:hAnsi="Arial"/>
          <w:sz w:val="18"/>
          <w:szCs w:val="18"/>
          <w:color w:val="auto"/>
        </w:rPr>
      </w:pPr>
    </w:p>
    <w:p>
      <w:pPr>
        <w:ind w:right="160" w:firstLine="453"/>
        <w:spacing w:after="0" w:line="263" w:lineRule="auto"/>
        <w:tabs>
          <w:tab w:leader="none" w:pos="8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this Section 1.11, the term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right="20" w:firstLine="453"/>
        <w:spacing w:after="0" w:line="311" w:lineRule="auto"/>
        <w:tabs>
          <w:tab w:leader="none" w:pos="8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1.11, a stockholder shall also comply with all applicable requirements of the Exchange Act and the rules and regulations thereunder with respect to the matters set forth herein. Nothing in this Section 1.11 shall be deemed to affect any rights of stockholders to request inclusion of proposals in the Corporation’s proxy statement pursuant to Rule 14a-8 under the Exchange Act.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BOARD OF DIRECTORS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Number; Qualifications</w:t>
      </w:r>
    </w:p>
    <w:p>
      <w:pPr>
        <w:spacing w:after="0" w:line="121" w:lineRule="exact"/>
        <w:rPr>
          <w:sz w:val="20"/>
          <w:szCs w:val="20"/>
          <w:color w:val="auto"/>
        </w:rPr>
      </w:pPr>
    </w:p>
    <w:p>
      <w:pPr>
        <w:ind w:right="140" w:firstLine="445"/>
        <w:spacing w:after="0" w:line="311" w:lineRule="auto"/>
        <w:rPr>
          <w:sz w:val="20"/>
          <w:szCs w:val="20"/>
          <w:color w:val="auto"/>
        </w:rPr>
      </w:pPr>
      <w:r>
        <w:rPr>
          <w:rFonts w:ascii="Arial" w:cs="Arial" w:eastAsia="Arial" w:hAnsi="Arial"/>
          <w:sz w:val="16"/>
          <w:szCs w:val="16"/>
          <w:color w:val="auto"/>
        </w:rPr>
        <w:t>The total number of authorized directors constituting the Board, whether or not there exist any vacancies in previously authorized directorships (the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be fixed from time to time in the manner set forth in the Certificate of Incorporation. No decrease in the authorized number of directors constituting the Whole Board shall shorten the term of any incumbent director. Directors need not be stockholders of the Corporation.</w:t>
      </w:r>
    </w:p>
    <w:p>
      <w:pPr>
        <w:spacing w:after="0" w:line="14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u w:val="single" w:color="auto"/>
          <w:color w:val="auto"/>
        </w:rPr>
        <w:t>Election; Resignation; Removal; Vacancies</w:t>
      </w:r>
    </w:p>
    <w:p>
      <w:pPr>
        <w:spacing w:after="0" w:line="12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directors shall be divided, with respect to the time for which they severally hold office, into classes as provided in the Certificate of Incorporation, and vacancies occurring in the Board and any newly created directorships resulting from any increase in the authorized number of directors shall be filled, as provided in the Certificate of Incorporation.</w:t>
      </w:r>
    </w:p>
    <w:p>
      <w:pPr>
        <w:spacing w:after="0" w:line="18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u w:val="single" w:color="auto"/>
          <w:color w:val="auto"/>
        </w:rPr>
        <w:t>Regular Meetings</w:t>
      </w:r>
    </w:p>
    <w:p>
      <w:pPr>
        <w:spacing w:after="0" w:line="121"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Regular meetings of the Board may be held at such places, within or without the State of Delaware, and at such times as the Board may from time to time determine. Notice of regular meetings need not be given if the date, times and places thereof are fixed by resolution of the Board.</w:t>
      </w:r>
    </w:p>
    <w:p>
      <w:pPr>
        <w:spacing w:after="0" w:line="142"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Special Meetings</w:t>
      </w:r>
    </w:p>
    <w:p>
      <w:pPr>
        <w:spacing w:after="0" w:line="12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Special meetings of the Board may be called by the Chairperson of the Board, the Chief Executive Officer,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12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Remote Meetings Permitted</w:t>
      </w:r>
    </w:p>
    <w:p>
      <w:pPr>
        <w:spacing w:after="0" w:line="121"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Members of the Board, or any committee of the Board, may participate in a meeting of the Board or such committee by means of conference telephone or other communications equipment by means of which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95" w:name="page96"/>
    <w:bookmarkEnd w:id="95"/>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participating in the meeting can hear each other, and participation in a meeting pursuant to conference telephone or other communications equipment shall constitute presence in person at such meeting.</w:t>
      </w:r>
    </w:p>
    <w:p>
      <w:pPr>
        <w:spacing w:after="0" w:line="166"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Quorum; Vote Required for Action</w:t>
      </w:r>
    </w:p>
    <w:p>
      <w:pPr>
        <w:spacing w:after="0" w:line="121"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Subject to the Certificate of Incorporation regarding the ability of members of the Board to fill a vacancy occurring in the Board, a majority of the Whole Board shall constitute a quorum for the transaction of business. If a quorum shall fail to attend any meeting, a majority of those present may adjourn the meeting to another place, date or time with further notice thereof. Except as otherwise provided herein or in the Certificate of Incorporation, or required by law, the vote of a majority of the directors present at a meeting at which a quorum is present shall be the act of the Board.</w:t>
      </w:r>
    </w:p>
    <w:p>
      <w:pPr>
        <w:spacing w:after="0" w:line="15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Organization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Meetings of the Board shall be presided over by (a) the Chairperson of the Board, or (b) in such person’s absence, by the Chief Executive Officer, or</w:t>
      </w:r>
    </w:p>
    <w:p>
      <w:pPr>
        <w:spacing w:after="0" w:line="46" w:lineRule="exact"/>
        <w:rPr>
          <w:sz w:val="20"/>
          <w:szCs w:val="20"/>
          <w:color w:val="auto"/>
        </w:rPr>
      </w:pPr>
    </w:p>
    <w:p>
      <w:pPr>
        <w:ind w:right="200" w:firstLine="8"/>
        <w:spacing w:after="0" w:line="260" w:lineRule="auto"/>
        <w:tabs>
          <w:tab w:leader="none" w:pos="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such person’s absence, by a chairperson chosen at the meeting. The Secretary shall act as secretary of the meeting, but in such person’s absence the chairperson of the meeting may appoint any person to act as secretary of the meeting.</w:t>
      </w:r>
    </w:p>
    <w:p>
      <w:pPr>
        <w:spacing w:after="0" w:line="1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Written Action by Directors</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5"/>
          <w:szCs w:val="15"/>
          <w:b w:val="1"/>
          <w:bCs w:val="1"/>
          <w:u w:val="single" w:color="auto"/>
          <w:color w:val="auto"/>
        </w:rPr>
        <w:t>Powers</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Board may, except as otherwise required by law or the Certificate of Incorporation, exercise all such powers and manage and direct all such acts and things as may be exercised or done by the Corporation.</w:t>
      </w:r>
    </w:p>
    <w:p>
      <w:pPr>
        <w:spacing w:after="0" w:line="166"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u w:val="single" w:color="auto"/>
          <w:color w:val="auto"/>
        </w:rPr>
        <w:t>Compensation of Directors</w:t>
      </w:r>
    </w:p>
    <w:p>
      <w:pPr>
        <w:spacing w:after="0" w:line="12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Members of the Board, as such, may receive, pursuant to a resolution of the Board, fees and other compensation for their services as directors, including without limitation their services as members of committees of the Board.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Committees</w:t>
      </w:r>
    </w:p>
    <w:p>
      <w:pPr>
        <w:spacing w:after="0" w:line="12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9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Committee Rules</w:t>
      </w:r>
    </w:p>
    <w:p>
      <w:pPr>
        <w:spacing w:after="0" w:line="12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OFFICERS; CHAIRPERSON</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Generally</w:t>
      </w:r>
    </w:p>
    <w:p>
      <w:pPr>
        <w:spacing w:after="0" w:line="121" w:lineRule="exact"/>
        <w:rPr>
          <w:sz w:val="20"/>
          <w:szCs w:val="20"/>
          <w:color w:val="auto"/>
        </w:rPr>
      </w:pPr>
    </w:p>
    <w:p>
      <w:pPr>
        <w:ind w:right="100" w:firstLine="445"/>
        <w:spacing w:after="0" w:line="288" w:lineRule="auto"/>
        <w:rPr>
          <w:sz w:val="20"/>
          <w:szCs w:val="20"/>
          <w:color w:val="auto"/>
        </w:rPr>
      </w:pPr>
      <w:r>
        <w:rPr>
          <w:rFonts w:ascii="Arial" w:cs="Arial" w:eastAsia="Arial" w:hAnsi="Arial"/>
          <w:sz w:val="16"/>
          <w:szCs w:val="16"/>
          <w:color w:val="auto"/>
        </w:rPr>
        <w:t xml:space="preserve">The officers of the Corporation shall consist of a Chief Executive Officer (who may be 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w:t>
      </w:r>
    </w:p>
    <w:p>
      <w:pPr>
        <w:spacing w:after="0" w:line="16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u w:val="single" w:color="auto"/>
          <w:color w:val="auto"/>
        </w:rPr>
        <w:t>Chief Executive Officer</w:t>
      </w:r>
    </w:p>
    <w:p>
      <w:pPr>
        <w:spacing w:after="0" w:line="121"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Subject to the control of the Board and such supervisory powers, if any, as may be given by the Board, the powers and duties of the Chief Executive Officer of the Corporation are:</w:t>
      </w:r>
    </w:p>
    <w:p>
      <w:pPr>
        <w:spacing w:after="0" w:line="170" w:lineRule="exact"/>
        <w:rPr>
          <w:sz w:val="20"/>
          <w:szCs w:val="20"/>
          <w:color w:val="auto"/>
        </w:rPr>
      </w:pPr>
    </w:p>
    <w:p>
      <w:pPr>
        <w:ind w:left="460" w:right="220" w:firstLine="439"/>
        <w:spacing w:after="0" w:line="277" w:lineRule="auto"/>
        <w:tabs>
          <w:tab w:leader="none" w:pos="12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Article I, Section 1.6 of these Bylaws, to preside at all meetings of the stockholders;</w:t>
      </w:r>
    </w:p>
    <w:p>
      <w:pPr>
        <w:spacing w:after="0" w:line="225" w:lineRule="exact"/>
        <w:rPr>
          <w:rFonts w:ascii="Arial" w:cs="Arial" w:eastAsia="Arial" w:hAnsi="Arial"/>
          <w:sz w:val="18"/>
          <w:szCs w:val="18"/>
          <w:color w:val="auto"/>
        </w:rPr>
      </w:pPr>
    </w:p>
    <w:p>
      <w:pPr>
        <w:ind w:left="460" w:right="220" w:firstLine="439"/>
        <w:spacing w:after="0" w:line="277" w:lineRule="auto"/>
        <w:tabs>
          <w:tab w:leader="none" w:pos="12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Article I, Section 1.2 of these Bylaws, to call special meetings of the stockholders to be held at such times and, subject to the limitations prescribed by law or by these Bylaws, at such places as he or she shall deem proper;</w:t>
      </w:r>
    </w:p>
    <w:p>
      <w:pPr>
        <w:spacing w:after="0" w:line="170" w:lineRule="exact"/>
        <w:rPr>
          <w:rFonts w:ascii="Arial" w:cs="Arial" w:eastAsia="Arial" w:hAnsi="Arial"/>
          <w:sz w:val="18"/>
          <w:szCs w:val="18"/>
          <w:color w:val="auto"/>
        </w:rPr>
      </w:pPr>
    </w:p>
    <w:p>
      <w:pPr>
        <w:ind w:left="460" w:firstLine="439"/>
        <w:spacing w:after="0" w:line="301" w:lineRule="auto"/>
        <w:tabs>
          <w:tab w:leader="none" w:pos="12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 and</w:t>
      </w:r>
    </w:p>
    <w:p>
      <w:pPr>
        <w:spacing w:after="0" w:line="157" w:lineRule="exact"/>
        <w:rPr>
          <w:rFonts w:ascii="Arial" w:cs="Arial" w:eastAsia="Arial" w:hAnsi="Arial"/>
          <w:sz w:val="16"/>
          <w:szCs w:val="16"/>
          <w:color w:val="auto"/>
        </w:rPr>
      </w:pPr>
    </w:p>
    <w:p>
      <w:pPr>
        <w:ind w:left="460" w:firstLine="439"/>
        <w:spacing w:after="0" w:line="259" w:lineRule="auto"/>
        <w:tabs>
          <w:tab w:leader="none" w:pos="12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vote and otherwise act on, or to authorize any officer to vote or otherwise act on, on behalf of the Corporation, in person or by proxy, at any meeting of stockholders of or with respect to any action of stockholders of any other corporation in which this Corporation may hold securities and otherwise to exercise, or authorize any officer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9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8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u w:val="single" w:color="auto"/>
          <w:color w:val="auto"/>
        </w:rPr>
        <w:t>Chairperson of the Board</w:t>
      </w:r>
    </w:p>
    <w:p>
      <w:pPr>
        <w:spacing w:after="0" w:line="121" w:lineRule="exact"/>
        <w:rPr>
          <w:sz w:val="20"/>
          <w:szCs w:val="20"/>
          <w:color w:val="auto"/>
        </w:rPr>
      </w:pPr>
    </w:p>
    <w:p>
      <w:pPr>
        <w:ind w:right="260" w:firstLine="445"/>
        <w:spacing w:after="0" w:line="308" w:lineRule="auto"/>
        <w:rPr>
          <w:sz w:val="20"/>
          <w:szCs w:val="20"/>
          <w:color w:val="auto"/>
        </w:rPr>
      </w:pPr>
      <w:r>
        <w:rPr>
          <w:rFonts w:ascii="Arial" w:cs="Arial" w:eastAsia="Arial" w:hAnsi="Arial"/>
          <w:sz w:val="17"/>
          <w:szCs w:val="17"/>
          <w:color w:val="auto"/>
        </w:rPr>
        <w:t>Subject to the provisions of Section 2.7 of these Bylaws, the Chairperson of the Board shall have the power to preside at all meetings of the Board and shall have such other powers and duties as provided in these Bylaws and as the Board may from time to time prescribe.</w:t>
      </w:r>
    </w:p>
    <w:p>
      <w:pPr>
        <w:spacing w:after="0" w:line="142"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u w:val="single" w:color="auto"/>
          <w:color w:val="auto"/>
        </w:rPr>
        <w:t>President</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person holding the office of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8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Chief Financial Officer</w:t>
      </w:r>
    </w:p>
    <w:p>
      <w:pPr>
        <w:spacing w:after="0" w:line="12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8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Treasurer</w:t>
      </w:r>
    </w:p>
    <w:p>
      <w:pPr>
        <w:spacing w:after="0" w:line="121"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2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5"/>
          <w:szCs w:val="15"/>
          <w:b w:val="1"/>
          <w:bCs w:val="1"/>
          <w:u w:val="single" w:color="auto"/>
          <w:color w:val="auto"/>
        </w:rPr>
        <w:t>Vice Presidents</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at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6"/>
          <w:szCs w:val="16"/>
          <w:b w:val="1"/>
          <w:bCs w:val="1"/>
          <w:u w:val="single" w:color="auto"/>
          <w:color w:val="auto"/>
        </w:rPr>
        <w:t>Secretary</w:t>
      </w:r>
    </w:p>
    <w:p>
      <w:pPr>
        <w:spacing w:after="0" w:line="121"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u w:val="single" w:color="auto"/>
          <w:color w:val="auto"/>
        </w:rPr>
        <w:t>Delegation of Authority</w:t>
      </w:r>
    </w:p>
    <w:p>
      <w:pPr>
        <w:spacing w:after="0" w:line="121"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Board may from time to time delegate the powers or duties of any officer of the Corporation to any other officers or agents of the Corporation, notwithstanding any provision hereof.</w:t>
      </w:r>
    </w:p>
    <w:p>
      <w:pPr>
        <w:spacing w:after="0" w:line="166"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u w:val="single" w:color="auto"/>
          <w:color w:val="auto"/>
        </w:rPr>
        <w:t>Removal</w:t>
      </w:r>
    </w:p>
    <w:p>
      <w:pPr>
        <w:spacing w:after="0" w:line="121"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 xml:space="preserve">Any officer of the Corporation shall serve at the pleasure of the Board and may be removed at any time, with or without cause, by the Board;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Board has empowered the Chief Executive Officer to appoint any officer of the Corporation, then such officer may also be removed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Chief Executive Officer. Such removal shall be without prejudice to the contractual rights of such officer, if any, with the Corporation.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STOCK</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u w:val="single" w:color="auto"/>
          <w:color w:val="auto"/>
        </w:rPr>
        <w:t>Certificates</w:t>
      </w:r>
    </w:p>
    <w:p>
      <w:pPr>
        <w:spacing w:after="0" w:line="12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shares of capital stock of the Corporation shall be represented by certificates; provided, however, that the Board may provide by resolution or resolutions that some or all of any or all classes or series of its stock may be uncertificated shares. Notwithstanding the adoption of such resolution by the Board, each holder of stock represented by certificates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7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Lost, Stolen or Destroyed Stock Certificates; Issuance of New Certificates or Uncertificated Shares</w:t>
      </w:r>
    </w:p>
    <w:p>
      <w:pPr>
        <w:spacing w:after="0" w:line="12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u w:val="single" w:color="auto"/>
          <w:color w:val="auto"/>
        </w:rPr>
        <w:t>Other Regulations</w:t>
      </w:r>
    </w:p>
    <w:p>
      <w:pPr>
        <w:spacing w:after="0" w:line="12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Subject to applicable law, the Certificate of Incorporation and these Bylaws, the issue, transfer, conversion and registration of shares represented by certificates and of uncertificated shares shall be governed by such other regulations as the Board may establish.</w:t>
      </w:r>
    </w:p>
    <w:p>
      <w:pPr>
        <w:spacing w:after="0" w:line="38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VI: INDEMNIFICATION</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u w:val="single" w:color="auto"/>
          <w:color w:val="auto"/>
        </w:rPr>
        <w:t>Indemnification of Officers and Directors</w:t>
      </w:r>
    </w:p>
    <w:p>
      <w:pPr>
        <w:spacing w:after="0" w:line="121"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Each person who was or is made a party to, or is threatened to be made a party to, or is involved in any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99" w:name="page100"/>
    <w:bookmarkEnd w:id="99"/>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6"/>
          <w:szCs w:val="16"/>
          <w:b w:val="1"/>
          <w:bCs w:val="1"/>
          <w:i w:val="1"/>
          <w:iCs w:val="1"/>
          <w:color w:val="auto"/>
        </w:rPr>
        <w:t>Reincorporated Predecessor</w:t>
      </w:r>
      <w:r>
        <w:rPr>
          <w:rFonts w:ascii="Arial" w:cs="Arial" w:eastAsia="Arial" w:hAnsi="Arial"/>
          <w:sz w:val="16"/>
          <w:szCs w:val="16"/>
          <w:color w:val="auto"/>
        </w:rPr>
        <w:t>” means a corporation that is merged with and into the Corporation in a statutory merger where (a) the Corporation is the surviving corporation of such merger; (b) the primary purpose of such merger is to change the corporate domicile of the Reincorporated Predecessor to Delaware. To the extent that a present or former director or officer of the Corporation has been successful on the merits or otherwise in defense of any action, suit or proceeding described in this Section 6.1 or in defense of any claim, issue or matter therein, such person shall be indemnified against expenses (including attorneys’ fees) actually and reasonably incurred by such person in connection therewith.</w:t>
      </w:r>
    </w:p>
    <w:p>
      <w:pPr>
        <w:spacing w:after="0" w:line="16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u w:val="single" w:color="auto"/>
          <w:color w:val="auto"/>
        </w:rPr>
        <w:t>Advancement of Expenses</w:t>
      </w:r>
    </w:p>
    <w:p>
      <w:pPr>
        <w:spacing w:after="0" w:line="121"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 xml:space="preserve">Except as otherwise provided in a written indemnification agreement between the Corporation and an Indemnitee upon written request, the Corporation shall pay all expenses (including attorneys’ fees) incurred by such an Indemnitee in defending any such Proceeding as they are incurred in advance of its final disposition;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highlight w:val="white"/>
        </w:rPr>
        <w:t>, that if the DGCL then so requires, the payment of such expenses incurred by such Indemnitee in</w:t>
      </w:r>
      <w:r>
        <w:rPr>
          <w:rFonts w:ascii="Arial" w:cs="Arial" w:eastAsia="Arial" w:hAnsi="Arial"/>
          <w:sz w:val="16"/>
          <w:szCs w:val="16"/>
          <w:color w:val="auto"/>
        </w:rPr>
        <w:t xml:space="preserve">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6.1 prior to a determination that the person is not entitled to be indemnified by the Corporation.</w:t>
      </w:r>
    </w:p>
    <w:p>
      <w:pPr>
        <w:spacing w:after="0" w:line="16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u w:val="single" w:color="auto"/>
          <w:color w:val="auto"/>
        </w:rPr>
        <w:t>Non-Exclusivity of Rights</w:t>
      </w:r>
    </w:p>
    <w:p>
      <w:pPr>
        <w:spacing w:after="0" w:line="121" w:lineRule="exact"/>
        <w:rPr>
          <w:sz w:val="20"/>
          <w:szCs w:val="20"/>
          <w:color w:val="auto"/>
        </w:rPr>
      </w:pPr>
    </w:p>
    <w:p>
      <w:pPr>
        <w:ind w:right="240" w:firstLine="445"/>
        <w:spacing w:after="0" w:line="279" w:lineRule="auto"/>
        <w:rPr>
          <w:sz w:val="20"/>
          <w:szCs w:val="20"/>
          <w:color w:val="auto"/>
        </w:rPr>
      </w:pPr>
      <w:r>
        <w:rPr>
          <w:rFonts w:ascii="Arial" w:cs="Arial" w:eastAsia="Arial" w:hAnsi="Arial"/>
          <w:sz w:val="17"/>
          <w:szCs w:val="17"/>
          <w:color w:val="auto"/>
        </w:rPr>
        <w:t>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u w:val="single" w:color="auto"/>
          <w:color w:val="auto"/>
        </w:rPr>
        <w:t>Indemnification Contracts</w:t>
      </w:r>
    </w:p>
    <w:p>
      <w:pPr>
        <w:spacing w:after="0" w:line="12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apply to the extent not in conflict with any indemnification contract provided for in Section 6.4 of these Bylaws.</w:t>
      </w:r>
    </w:p>
    <w:p>
      <w:pPr>
        <w:spacing w:after="0" w:line="225"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u w:val="single" w:color="auto"/>
          <w:color w:val="auto"/>
        </w:rPr>
        <w:t>Right to Bring Suit</w:t>
      </w:r>
      <w:r>
        <w:rPr>
          <w:rFonts w:ascii="Arial" w:cs="Arial" w:eastAsia="Arial" w:hAnsi="Arial"/>
          <w:sz w:val="17"/>
          <w:szCs w:val="17"/>
          <w:color w:val="auto"/>
        </w:rPr>
        <w:t>. If a claim under Section 6.1 or 6.2 of these Bylaws is not paid in full by the Corporation within sixty (60) days after a written claim has been received by the Corporation,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78"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64"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 xml:space="preserve">6.5.3 </w:t>
      </w:r>
      <w:r>
        <w:rPr>
          <w:rFonts w:ascii="Arial" w:cs="Arial" w:eastAsia="Arial" w:hAnsi="Arial"/>
          <w:sz w:val="16"/>
          <w:szCs w:val="16"/>
          <w:u w:val="single" w:color="auto"/>
          <w:color w:val="auto"/>
        </w:rPr>
        <w:t>Burden of Proof</w:t>
      </w:r>
      <w:r>
        <w:rPr>
          <w:rFonts w:ascii="Arial" w:cs="Arial" w:eastAsia="Arial" w:hAnsi="Arial"/>
          <w:sz w:val="16"/>
          <w:szCs w:val="16"/>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4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u w:val="single" w:color="auto"/>
          <w:color w:val="auto"/>
        </w:rPr>
        <w:t>Nature of Rights</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u w:val="single" w:color="auto"/>
          <w:color w:val="auto"/>
        </w:rPr>
        <w:t>Insurance</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Corporation may purchase and maintain insurance, at its expense,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ARTICLE VII: NOTICES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Form and Delivery</w:t>
      </w:r>
      <w:r>
        <w:rPr>
          <w:rFonts w:ascii="Arial" w:cs="Arial" w:eastAsia="Arial" w:hAnsi="Arial"/>
          <w:sz w:val="17"/>
          <w:szCs w:val="17"/>
          <w:color w:val="auto"/>
        </w:rPr>
        <w:t>. Except as otherwise specifically required in these Bylaws (including, without limitation, Section 7.1.2 of these Bylaws) or by applicable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2" w:lineRule="exact"/>
        <w:rPr>
          <w:sz w:val="20"/>
          <w:szCs w:val="20"/>
          <w:color w:val="auto"/>
        </w:rPr>
      </w:pPr>
    </w:p>
    <w:p>
      <w:pPr>
        <w:ind w:right="80" w:firstLine="445"/>
        <w:spacing w:after="0" w:line="283"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w:t>
      </w:r>
    </w:p>
    <w:p>
      <w:pPr>
        <w:spacing w:after="0" w:line="6" w:lineRule="exact"/>
        <w:rPr>
          <w:sz w:val="20"/>
          <w:szCs w:val="20"/>
          <w:color w:val="auto"/>
        </w:rPr>
      </w:pPr>
    </w:p>
    <w:p>
      <w:pPr>
        <w:ind w:right="20" w:firstLine="8"/>
        <w:spacing w:after="0" w:line="260" w:lineRule="auto"/>
        <w:tabs>
          <w:tab w:leader="none" w:pos="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85"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8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u w:val="single" w:color="auto"/>
          <w:color w:val="auto"/>
        </w:rPr>
        <w:t>Waiver of Notice</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INTERESTED DIRECTORS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u w:val="single" w:color="auto"/>
          <w:color w:val="auto"/>
        </w:rPr>
        <w:t>Interested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417" w:right="379" w:bottom="1440" w:gutter="0" w:footer="0" w:header="0"/>
        </w:sectPr>
      </w:pPr>
    </w:p>
    <w:bookmarkStart w:id="102" w:name="page103"/>
    <w:bookmarkEnd w:id="102"/>
    <w:p>
      <w:pPr>
        <w:spacing w:after="0" w:line="9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No contract or transaction between the Corporation and one or more of its 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u w:val="single" w:color="auto"/>
          <w:color w:val="auto"/>
        </w:rPr>
        <w:t>Quorum</w:t>
      </w:r>
    </w:p>
    <w:p>
      <w:pPr>
        <w:spacing w:after="0" w:line="121"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Interested directors may be counted in determining the presence of a quorum at a meeting of the Board or of a committee which authorizes the contract or transaction.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 MISCELLANEOUS</w:t>
      </w:r>
    </w:p>
    <w:p>
      <w:pPr>
        <w:spacing w:after="0" w:line="22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determined by resolution of the Board.</w:t>
      </w:r>
    </w:p>
    <w:p>
      <w:pPr>
        <w:spacing w:after="0" w:line="22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5"/>
          <w:szCs w:val="15"/>
          <w:b w:val="1"/>
          <w:bCs w:val="1"/>
          <w:u w:val="single" w:color="auto"/>
          <w:color w:val="auto"/>
        </w:rPr>
        <w:t>Seal</w:t>
      </w:r>
    </w:p>
    <w:p>
      <w:pPr>
        <w:spacing w:after="0" w:line="12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Board may provide for a corporate seal, which may have the name of the Corporation inscribed thereon and shall otherwise be in such form as may be approved from time to time by the Board.</w:t>
      </w:r>
    </w:p>
    <w:p>
      <w:pPr>
        <w:spacing w:after="0" w:line="166"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u w:val="single" w:color="auto"/>
          <w:color w:val="auto"/>
        </w:rPr>
        <w:t>Form of Records</w:t>
      </w:r>
    </w:p>
    <w:p>
      <w:pPr>
        <w:spacing w:after="0" w:line="121"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 xml:space="preserve">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1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u w:val="single" w:color="auto"/>
          <w:color w:val="auto"/>
        </w:rPr>
        <w:t>Reliance upon Books, Records and Experts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u w:val="single" w:color="auto"/>
          <w:color w:val="auto"/>
        </w:rPr>
        <w:t>Certificate of Incorporation Governs</w:t>
      </w:r>
    </w:p>
    <w:p>
      <w:pPr>
        <w:spacing w:after="0" w:line="12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the event of any conflict between the provisions of the Certificate of Incorporation and Bylaws, the provisions of the Certificate of Incorporation shall govern.</w:t>
      </w:r>
    </w:p>
    <w:p>
      <w:pPr>
        <w:spacing w:after="0" w:line="166"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9.6:</w:t>
      </w:r>
      <w:r>
        <w:rPr>
          <w:sz w:val="20"/>
          <w:szCs w:val="20"/>
          <w:color w:val="auto"/>
        </w:rPr>
        <w:tab/>
      </w:r>
      <w:r>
        <w:rPr>
          <w:rFonts w:ascii="Arial" w:cs="Arial" w:eastAsia="Arial" w:hAnsi="Arial"/>
          <w:sz w:val="16"/>
          <w:szCs w:val="16"/>
          <w:b w:val="1"/>
          <w:bCs w:val="1"/>
          <w:u w:val="single" w:color="auto"/>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1440" w:right="439" w:bottom="1440" w:gutter="0" w:footer="0" w:header="0"/>
        </w:sectPr>
      </w:pPr>
    </w:p>
    <w:bookmarkStart w:id="103" w:name="page104"/>
    <w:bookmarkEnd w:id="103"/>
    <w:p>
      <w:pPr>
        <w:spacing w:after="0" w:line="9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9.7:</w:t>
      </w:r>
      <w:r>
        <w:rPr>
          <w:sz w:val="20"/>
          <w:szCs w:val="20"/>
          <w:color w:val="auto"/>
        </w:rPr>
        <w:tab/>
      </w:r>
      <w:r>
        <w:rPr>
          <w:rFonts w:ascii="Arial" w:cs="Arial" w:eastAsia="Arial" w:hAnsi="Arial"/>
          <w:sz w:val="16"/>
          <w:szCs w:val="16"/>
          <w:b w:val="1"/>
          <w:bCs w:val="1"/>
          <w:u w:val="single" w:color="auto"/>
          <w:color w:val="auto"/>
        </w:rPr>
        <w:t>Time Periods</w:t>
      </w:r>
    </w:p>
    <w:p>
      <w:pPr>
        <w:spacing w:after="0" w:line="121"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AMENDMENT</w:t>
      </w:r>
    </w:p>
    <w:p>
      <w:pPr>
        <w:spacing w:after="0" w:line="229"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RESTATED BYLAWS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ARCUTIS BIOTHERAPEUTICS,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 Keith Klein, certify that I am Secretary of Arcutis Biotherapeutics,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/s/ Keith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34290</wp:posOffset>
            </wp:positionV>
            <wp:extent cx="2837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6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Klein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160"/>
          </w:cols>
          <w:pgMar w:left="320" w:top="1440" w:right="4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80" w:val="left"/>
          <w:tab w:leader="none" w:pos="626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2905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9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John W. Smither, certify that:</w:t>
      </w:r>
    </w:p>
    <w:p>
      <w:pPr>
        <w:spacing w:after="0" w:line="25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80" w:val="left"/>
          <w:tab w:leader="none" w:pos="65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2905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93" w:right="339" w:bottom="1440" w:gutter="0" w:footer="0" w:header="0"/>
        </w:sectPr>
      </w:pPr>
    </w:p>
    <w:bookmarkStart w:id="107" w:name="page108"/>
    <w:bookmarkEnd w:id="107"/>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Quarterly Report of Arcutis Biotherapeutics, Inc. (the “Company”) on Form 10-Q for the period ended March 31, 2020, as filed with the Securities and Exchange Commission on the date hereof (the “Report”), Todd Franklin Watanabe, Chief Executive Officer of the Company, and John W. Smither, Chief Financial Officer of the Company, respectively, do each hereby certify, pursuant to 18 U.S.C. Section 1350, as adopted pursuant to Section 906 of the Sarbanes-Oxley Act of 2002, that:</w:t>
      </w:r>
    </w:p>
    <w:p>
      <w:pPr>
        <w:spacing w:after="0" w:line="187"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80" w:firstLine="320"/>
        <w:spacing w:after="0" w:line="277" w:lineRule="auto"/>
        <w:tabs>
          <w:tab w:leader="none" w:pos="13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440" w:val="left"/>
          <w:tab w:leader="none" w:pos="736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(Principal Executive Officer)</w:t>
      </w:r>
    </w:p>
    <w:p>
      <w:pPr>
        <w:spacing w:after="0" w:line="49" w:lineRule="exact"/>
        <w:rPr>
          <w:sz w:val="20"/>
          <w:szCs w:val="20"/>
          <w:color w:val="auto"/>
        </w:rPr>
      </w:pPr>
    </w:p>
    <w:p>
      <w:pPr>
        <w:ind w:left="20"/>
        <w:spacing w:after="0"/>
        <w:tabs>
          <w:tab w:leader="none" w:pos="5440" w:val="left"/>
          <w:tab w:leader="none" w:pos="76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9"/>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6"/>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lowerRoman"/>
      <w:start w:val="4"/>
    </w:lvl>
  </w:abstractNum>
  <w:abstractNum w:abstractNumId="8">
    <w:nsid w:val="77465F01"/>
    <w:multiLevelType w:val="hybridMultilevel"/>
    <w:lvl w:ilvl="0">
      <w:lvlJc w:val="left"/>
      <w:lvlText w:val="(%1)"/>
      <w:numFmt w:val="lowerRoman"/>
      <w:start w:val="6"/>
    </w:lvl>
  </w:abstractNum>
  <w:abstractNum w:abstractNumId="9">
    <w:nsid w:val="7724C67E"/>
    <w:multiLevelType w:val="hybridMultilevel"/>
    <w:lvl w:ilvl="0">
      <w:lvlJc w:val="left"/>
      <w:lvlText w:val="%1)"/>
      <w:numFmt w:val="decimal"/>
      <w:start w:val="19"/>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lowerLetter"/>
      <w:start w:val="1"/>
    </w:lvl>
    <w:lvl w:ilvl="1">
      <w:lvlJc w:val="left"/>
      <w:lvlText w:val="%2."/>
      <w:numFmt w:val="decimal"/>
      <w:start w:val="4"/>
    </w:lvl>
  </w:abstractNum>
  <w:abstractNum w:abstractNumId="48">
    <w:nsid w:val="1CF10FD8"/>
    <w:multiLevelType w:val="hybridMultilevel"/>
    <w:lvl w:ilvl="0">
      <w:lvlJc w:val="left"/>
      <w:lvlText w:val="(%1)"/>
      <w:numFmt w:val="lowerLetter"/>
      <w:start w:val="1"/>
    </w:lvl>
    <w:lvl w:ilvl="1">
      <w:lvlJc w:val="left"/>
      <w:lvlText w:val="%2."/>
      <w:numFmt w:val="decimal"/>
      <w:start w:val="6"/>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2"/>
    </w:lvl>
  </w:abstractNum>
  <w:abstractNum w:abstractNumId="52">
    <w:nsid w:val="354FE9F9"/>
    <w:multiLevelType w:val="hybridMultilevel"/>
    <w:lvl w:ilvl="0">
      <w:lvlJc w:val="left"/>
      <w:lvlText w:val="(%1)"/>
      <w:numFmt w:val="lowerLetter"/>
      <w:start w:val="4"/>
    </w:lvl>
  </w:abstractNum>
  <w:abstractNum w:abstractNumId="53">
    <w:nsid w:val="15B5AF5C"/>
    <w:multiLevelType w:val="hybridMultilevel"/>
    <w:lvl w:ilvl="0">
      <w:lvlJc w:val="left"/>
      <w:lvlText w:val="(%1)"/>
      <w:numFmt w:val="lowerLetter"/>
      <w:start w:val="1"/>
    </w:lvl>
    <w:lvl w:ilvl="1">
      <w:lvlJc w:val="left"/>
      <w:lvlText w:val="(%2)"/>
      <w:numFmt w:val="lowerRoman"/>
      <w:start w:val="1"/>
    </w:lvl>
  </w:abstractNum>
  <w:abstractNum w:abstractNumId="54">
    <w:nsid w:val="741226BB"/>
    <w:multiLevelType w:val="hybridMultilevel"/>
    <w:lvl w:ilvl="0">
      <w:lvlJc w:val="left"/>
      <w:lvlText w:val="(%1)"/>
      <w:numFmt w:val="lowerRoman"/>
      <w:start w:val="10"/>
    </w:lvl>
  </w:abstractNum>
  <w:abstractNum w:abstractNumId="55">
    <w:nsid w:val="D34B6A8"/>
    <w:multiLevelType w:val="hybridMultilevel"/>
    <w:lvl w:ilvl="0">
      <w:lvlJc w:val="left"/>
      <w:lvlText w:val="(%1)"/>
      <w:numFmt w:val="lowerLetter"/>
      <w:start w:val="25"/>
    </w:lvl>
  </w:abstractNum>
  <w:abstractNum w:abstractNumId="56">
    <w:nsid w:val="10233C99"/>
    <w:multiLevelType w:val="hybridMultilevel"/>
    <w:lvl w:ilvl="0">
      <w:lvlJc w:val="left"/>
      <w:lvlText w:val="(%1)"/>
      <w:numFmt w:val="lowerLetter"/>
      <w:start w:val="3"/>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Roman"/>
      <w:start w:val="3"/>
    </w:lvl>
  </w:abstractNum>
  <w:abstractNum w:abstractNumId="62">
    <w:nsid w:val="310C50B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3">
    <w:nsid w:val="5FF87E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93" Type="http://schemas.openxmlformats.org/officeDocument/2006/relationships/hyperlink" Target="http://www.sec.gov/Archives/edgar/data/1787306/000119312520010664/d784371dex41.htm" TargetMode="External"/><Relationship Id="rId94" Type="http://schemas.openxmlformats.org/officeDocument/2006/relationships/hyperlink" Target="http://www.sec.gov/Archives/edgar/data/1787306/000119312520001990/d784371dex42.htm" TargetMode="External"/><Relationship Id="rId95" Type="http://schemas.openxmlformats.org/officeDocument/2006/relationships/hyperlink" Target="http://www.sec.gov/Archives/edgar/data/1787306/000178730620000005/ex43descriptionofregis.htm" TargetMode="External"/><Relationship Id="rId96" Type="http://schemas.openxmlformats.org/officeDocument/2006/relationships/hyperlink" Target="http://www.sec.gov/Archives/edgar/data/1787306/000119312520001990/d784371dex101.htm" TargetMode="External"/><Relationship Id="rId97" Type="http://schemas.openxmlformats.org/officeDocument/2006/relationships/hyperlink" Target="http://www.sec.gov/Archives/edgar/data/1787306/000119312520001990/d784371dex102.htm" TargetMode="External"/><Relationship Id="rId98" Type="http://schemas.openxmlformats.org/officeDocument/2006/relationships/hyperlink" Target="http://www.sec.gov/Archives/edgar/data/1787306/000119312520010664/d784371dex103.htm" TargetMode="External"/><Relationship Id="rId99" Type="http://schemas.openxmlformats.org/officeDocument/2006/relationships/hyperlink" Target="http://www.sec.gov/Archives/edgar/data/1787306/000119312520010664/d784371dex104.htm" TargetMode="External"/><Relationship Id="rId102" Type="http://schemas.openxmlformats.org/officeDocument/2006/relationships/hyperlink" Target="http://www.sec.gov/Archives/edgar/data/1787306/000119312520010664/d784371dex105.htm" TargetMode="External"/><Relationship Id="rId103" Type="http://schemas.openxmlformats.org/officeDocument/2006/relationships/hyperlink" Target="http://www.sec.gov/Archives/edgar/data/1787306/000119312520010664/d784371dex106.htm" TargetMode="External"/><Relationship Id="rId104" Type="http://schemas.openxmlformats.org/officeDocument/2006/relationships/hyperlink" Target="http://www.sec.gov/Archives/edgar/data/1787306/000119312520010664/d784371dex107.htm" TargetMode="External"/><Relationship Id="rId105" Type="http://schemas.openxmlformats.org/officeDocument/2006/relationships/hyperlink" Target="http://www.sec.gov/Archives/edgar/data/1787306/000119312520010664/d784371dex108.htm" TargetMode="External"/><Relationship Id="rId106" Type="http://schemas.openxmlformats.org/officeDocument/2006/relationships/hyperlink" Target="http://www.sec.gov/Archives/edgar/data/1787306/000119312520010664/d784371dex109.htm" TargetMode="External"/><Relationship Id="rId107" Type="http://schemas.openxmlformats.org/officeDocument/2006/relationships/hyperlink" Target="http://www.sec.gov/Archives/edgar/data/1787306/000119312520010664/d784371dex1010.htm" TargetMode="External"/><Relationship Id="rId108" Type="http://schemas.openxmlformats.org/officeDocument/2006/relationships/hyperlink" Target="http://www.sec.gov/Archives/edgar/data/1787306/000119312520001990/d784371dex1011.htm" TargetMode="External"/><Relationship Id="rId109" Type="http://schemas.openxmlformats.org/officeDocument/2006/relationships/hyperlink" Target="http://www.sec.gov/Archives/edgar/data/1787306/000119312520001990/d784371dex1012.htm" TargetMode="External"/><Relationship Id="rId110" Type="http://schemas.openxmlformats.org/officeDocument/2006/relationships/hyperlink" Target="http://www.sec.gov/Archives/edgar/data/1787306/000119312520001990/d784371dex1013.htm" TargetMode="External"/><Relationship Id="rId111" Type="http://schemas.openxmlformats.org/officeDocument/2006/relationships/hyperlink" Target="http://www.sec.gov/Archives/edgar/data/1787306/000119312520001990/d784371dex1014.htm" TargetMode="External"/><Relationship Id="rId112" Type="http://schemas.openxmlformats.org/officeDocument/2006/relationships/hyperlink" Target="http://www.sec.gov/Archives/edgar/data/1787306/000119312520001990/d784371dex1015.htm" TargetMode="External"/><Relationship Id="rId113" Type="http://schemas.openxmlformats.org/officeDocument/2006/relationships/hyperlink" Target="http://www.sec.gov/Archives/edgar/data/1787306/000119312520001990/d784371dex1016.htm" TargetMode="External"/><Relationship Id="rId114" Type="http://schemas.openxmlformats.org/officeDocument/2006/relationships/hyperlink" Target="http://www.sec.gov/Archives/edgar/data/1787306/000119312520010664/d784371dex1017.htm" TargetMode="External"/><Relationship Id="rId115" Type="http://schemas.openxmlformats.org/officeDocument/2006/relationships/hyperlink" Target="http://www.sec.gov/Archives/edgar/data/1787306/000119312520010664/d784371dex1018.htm" TargetMode="External"/><Relationship Id="rId116" Type="http://schemas.openxmlformats.org/officeDocument/2006/relationships/hyperlink" Target="http://www.sec.gov/Archives/edgar/data/1787306/000119312520010664/d784371dex1019.htm" TargetMode="External"/><Relationship Id="rId117" Type="http://schemas.openxmlformats.org/officeDocument/2006/relationships/hyperlink" Target="http://www.sec.gov/Archives/edgar/data/1787306/000119312520010664/d784371dex1020.htm" TargetMode="External"/><Relationship Id="rId118" Type="http://schemas.openxmlformats.org/officeDocument/2006/relationships/hyperlink" Target="http://www.sec.gov/Archives/edgar/data/1787306/000119312520010664/d784371dex1021.htm" TargetMode="External"/><Relationship Id="rId119" Type="http://schemas.openxmlformats.org/officeDocument/2006/relationships/hyperlink" Target="http://www.sec.gov/Archives/edgar/data/1787306/000119312520010664/d784371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2020-05-12T15:35:56Z</dcterms:created>
  <dcterms:modified xsi:type="dcterms:W3CDTF">2020-05-12T15:35:56Z</dcterms:modified>
</cp:coreProperties>
</file>