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18851.xml.htm"/>
      <w:bookmarkStart w:id="1" w:name="kswkform4_1784318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Peetz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ARCUTIS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3027 TOWNSGATE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Arcutis Biotherapeutics, Inc.</w:t>
              </w:r>
            </w:hyperlink>
            <w:r>
              <w:rPr/>
              <w:t xml:space="preserve"> [ </w:t>
            </w:r>
            <w:r>
              <w:rPr>
                <w:rFonts w:ascii="Times;serif" w:hAnsi="Times;serif"/>
                <w:color w:val="0000FF"/>
                <w:sz w:val="24"/>
                <w:shd w:fill="FFFFFF" w:val="clear"/>
              </w:rPr>
              <w:t>ARQT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4,315</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4,315</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Peetz Family Trust</w:t>
            </w:r>
            <w:r>
              <w:rPr>
                <w:rFonts w:ascii="Times;serif" w:hAnsi="Times;serif"/>
                <w:color w:val="008000"/>
                <w:position w:val="7"/>
                <w:sz w:val="16"/>
                <w:sz w:val="20"/>
                <w:shd w:fill="FFFFFF" w:val="clear"/>
              </w:rPr>
              <w:t>(2)</w:t>
            </w:r>
            <w:r>
              <w:rPr/>
              <w:t xml:space="preserve"> </w:t>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27.78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21,486</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27.78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13,010</w:t>
            </w:r>
            <w:r>
              <w:rPr>
                <w:rFonts w:ascii="Times;serif" w:hAnsi="Times;serif"/>
                <w:color w:val="008000"/>
                <w:position w:val="7"/>
                <w:sz w:val="16"/>
                <w:sz w:val="20"/>
                <w:shd w:fill="FFFFFF" w:val="clear"/>
              </w:rPr>
              <w:t>(4)</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in connection with the Reporting Person's service as a non-employee director of the Company. The Reporting Person is entitled to receive one (1) share of common stock for each one (1) RSU upon the vesting thereof, which shall occur on the earlier of June 5, 2027, or immediately before the next annual meeting of stockholders, subject to the director's continued service through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Peetz Family Trust dated February 15, 2017, of which the Reporting Person is a trustee.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1/3 each of the underlying shares subject to the option vest and become exercisable on the first annual anniversary of July 15, 2026 (the "Vesting Commencement Date"), such that 100% of the shares subject to the option will be fully vested and exercisable on the fourth anniversary of the Vesting Commencement Date, subject to the non-employee director's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underlying shares subject to the option vest and become exercisable as to 100% on the earlier of June 5, 2027, or immediately before the next annual meeting of stockholders, subject to the director's continued service through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/s/Latha Vairavan, as Attorney-in-Fact for Christopher Peetz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740" TargetMode="External"/><Relationship Id="rId5" Type="http://schemas.openxmlformats.org/officeDocument/2006/relationships/hyperlink" Target="http://www.sec.gov/cgi-bin/browse-edgar?action=getcompany&amp;CIK=00017873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856</Words>
  <Characters>4621</Characters>
  <CharactersWithSpaces>5395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