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5276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52767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12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SCOTT ROBERT A</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ARCUTIS BIOTHERAPEUTICS, INC.</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3027 TOWNSGATE ROAD,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Arcutis Biotherapeutics,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ARQT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5"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3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10/23/2026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43" w:lineRule="exact"/>
        <w:rPr>
          <w:sz w:val="24"/>
          <w:szCs w:val="24"/>
          <w:color w:val="auto"/>
        </w:rPr>
      </w:pPr>
    </w:p>
    <w:p>
      <w:pPr>
        <w:sectPr>
          <w:pgSz w:w="11900" w:h="16838" w:orient="portrait"/>
          <w:cols w:equalWidth="0" w:num="3">
            <w:col w:w="3200" w:space="720"/>
            <w:col w:w="3120" w:space="700"/>
            <w:col w:w="3340"/>
          </w:cols>
          <w:pgMar w:left="460" w:top="217" w:right="359" w:bottom="1129" w:gutter="0" w:footer="0" w:header="0"/>
          <w:type w:val="continuous"/>
        </w:sectPr>
      </w:pPr>
    </w:p>
    <w:tbl>
      <w:tblPr>
        <w:tblLayout w:type="fixed"/>
        <w:tblInd w:w="0" w:type="dxa"/>
        <w:tblCellMar>
          <w:top w:w="0" w:type="dxa"/>
          <w:left w:w="0" w:type="dxa"/>
          <w:bottom w:w="0" w:type="dxa"/>
          <w:right w:w="0" w:type="dxa"/>
        </w:tblCellMar>
      </w:tblP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80" w:type="dxa"/>
            <w:vAlign w:val="bottom"/>
            <w:gridSpan w:val="9"/>
            <w:vMerge w:val="restart"/>
          </w:tcPr>
          <w:p>
            <w:pPr>
              <w:jc w:val="center"/>
              <w:ind w:right="37"/>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1040" w:type="dxa"/>
            <w:vAlign w:val="bottom"/>
            <w:tcBorders>
              <w:top w:val="single" w:sz="8" w:color="EEEEEE"/>
            </w:tcBorders>
          </w:tcPr>
          <w:p>
            <w:pPr>
              <w:spacing w:after="0"/>
              <w:rPr>
                <w:sz w:val="2"/>
                <w:szCs w:val="2"/>
                <w:color w:val="auto"/>
              </w:rPr>
            </w:pPr>
          </w:p>
        </w:tc>
        <w:tc>
          <w:tcPr>
            <w:tcW w:w="1140" w:type="dxa"/>
            <w:vAlign w:val="bottom"/>
            <w:tcBorders>
              <w:top w:val="single" w:sz="8" w:color="EEEEEE"/>
            </w:tcBorders>
          </w:tcPr>
          <w:p>
            <w:pPr>
              <w:spacing w:after="0"/>
              <w:rPr>
                <w:sz w:val="2"/>
                <w:szCs w:val="2"/>
                <w:color w:val="auto"/>
              </w:rPr>
            </w:pPr>
          </w:p>
        </w:tc>
        <w:tc>
          <w:tcPr>
            <w:tcW w:w="100" w:type="dxa"/>
            <w:vAlign w:val="bottom"/>
            <w:tcBorders>
              <w:top w:val="single" w:sz="8" w:color="EEEEEE"/>
            </w:tcBorders>
          </w:tcPr>
          <w:p>
            <w:pPr>
              <w:spacing w:after="0"/>
              <w:rPr>
                <w:sz w:val="2"/>
                <w:szCs w:val="2"/>
                <w:color w:val="auto"/>
              </w:rPr>
            </w:pPr>
          </w:p>
        </w:tc>
        <w:tc>
          <w:tcPr>
            <w:tcW w:w="3680" w:type="dxa"/>
            <w:vAlign w:val="bottom"/>
            <w:gridSpan w:val="9"/>
            <w:vMerge w:val="continue"/>
          </w:tcPr>
          <w:p>
            <w:pPr>
              <w:spacing w:after="0"/>
              <w:rPr>
                <w:sz w:val="2"/>
                <w:szCs w:val="2"/>
                <w:color w:val="auto"/>
              </w:rPr>
            </w:pPr>
          </w:p>
        </w:tc>
        <w:tc>
          <w:tcPr>
            <w:tcW w:w="3640" w:type="dxa"/>
            <w:vAlign w:val="bottom"/>
            <w:gridSpan w:val="10"/>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WESTLAKE</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91361</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60" w:type="dxa"/>
            <w:vAlign w:val="bottom"/>
            <w:gridSpan w:val="7"/>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line="181" w:lineRule="exact"/>
              <w:rPr>
                <w:sz w:val="20"/>
                <w:szCs w:val="20"/>
                <w:color w:val="auto"/>
              </w:rPr>
            </w:pPr>
            <w:r>
              <w:rPr>
                <w:rFonts w:ascii="Times New Roman" w:cs="Times New Roman" w:eastAsia="Times New Roman" w:hAnsi="Times New Roman"/>
                <w:sz w:val="17"/>
                <w:szCs w:val="17"/>
                <w:color w:val="0000FF"/>
              </w:rPr>
              <w:t>VILLAGE</w:t>
            </w:r>
          </w:p>
        </w:tc>
        <w:tc>
          <w:tcPr>
            <w:tcW w:w="118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9A9A9A"/>
            </w:tcBorders>
          </w:tcPr>
          <w:p>
            <w:pPr>
              <w:spacing w:after="0"/>
              <w:rPr>
                <w:sz w:val="2"/>
                <w:szCs w:val="2"/>
                <w:color w:val="auto"/>
              </w:rPr>
            </w:pPr>
          </w:p>
        </w:tc>
        <w:tc>
          <w:tcPr>
            <w:tcW w:w="640" w:type="dxa"/>
            <w:vAlign w:val="bottom"/>
            <w:tcBorders>
              <w:bottom w:val="single" w:sz="8" w:color="9A9A9A"/>
            </w:tcBorders>
          </w:tcPr>
          <w:p>
            <w:pPr>
              <w:spacing w:after="0"/>
              <w:rPr>
                <w:sz w:val="2"/>
                <w:szCs w:val="2"/>
                <w:color w:val="auto"/>
              </w:rPr>
            </w:pPr>
          </w:p>
        </w:tc>
        <w:tc>
          <w:tcPr>
            <w:tcW w:w="1180" w:type="dxa"/>
            <w:vAlign w:val="bottom"/>
            <w:tcBorders>
              <w:bottom w:val="single" w:sz="8" w:color="9A9A9A"/>
            </w:tcBorders>
            <w:gridSpan w:val="2"/>
          </w:tcPr>
          <w:p>
            <w:pPr>
              <w:spacing w:after="0"/>
              <w:rPr>
                <w:sz w:val="2"/>
                <w:szCs w:val="2"/>
                <w:color w:val="auto"/>
              </w:rPr>
            </w:pPr>
          </w:p>
        </w:tc>
        <w:tc>
          <w:tcPr>
            <w:tcW w:w="1140" w:type="dxa"/>
            <w:vAlign w:val="bottom"/>
            <w:tcBorders>
              <w:bottom w:val="single" w:sz="8" w:color="9A9A9A"/>
            </w:tcBorders>
          </w:tcPr>
          <w:p>
            <w:pPr>
              <w:spacing w:after="0"/>
              <w:rPr>
                <w:sz w:val="2"/>
                <w:szCs w:val="2"/>
                <w:color w:val="auto"/>
              </w:rPr>
            </w:pPr>
          </w:p>
        </w:tc>
        <w:tc>
          <w:tcPr>
            <w:tcW w:w="100" w:type="dxa"/>
            <w:vAlign w:val="bottom"/>
            <w:tcBorders>
              <w:bottom w:val="single" w:sz="8" w:color="9A9A9A"/>
            </w:tcBorders>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6"/>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6"/>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10/23/2026</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w w:val="91"/>
              </w:rPr>
              <w:t>2,819</w:t>
            </w:r>
            <w:r>
              <w:rPr>
                <w:rFonts w:ascii="Times New Roman" w:cs="Times New Roman" w:eastAsia="Times New Roman" w:hAnsi="Times New Roman"/>
                <w:sz w:val="21"/>
                <w:szCs w:val="21"/>
                <w:color w:val="008000"/>
                <w:w w:val="91"/>
                <w:vertAlign w:val="superscript"/>
              </w:rPr>
              <w:t>(1)</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ind w:right="14"/>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2,819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5"/>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3"/>
          </w:tcPr>
          <w:p>
            <w:pPr>
              <w:jc w:val="center"/>
              <w:ind w:left="47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31.2</w:t>
            </w:r>
          </w:p>
        </w:tc>
        <w:tc>
          <w:tcPr>
            <w:tcW w:w="140" w:type="dxa"/>
            <w:vAlign w:val="bottom"/>
          </w:tcPr>
          <w:p>
            <w:pPr>
              <w:spacing w:after="0"/>
              <w:rPr>
                <w:sz w:val="16"/>
                <w:szCs w:val="16"/>
                <w:color w:val="auto"/>
              </w:rPr>
            </w:pPr>
          </w:p>
        </w:tc>
        <w:tc>
          <w:tcPr>
            <w:tcW w:w="104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0000FF"/>
              </w:rPr>
              <w:t>10/23/2026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jc w:val="right"/>
              <w:ind w:right="21"/>
              <w:spacing w:after="0"/>
              <w:rPr>
                <w:sz w:val="20"/>
                <w:szCs w:val="20"/>
                <w:color w:val="auto"/>
              </w:rPr>
            </w:pPr>
            <w:r>
              <w:rPr>
                <w:rFonts w:ascii="Times New Roman" w:cs="Times New Roman" w:eastAsia="Times New Roman" w:hAnsi="Times New Roman"/>
                <w:sz w:val="13"/>
                <w:szCs w:val="13"/>
                <w:color w:val="0000FF"/>
              </w:rPr>
              <w:t>20,507</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10/23/2036</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4"/>
              <w:spacing w:after="0" w:line="194" w:lineRule="exact"/>
              <w:rPr>
                <w:sz w:val="20"/>
                <w:szCs w:val="20"/>
                <w:color w:val="auto"/>
              </w:rPr>
            </w:pPr>
            <w:r>
              <w:rPr>
                <w:rFonts w:ascii="Times New Roman" w:cs="Times New Roman" w:eastAsia="Times New Roman" w:hAnsi="Times New Roman"/>
                <w:sz w:val="17"/>
                <w:szCs w:val="17"/>
                <w:color w:val="0000FF"/>
                <w:w w:val="94"/>
              </w:rPr>
              <w:t>20,507</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20,507</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ind w:left="4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31.2</w:t>
            </w:r>
          </w:p>
        </w:tc>
        <w:tc>
          <w:tcPr>
            <w:tcW w:w="140" w:type="dxa"/>
            <w:vAlign w:val="bottom"/>
          </w:tcPr>
          <w:p>
            <w:pPr>
              <w:spacing w:after="0"/>
              <w:rPr>
                <w:sz w:val="12"/>
                <w:szCs w:val="12"/>
                <w:color w:val="auto"/>
              </w:rPr>
            </w:pPr>
          </w:p>
        </w:tc>
        <w:tc>
          <w:tcPr>
            <w:tcW w:w="1040" w:type="dxa"/>
            <w:vAlign w:val="bottom"/>
            <w:vMerge w:val="restart"/>
          </w:tcPr>
          <w:p>
            <w:pPr>
              <w:jc w:val="right"/>
              <w:ind w:right="136"/>
              <w:spacing w:after="0"/>
              <w:rPr>
                <w:sz w:val="20"/>
                <w:szCs w:val="20"/>
                <w:color w:val="auto"/>
              </w:rPr>
            </w:pPr>
            <w:r>
              <w:rPr>
                <w:rFonts w:ascii="Times New Roman" w:cs="Times New Roman" w:eastAsia="Times New Roman" w:hAnsi="Times New Roman"/>
                <w:sz w:val="13"/>
                <w:szCs w:val="13"/>
                <w:color w:val="0000FF"/>
              </w:rPr>
              <w:t>10/23/2026</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jc w:val="right"/>
              <w:ind w:right="41"/>
              <w:spacing w:after="0"/>
              <w:rPr>
                <w:sz w:val="20"/>
                <w:szCs w:val="20"/>
                <w:color w:val="auto"/>
              </w:rPr>
            </w:pPr>
            <w:r>
              <w:rPr>
                <w:rFonts w:ascii="Times New Roman" w:cs="Times New Roman" w:eastAsia="Times New Roman" w:hAnsi="Times New Roman"/>
                <w:sz w:val="13"/>
                <w:szCs w:val="13"/>
                <w:color w:val="0000FF"/>
              </w:rPr>
              <w:t>8,663</w:t>
            </w: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10/23/2036</w:t>
            </w: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8,663</w:t>
            </w:r>
          </w:p>
        </w:tc>
        <w:tc>
          <w:tcPr>
            <w:tcW w:w="60" w:type="dxa"/>
            <w:vAlign w:val="bottom"/>
          </w:tcPr>
          <w:p>
            <w:pPr>
              <w:spacing w:after="0"/>
              <w:rPr>
                <w:sz w:val="12"/>
                <w:szCs w:val="12"/>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8,663</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4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granted in connection with the Reporting Person's service as a non-employee director of the Company. The Reporting Person is entitled to receive one (1) share of common stock for each one (1) RSU upon the vesting thereof, which shall occur on the earlier of June 5, 2027, or immediately before the next annual meeting of stockholders, subject to the director's continued service through the vesting date.</w:t>
      </w:r>
    </w:p>
    <w:p>
      <w:pPr>
        <w:spacing w:after="0" w:line="26" w:lineRule="exact"/>
        <w:rPr>
          <w:rFonts w:ascii="Times New Roman" w:cs="Times New Roman" w:eastAsia="Times New Roman" w:hAnsi="Times New Roman"/>
          <w:sz w:val="13"/>
          <w:szCs w:val="13"/>
          <w:color w:val="008000"/>
        </w:rPr>
      </w:pPr>
    </w:p>
    <w:p>
      <w:pPr>
        <w:ind w:left="40" w:right="34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1/3 each of the underlying shares subject to the option vest and become exercisable on the first annual anniversary of October 23, 2026 (the "Vesting Commencement Date"), such that 100% of the shares subject to the option will be fully vested and exercisable on the third anniversary of the Vesting Commencement Date, subject to the non-employee director's continued service through each applicable vesting date.</w:t>
      </w:r>
    </w:p>
    <w:p>
      <w:pPr>
        <w:spacing w:after="0" w:line="26" w:lineRule="exact"/>
        <w:rPr>
          <w:rFonts w:ascii="Times New Roman" w:cs="Times New Roman" w:eastAsia="Times New Roman" w:hAnsi="Times New Roman"/>
          <w:sz w:val="13"/>
          <w:szCs w:val="13"/>
          <w:color w:val="008000"/>
        </w:rPr>
      </w:pPr>
    </w:p>
    <w:p>
      <w:pPr>
        <w:ind w:left="40" w:right="48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underlying shares subject to the option vest and become exercisable as to 100% on the earlier of June 5, 2027, or immediately before the next annual meeting of stockholders, subject to the director's continued service through the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2" w:lineRule="auto"/>
        <w:rPr>
          <w:sz w:val="20"/>
          <w:szCs w:val="20"/>
          <w:color w:val="auto"/>
        </w:rPr>
      </w:pPr>
      <w:r>
        <w:rPr>
          <w:rFonts w:ascii="Times New Roman" w:cs="Times New Roman" w:eastAsia="Times New Roman" w:hAnsi="Times New Roman"/>
          <w:sz w:val="17"/>
          <w:szCs w:val="17"/>
          <w:color w:val="0000FF"/>
        </w:rPr>
        <w:t xml:space="preserve">/s/ Latha Vairavan, as Attorney- </w:t>
      </w:r>
      <w:r>
        <w:rPr>
          <w:rFonts w:ascii="Times New Roman" w:cs="Times New Roman" w:eastAsia="Times New Roman" w:hAnsi="Times New Roman"/>
          <w:sz w:val="33"/>
          <w:szCs w:val="33"/>
          <w:color w:val="0000FF"/>
          <w:vertAlign w:val="subscript"/>
        </w:rPr>
        <w:t>10/28/2026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569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699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Robert A. Scott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1442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4427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12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248520" TargetMode="External"/><Relationship Id="rId14" Type="http://schemas.openxmlformats.org/officeDocument/2006/relationships/hyperlink" Target="http://www.sec.gov/cgi-bin/browse-edgar?action=getcompany&amp;CIK=000178730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2026-10-28T15:29:22Z</dcterms:created>
  <dcterms:modified xsi:type="dcterms:W3CDTF">2026-10-28T15:29:22Z</dcterms:modified>
</cp:coreProperties>
</file>