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7"/>
          <w:szCs w:val="27"/>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2384425</wp:posOffset>
            </wp:positionH>
            <wp:positionV relativeFrom="paragraph">
              <wp:posOffset>25400</wp:posOffset>
            </wp:positionV>
            <wp:extent cx="2374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-186690</wp:posOffset>
            </wp:positionV>
            <wp:extent cx="2374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9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9" w:lineRule="exact"/>
        <w:rPr>
          <w:sz w:val="24"/>
          <w:szCs w:val="24"/>
          <w:color w:val="auto"/>
        </w:rPr>
      </w:pPr>
    </w:p>
    <w:p>
      <w:pPr>
        <w:ind w:left="1200" w:hanging="194"/>
        <w:spacing w:after="0"/>
        <w:tabs>
          <w:tab w:leader="none" w:pos="1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2026</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 w:lineRule="exact"/>
        <w:rPr>
          <w:sz w:val="24"/>
          <w:szCs w:val="24"/>
          <w:color w:val="auto"/>
        </w:rPr>
      </w:pPr>
    </w:p>
    <w:p>
      <w:pPr>
        <w:ind w:left="1200" w:hanging="207"/>
        <w:spacing w:after="0"/>
        <w:tabs>
          <w:tab w:leader="none" w:pos="12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transition period from to</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001-39186</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-189865</wp:posOffset>
            </wp:positionV>
            <wp:extent cx="2382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19" w:lineRule="exact"/>
        <w:rPr>
          <w:sz w:val="24"/>
          <w:szCs w:val="24"/>
          <w:color w:val="auto"/>
        </w:rPr>
      </w:pPr>
    </w:p>
    <w:tbl>
      <w:tblPr>
        <w:tblLayout w:type="fixed"/>
        <w:tblInd w:w="760" w:type="dxa"/>
        <w:tblCellMar>
          <w:top w:w="0" w:type="dxa"/>
          <w:left w:w="0" w:type="dxa"/>
          <w:bottom w:w="0" w:type="dxa"/>
          <w:right w:w="0" w:type="dxa"/>
        </w:tblCellMar>
      </w:tblPr>
      <w:tr>
        <w:trPr>
          <w:trHeight w:val="202"/>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320" w:type="dxa"/>
            <w:vAlign w:val="bottom"/>
            <w:gridSpan w:val="6"/>
          </w:tcPr>
          <w:p>
            <w:pPr>
              <w:ind w:left="8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302"/>
        </w:trPr>
        <w:tc>
          <w:tcPr>
            <w:tcW w:w="980" w:type="dxa"/>
            <w:vAlign w:val="bottom"/>
          </w:tcPr>
          <w:p>
            <w:pPr>
              <w:spacing w:after="0"/>
              <w:rPr>
                <w:sz w:val="24"/>
                <w:szCs w:val="24"/>
                <w:color w:val="auto"/>
              </w:rPr>
            </w:pPr>
          </w:p>
        </w:tc>
        <w:tc>
          <w:tcPr>
            <w:tcW w:w="2000" w:type="dxa"/>
            <w:vAlign w:val="bottom"/>
            <w:gridSpan w:val="2"/>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right"/>
              <w:ind w:right="1383"/>
              <w:spacing w:after="0"/>
              <w:rPr>
                <w:sz w:val="20"/>
                <w:szCs w:val="20"/>
                <w:color w:val="auto"/>
              </w:rPr>
            </w:pPr>
            <w:r>
              <w:rPr>
                <w:rFonts w:ascii="Times New Roman" w:cs="Times New Roman" w:eastAsia="Times New Roman" w:hAnsi="Times New Roman"/>
                <w:sz w:val="15"/>
                <w:szCs w:val="15"/>
                <w:b w:val="1"/>
                <w:bCs w:val="1"/>
                <w:color w:val="auto"/>
              </w:rPr>
              <w:t>81-2974255</w:t>
            </w:r>
          </w:p>
        </w:tc>
      </w:tr>
      <w:tr>
        <w:trPr>
          <w:trHeight w:val="204"/>
        </w:trPr>
        <w:tc>
          <w:tcPr>
            <w:tcW w:w="418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 or Organization)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160" w:type="dxa"/>
            <w:vAlign w:val="bottom"/>
            <w:gridSpan w:val="4"/>
          </w:tcPr>
          <w:p>
            <w:pPr>
              <w:ind w:left="1060"/>
              <w:spacing w:after="0"/>
              <w:rPr>
                <w:sz w:val="20"/>
                <w:szCs w:val="20"/>
                <w:color w:val="auto"/>
              </w:rPr>
            </w:pPr>
            <w:r>
              <w:rPr>
                <w:rFonts w:ascii="Times New Roman" w:cs="Times New Roman" w:eastAsia="Times New Roman" w:hAnsi="Times New Roman"/>
                <w:sz w:val="15"/>
                <w:szCs w:val="15"/>
                <w:b w:val="1"/>
                <w:bCs w:val="1"/>
                <w:color w:val="auto"/>
              </w:rPr>
              <w:t>(I.R.S. Employer Identification Number)</w:t>
            </w:r>
          </w:p>
        </w:tc>
      </w:tr>
      <w:tr>
        <w:trPr>
          <w:trHeight w:val="183"/>
        </w:trPr>
        <w:tc>
          <w:tcPr>
            <w:tcW w:w="980" w:type="dxa"/>
            <w:vAlign w:val="bottom"/>
          </w:tcPr>
          <w:p>
            <w:pPr>
              <w:spacing w:after="0"/>
              <w:rPr>
                <w:sz w:val="15"/>
                <w:szCs w:val="15"/>
                <w:color w:val="auto"/>
              </w:rPr>
            </w:pPr>
          </w:p>
        </w:tc>
        <w:tc>
          <w:tcPr>
            <w:tcW w:w="3200" w:type="dxa"/>
            <w:vAlign w:val="bottom"/>
            <w:gridSpan w:val="3"/>
          </w:tcPr>
          <w:p>
            <w:pPr>
              <w:jc w:val="center"/>
              <w:ind w:right="963"/>
              <w:spacing w:after="0"/>
              <w:rPr>
                <w:sz w:val="20"/>
                <w:szCs w:val="20"/>
                <w:color w:val="auto"/>
              </w:rPr>
            </w:pPr>
            <w:r>
              <w:rPr>
                <w:rFonts w:ascii="Times New Roman" w:cs="Times New Roman" w:eastAsia="Times New Roman" w:hAnsi="Times New Roman"/>
                <w:sz w:val="15"/>
                <w:szCs w:val="15"/>
                <w:b w:val="1"/>
                <w:bCs w:val="1"/>
                <w:color w:val="auto"/>
              </w:rPr>
              <w:t>3027 Townsgate Road Suite 300</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2"/>
          </w:tcPr>
          <w:p>
            <w:pPr>
              <w:jc w:val="right"/>
              <w:ind w:right="1563"/>
              <w:spacing w:after="0"/>
              <w:rPr>
                <w:sz w:val="20"/>
                <w:szCs w:val="20"/>
                <w:color w:val="auto"/>
              </w:rPr>
            </w:pPr>
            <w:r>
              <w:rPr>
                <w:rFonts w:ascii="Times New Roman" w:cs="Times New Roman" w:eastAsia="Times New Roman" w:hAnsi="Times New Roman"/>
                <w:sz w:val="15"/>
                <w:szCs w:val="15"/>
                <w:b w:val="1"/>
                <w:bCs w:val="1"/>
                <w:color w:val="auto"/>
              </w:rPr>
              <w:t>91361</w:t>
            </w:r>
          </w:p>
        </w:tc>
      </w:tr>
      <w:tr>
        <w:trPr>
          <w:trHeight w:val="190"/>
        </w:trPr>
        <w:tc>
          <w:tcPr>
            <w:tcW w:w="980" w:type="dxa"/>
            <w:vAlign w:val="bottom"/>
          </w:tcPr>
          <w:p>
            <w:pPr>
              <w:spacing w:after="0"/>
              <w:rPr>
                <w:sz w:val="16"/>
                <w:szCs w:val="16"/>
                <w:color w:val="auto"/>
              </w:rPr>
            </w:pPr>
          </w:p>
        </w:tc>
        <w:tc>
          <w:tcPr>
            <w:tcW w:w="3200" w:type="dxa"/>
            <w:vAlign w:val="bottom"/>
            <w:gridSpan w:val="3"/>
          </w:tcPr>
          <w:p>
            <w:pPr>
              <w:jc w:val="center"/>
              <w:ind w:right="983"/>
              <w:spacing w:after="0"/>
              <w:rPr>
                <w:sz w:val="20"/>
                <w:szCs w:val="20"/>
                <w:color w:val="auto"/>
              </w:rPr>
            </w:pPr>
            <w:r>
              <w:rPr>
                <w:rFonts w:ascii="Times New Roman" w:cs="Times New Roman" w:eastAsia="Times New Roman" w:hAnsi="Times New Roman"/>
                <w:sz w:val="15"/>
                <w:szCs w:val="15"/>
                <w:b w:val="1"/>
                <w:bCs w:val="1"/>
                <w:color w:val="auto"/>
              </w:rPr>
              <w:t>Westlake Village, California</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(Zip Code)</w:t>
            </w:r>
          </w:p>
        </w:tc>
      </w:tr>
      <w:tr>
        <w:trPr>
          <w:trHeight w:val="204"/>
        </w:trPr>
        <w:tc>
          <w:tcPr>
            <w:tcW w:w="418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60"/>
        </w:trPr>
        <w:tc>
          <w:tcPr>
            <w:tcW w:w="9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560" w:type="dxa"/>
            <w:vAlign w:val="bottom"/>
            <w:gridSpan w:val="3"/>
          </w:tcPr>
          <w:p>
            <w:pPr>
              <w:jc w:val="center"/>
              <w:ind w:right="1123"/>
              <w:spacing w:after="0"/>
              <w:rPr>
                <w:sz w:val="20"/>
                <w:szCs w:val="20"/>
                <w:color w:val="auto"/>
              </w:rPr>
            </w:pPr>
            <w:r>
              <w:rPr>
                <w:rFonts w:ascii="Times New Roman" w:cs="Times New Roman" w:eastAsia="Times New Roman" w:hAnsi="Times New Roman"/>
                <w:sz w:val="15"/>
                <w:szCs w:val="15"/>
                <w:b w:val="1"/>
                <w:bCs w:val="1"/>
                <w:color w:val="auto"/>
              </w:rPr>
              <w:t>(805) 418-5006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4"/>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80" w:type="dxa"/>
            <w:vAlign w:val="bottom"/>
            <w:gridSpan w:val="5"/>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tc>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13"/>
        </w:trPr>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60" w:type="dxa"/>
            <w:vAlign w:val="bottom"/>
            <w:gridSpan w:val="6"/>
          </w:tcPr>
          <w:p>
            <w:pPr>
              <w:jc w:val="center"/>
              <w:ind w:left="803"/>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3"/>
        </w:trPr>
        <w:tc>
          <w:tcPr>
            <w:tcW w:w="4180" w:type="dxa"/>
            <w:vAlign w:val="bottom"/>
            <w:gridSpan w:val="4"/>
          </w:tcPr>
          <w:p>
            <w:pPr>
              <w:jc w:val="center"/>
              <w:ind w:right="1123"/>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00" w:type="dxa"/>
            <w:vAlign w:val="bottom"/>
          </w:tcPr>
          <w:p>
            <w:pPr>
              <w:spacing w:after="0"/>
              <w:rPr>
                <w:sz w:val="15"/>
                <w:szCs w:val="15"/>
                <w:color w:val="auto"/>
              </w:rPr>
            </w:pPr>
          </w:p>
        </w:tc>
        <w:tc>
          <w:tcPr>
            <w:tcW w:w="248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640" w:type="dxa"/>
            <w:vAlign w:val="bottom"/>
            <w:gridSpan w:val="2"/>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51"/>
        </w:trPr>
        <w:tc>
          <w:tcPr>
            <w:tcW w:w="4180" w:type="dxa"/>
            <w:vAlign w:val="bottom"/>
            <w:gridSpan w:val="4"/>
          </w:tcPr>
          <w:p>
            <w:pPr>
              <w:jc w:val="center"/>
              <w:ind w:right="1123"/>
              <w:spacing w:after="0"/>
              <w:rPr>
                <w:sz w:val="20"/>
                <w:szCs w:val="20"/>
                <w:color w:val="auto"/>
              </w:rPr>
            </w:pPr>
            <w:r>
              <w:rPr>
                <w:rFonts w:ascii="Times New Roman" w:cs="Times New Roman" w:eastAsia="Times New Roman" w:hAnsi="Times New Roman"/>
                <w:sz w:val="15"/>
                <w:szCs w:val="15"/>
                <w:b w:val="1"/>
                <w:bCs w:val="1"/>
                <w:color w:val="auto"/>
              </w:rPr>
              <w:t>Common Stock, par value $0.0001</w:t>
            </w:r>
          </w:p>
        </w:tc>
        <w:tc>
          <w:tcPr>
            <w:tcW w:w="200" w:type="dxa"/>
            <w:vAlign w:val="bottom"/>
          </w:tcPr>
          <w:p>
            <w:pPr>
              <w:spacing w:after="0"/>
              <w:rPr>
                <w:sz w:val="21"/>
                <w:szCs w:val="21"/>
                <w:color w:val="auto"/>
              </w:rPr>
            </w:pPr>
          </w:p>
        </w:tc>
        <w:tc>
          <w:tcPr>
            <w:tcW w:w="2480" w:type="dxa"/>
            <w:vAlign w:val="bottom"/>
            <w:gridSpan w:val="3"/>
          </w:tcPr>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ARQT</w:t>
            </w:r>
          </w:p>
        </w:tc>
        <w:tc>
          <w:tcPr>
            <w:tcW w:w="10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bl>
    <w:p>
      <w:pPr>
        <w:spacing w:after="0" w:line="284" w:lineRule="exact"/>
        <w:rPr>
          <w:sz w:val="24"/>
          <w:szCs w:val="24"/>
          <w:color w:val="auto"/>
        </w:rPr>
      </w:pPr>
    </w:p>
    <w:p>
      <w:pPr>
        <w:ind w:right="26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40"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60" w:type="dxa"/>
            <w:vAlign w:val="bottom"/>
          </w:tcPr>
          <w:p>
            <w:pPr>
              <w:ind w:left="1160"/>
              <w:spacing w:after="0" w:line="151" w:lineRule="exact"/>
              <w:rPr>
                <w:sz w:val="20"/>
                <w:szCs w:val="20"/>
                <w:color w:val="auto"/>
              </w:rPr>
            </w:pPr>
            <w:r>
              <w:rPr>
                <w:rFonts w:ascii="MS PGothic" w:cs="MS PGothic" w:eastAsia="MS PGothic" w:hAnsi="MS PGothic"/>
                <w:sz w:val="15"/>
                <w:szCs w:val="15"/>
                <w:color w:val="auto"/>
              </w:rPr>
              <w:t>☒</w:t>
            </w:r>
          </w:p>
        </w:tc>
        <w:tc>
          <w:tcPr>
            <w:tcW w:w="374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60" w:type="dxa"/>
            <w:vAlign w:val="bottom"/>
          </w:tcPr>
          <w:p>
            <w:pPr>
              <w:ind w:left="1160"/>
              <w:spacing w:after="0" w:line="151" w:lineRule="exact"/>
              <w:rPr>
                <w:sz w:val="20"/>
                <w:szCs w:val="20"/>
                <w:color w:val="auto"/>
              </w:rPr>
            </w:pPr>
            <w:r>
              <w:rPr>
                <w:rFonts w:ascii="MS PGothic" w:cs="MS PGothic" w:eastAsia="MS PGothic" w:hAnsi="MS PGothic"/>
                <w:sz w:val="15"/>
                <w:szCs w:val="15"/>
                <w:color w:val="auto"/>
              </w:rPr>
              <w:t>☐</w:t>
            </w:r>
          </w:p>
        </w:tc>
        <w:tc>
          <w:tcPr>
            <w:tcW w:w="374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5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74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Emerging growth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37"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ind w:right="3320"/>
        <w:spacing w:after="0" w:line="26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The number of shares of the registrant’s Common Stock outstanding as of April 30, 2026 was 125,083,374.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375920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24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commercialization of approved products, and our objectives for future operations.</w:t>
      </w:r>
    </w:p>
    <w:p>
      <w:pPr>
        <w:spacing w:after="0" w:line="205"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March 31, 2026.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1"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656590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43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PART I</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2.</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3.</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4.</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PART II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1A.</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2.</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3.</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4.</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5.</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Item 6.</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INDEX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gridSpan w:val="7"/>
            <w:vMerge w:val="restart"/>
          </w:tcPr>
          <w:p>
            <w:pPr>
              <w:spacing w:after="0"/>
              <w:rPr>
                <w:sz w:val="20"/>
                <w:szCs w:val="20"/>
                <w:color w:val="auto"/>
              </w:rPr>
            </w:pPr>
            <w:r>
              <w:rPr>
                <w:rFonts w:ascii="Arial" w:cs="Arial" w:eastAsia="Arial" w:hAnsi="Arial"/>
                <w:sz w:val="17"/>
                <w:szCs w:val="17"/>
                <w:color w:val="0000FF"/>
                <w:w w:val="99"/>
              </w:rPr>
              <w:t>FINANCIAL INFORMATION</w:t>
            </w:r>
          </w:p>
        </w:tc>
        <w:tc>
          <w:tcPr>
            <w:tcW w:w="5960" w:type="dxa"/>
            <w:vAlign w:val="bottom"/>
            <w:gridSpan w:val="11"/>
            <w:vMerge w:val="restart"/>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0000FF"/>
            </w:tcBorders>
            <w:gridSpan w:val="7"/>
            <w:vMerge w:val="continue"/>
          </w:tcPr>
          <w:p>
            <w:pPr>
              <w:spacing w:after="0"/>
              <w:rPr>
                <w:sz w:val="14"/>
                <w:szCs w:val="14"/>
                <w:color w:val="auto"/>
              </w:rPr>
            </w:pPr>
          </w:p>
        </w:tc>
        <w:tc>
          <w:tcPr>
            <w:tcW w:w="5960" w:type="dxa"/>
            <w:vAlign w:val="bottom"/>
            <w:gridSpan w:val="11"/>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256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Financial Statements (Unaudited)</w:t>
            </w:r>
          </w:p>
        </w:tc>
        <w:tc>
          <w:tcPr>
            <w:tcW w:w="5540" w:type="dxa"/>
            <w:vAlign w:val="bottom"/>
            <w:gridSpan w:val="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1</w:t>
            </w:r>
          </w:p>
        </w:tc>
        <w:tc>
          <w:tcPr>
            <w:tcW w:w="0" w:type="dxa"/>
            <w:vAlign w:val="bottom"/>
          </w:tcPr>
          <w:p>
            <w:pPr>
              <w:spacing w:after="0"/>
              <w:rPr>
                <w:sz w:val="1"/>
                <w:szCs w:val="1"/>
                <w:color w:val="auto"/>
              </w:rPr>
            </w:pPr>
          </w:p>
        </w:tc>
      </w:tr>
      <w:tr>
        <w:trPr>
          <w:trHeight w:val="225"/>
        </w:trPr>
        <w:tc>
          <w:tcPr>
            <w:tcW w:w="8100" w:type="dxa"/>
            <w:vAlign w:val="bottom"/>
            <w:gridSpan w:val="18"/>
          </w:tcPr>
          <w:p>
            <w:pPr>
              <w:spacing w:after="0"/>
              <w:rPr>
                <w:sz w:val="20"/>
                <w:szCs w:val="20"/>
                <w:color w:val="auto"/>
              </w:rPr>
            </w:pPr>
            <w:r>
              <w:rPr>
                <w:rFonts w:ascii="Arial" w:cs="Arial" w:eastAsia="Arial" w:hAnsi="Arial"/>
                <w:sz w:val="17"/>
                <w:szCs w:val="17"/>
                <w:color w:val="0000FF"/>
              </w:rPr>
              <w:t>Condensed Consolidated Balance Sheets</w:t>
            </w:r>
          </w:p>
        </w:tc>
        <w:tc>
          <w:tcPr>
            <w:tcW w:w="1740" w:type="dxa"/>
            <w:vAlign w:val="bottom"/>
          </w:tcPr>
          <w:p>
            <w:pPr>
              <w:jc w:val="right"/>
              <w:spacing w:after="0"/>
              <w:rPr>
                <w:sz w:val="20"/>
                <w:szCs w:val="20"/>
                <w:color w:val="auto"/>
              </w:rPr>
            </w:pPr>
            <w:r>
              <w:rPr>
                <w:rFonts w:ascii="Arial" w:cs="Arial" w:eastAsia="Arial" w:hAnsi="Arial"/>
                <w:sz w:val="17"/>
                <w:szCs w:val="17"/>
                <w:color w:val="0000FF"/>
              </w:rPr>
              <w:t>1</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100" w:type="dxa"/>
            <w:vAlign w:val="bottom"/>
            <w:gridSpan w:val="18"/>
          </w:tcPr>
          <w:p>
            <w:pPr>
              <w:spacing w:after="0"/>
              <w:rPr>
                <w:sz w:val="20"/>
                <w:szCs w:val="20"/>
                <w:color w:val="auto"/>
              </w:rPr>
            </w:pPr>
            <w:r>
              <w:rPr>
                <w:rFonts w:ascii="Arial" w:cs="Arial" w:eastAsia="Arial" w:hAnsi="Arial"/>
                <w:sz w:val="17"/>
                <w:szCs w:val="17"/>
                <w:color w:val="0000FF"/>
              </w:rPr>
              <w:t>Condensed Consolidated Statements of Operations and Comprehensive Loss</w:t>
            </w:r>
          </w:p>
        </w:tc>
        <w:tc>
          <w:tcPr>
            <w:tcW w:w="1740" w:type="dxa"/>
            <w:vAlign w:val="bottom"/>
          </w:tcPr>
          <w:p>
            <w:pPr>
              <w:jc w:val="right"/>
              <w:spacing w:after="0"/>
              <w:rPr>
                <w:sz w:val="20"/>
                <w:szCs w:val="20"/>
                <w:color w:val="auto"/>
              </w:rPr>
            </w:pPr>
            <w:r>
              <w:rPr>
                <w:rFonts w:ascii="Arial" w:cs="Arial" w:eastAsia="Arial" w:hAnsi="Arial"/>
                <w:sz w:val="17"/>
                <w:szCs w:val="17"/>
                <w:color w:val="0000FF"/>
              </w:rPr>
              <w:t>2</w:t>
            </w:r>
          </w:p>
        </w:tc>
        <w:tc>
          <w:tcPr>
            <w:tcW w:w="0" w:type="dxa"/>
            <w:vAlign w:val="bottom"/>
          </w:tcPr>
          <w:p>
            <w:pPr>
              <w:spacing w:after="0"/>
              <w:rPr>
                <w:sz w:val="1"/>
                <w:szCs w:val="1"/>
                <w:color w:val="auto"/>
              </w:rPr>
            </w:pPr>
          </w:p>
        </w:tc>
      </w:tr>
      <w:tr>
        <w:trPr>
          <w:trHeight w:val="199"/>
        </w:trPr>
        <w:tc>
          <w:tcPr>
            <w:tcW w:w="55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7"/>
                <w:szCs w:val="17"/>
                <w:color w:val="0000FF"/>
              </w:rPr>
              <w:t>Condensed Consolidated Statements of Changes in Stockholders’ Equity</w:t>
            </w:r>
          </w:p>
        </w:tc>
        <w:tc>
          <w:tcPr>
            <w:tcW w:w="360" w:type="dxa"/>
            <w:vAlign w:val="bottom"/>
            <w:tcBorders>
              <w:top w:val="single" w:sz="8" w:color="0000FF"/>
            </w:tcBorders>
          </w:tcPr>
          <w:p>
            <w:pPr>
              <w:spacing w:after="0"/>
              <w:rPr>
                <w:sz w:val="17"/>
                <w:szCs w:val="17"/>
                <w:color w:val="auto"/>
              </w:rPr>
            </w:pPr>
          </w:p>
        </w:tc>
        <w:tc>
          <w:tcPr>
            <w:tcW w:w="2180" w:type="dxa"/>
            <w:vAlign w:val="bottom"/>
            <w:gridSpan w:val="2"/>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199"/>
        </w:trPr>
        <w:tc>
          <w:tcPr>
            <w:tcW w:w="8100" w:type="dxa"/>
            <w:vAlign w:val="bottom"/>
            <w:gridSpan w:val="18"/>
          </w:tcPr>
          <w:p>
            <w:pPr>
              <w:spacing w:after="0"/>
              <w:rPr>
                <w:sz w:val="20"/>
                <w:szCs w:val="20"/>
                <w:color w:val="auto"/>
              </w:rPr>
            </w:pPr>
            <w:r>
              <w:rPr>
                <w:rFonts w:ascii="Arial" w:cs="Arial" w:eastAsia="Arial" w:hAnsi="Arial"/>
                <w:sz w:val="17"/>
                <w:szCs w:val="17"/>
                <w:color w:val="0000FF"/>
              </w:rPr>
              <w:t>Condensed Consolidated Statements of Cash Flows</w:t>
            </w:r>
          </w:p>
        </w:tc>
        <w:tc>
          <w:tcPr>
            <w:tcW w:w="1740" w:type="dxa"/>
            <w:vAlign w:val="bottom"/>
          </w:tcPr>
          <w:p>
            <w:pPr>
              <w:jc w:val="right"/>
              <w:spacing w:after="0"/>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28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3820" w:type="dxa"/>
            <w:vAlign w:val="bottom"/>
            <w:gridSpan w:val="6"/>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12"/>
        </w:trPr>
        <w:tc>
          <w:tcPr>
            <w:tcW w:w="676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22</w:t>
            </w:r>
          </w:p>
        </w:tc>
        <w:tc>
          <w:tcPr>
            <w:tcW w:w="0" w:type="dxa"/>
            <w:vAlign w:val="bottom"/>
          </w:tcPr>
          <w:p>
            <w:pPr>
              <w:spacing w:after="0"/>
              <w:rPr>
                <w:sz w:val="1"/>
                <w:szCs w:val="1"/>
                <w:color w:val="auto"/>
              </w:rPr>
            </w:pPr>
          </w:p>
        </w:tc>
      </w:tr>
      <w:tr>
        <w:trPr>
          <w:trHeight w:val="225"/>
        </w:trPr>
        <w:tc>
          <w:tcPr>
            <w:tcW w:w="448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3620" w:type="dxa"/>
            <w:vAlign w:val="bottom"/>
            <w:gridSpan w:val="5"/>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31</w:t>
            </w:r>
          </w:p>
        </w:tc>
        <w:tc>
          <w:tcPr>
            <w:tcW w:w="0" w:type="dxa"/>
            <w:vAlign w:val="bottom"/>
          </w:tcPr>
          <w:p>
            <w:pPr>
              <w:spacing w:after="0"/>
              <w:rPr>
                <w:sz w:val="1"/>
                <w:szCs w:val="1"/>
                <w:color w:val="auto"/>
              </w:rPr>
            </w:pPr>
          </w:p>
        </w:tc>
      </w:tr>
      <w:tr>
        <w:trPr>
          <w:trHeight w:val="199"/>
        </w:trPr>
        <w:tc>
          <w:tcPr>
            <w:tcW w:w="8100" w:type="dxa"/>
            <w:vAlign w:val="bottom"/>
            <w:gridSpan w:val="18"/>
          </w:tcPr>
          <w:p>
            <w:pPr>
              <w:spacing w:after="0"/>
              <w:rPr>
                <w:sz w:val="20"/>
                <w:szCs w:val="20"/>
                <w:color w:val="auto"/>
              </w:rPr>
            </w:pPr>
            <w:r>
              <w:rPr>
                <w:rFonts w:ascii="Arial" w:cs="Arial" w:eastAsia="Arial" w:hAnsi="Arial"/>
                <w:sz w:val="17"/>
                <w:szCs w:val="17"/>
                <w:color w:val="0000FF"/>
              </w:rPr>
              <w:t>Controls and Procedures</w:t>
            </w:r>
          </w:p>
        </w:tc>
        <w:tc>
          <w:tcPr>
            <w:tcW w:w="1740" w:type="dxa"/>
            <w:vAlign w:val="bottom"/>
          </w:tcPr>
          <w:p>
            <w:pPr>
              <w:jc w:val="right"/>
              <w:spacing w:after="0"/>
              <w:rPr>
                <w:sz w:val="20"/>
                <w:szCs w:val="20"/>
                <w:color w:val="auto"/>
              </w:rPr>
            </w:pPr>
            <w:r>
              <w:rPr>
                <w:rFonts w:ascii="Arial" w:cs="Arial" w:eastAsia="Arial" w:hAnsi="Arial"/>
                <w:sz w:val="17"/>
                <w:szCs w:val="17"/>
                <w:color w:val="0000FF"/>
              </w:rPr>
              <w:t>32</w:t>
            </w:r>
          </w:p>
        </w:tc>
        <w:tc>
          <w:tcPr>
            <w:tcW w:w="0" w:type="dxa"/>
            <w:vAlign w:val="bottom"/>
          </w:tcPr>
          <w:p>
            <w:pPr>
              <w:spacing w:after="0"/>
              <w:rPr>
                <w:sz w:val="1"/>
                <w:szCs w:val="1"/>
                <w:color w:val="auto"/>
              </w:rPr>
            </w:pPr>
          </w:p>
        </w:tc>
      </w:tr>
      <w:tr>
        <w:trPr>
          <w:trHeight w:val="457"/>
        </w:trPr>
        <w:tc>
          <w:tcPr>
            <w:tcW w:w="18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99"/>
              </w:rPr>
              <w:t>OTHER INFORMATION</w:t>
            </w:r>
          </w:p>
        </w:tc>
        <w:tc>
          <w:tcPr>
            <w:tcW w:w="60" w:type="dxa"/>
            <w:vAlign w:val="bottom"/>
            <w:tcBorders>
              <w:top w:val="single" w:sz="8" w:color="0000FF"/>
            </w:tcBorders>
          </w:tcPr>
          <w:p>
            <w:pPr>
              <w:spacing w:after="0"/>
              <w:rPr>
                <w:sz w:val="24"/>
                <w:szCs w:val="24"/>
                <w:color w:val="auto"/>
              </w:rPr>
            </w:pPr>
          </w:p>
        </w:tc>
        <w:tc>
          <w:tcPr>
            <w:tcW w:w="6200" w:type="dxa"/>
            <w:vAlign w:val="bottom"/>
            <w:gridSpan w:val="12"/>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100" w:type="dxa"/>
            <w:vAlign w:val="bottom"/>
            <w:gridSpan w:val="18"/>
          </w:tcPr>
          <w:p>
            <w:pPr>
              <w:spacing w:after="0"/>
              <w:rPr>
                <w:sz w:val="20"/>
                <w:szCs w:val="20"/>
                <w:color w:val="auto"/>
              </w:rPr>
            </w:pPr>
            <w:r>
              <w:rPr>
                <w:rFonts w:ascii="Arial" w:cs="Arial" w:eastAsia="Arial" w:hAnsi="Arial"/>
                <w:sz w:val="17"/>
                <w:szCs w:val="17"/>
                <w:color w:val="0000FF"/>
              </w:rPr>
              <w:t>Legal Proceedings</w:t>
            </w:r>
          </w:p>
        </w:tc>
        <w:tc>
          <w:tcPr>
            <w:tcW w:w="1740" w:type="dxa"/>
            <w:vAlign w:val="bottom"/>
          </w:tcPr>
          <w:p>
            <w:pPr>
              <w:jc w:val="right"/>
              <w:spacing w:after="0"/>
              <w:rPr>
                <w:sz w:val="20"/>
                <w:szCs w:val="20"/>
                <w:color w:val="auto"/>
              </w:rPr>
            </w:pPr>
            <w:r>
              <w:rPr>
                <w:rFonts w:ascii="Arial" w:cs="Arial" w:eastAsia="Arial" w:hAnsi="Arial"/>
                <w:sz w:val="17"/>
                <w:szCs w:val="17"/>
                <w:color w:val="0000FF"/>
              </w:rPr>
              <w:t>33</w:t>
            </w:r>
          </w:p>
        </w:tc>
        <w:tc>
          <w:tcPr>
            <w:tcW w:w="0" w:type="dxa"/>
            <w:vAlign w:val="bottom"/>
          </w:tcPr>
          <w:p>
            <w:pPr>
              <w:spacing w:after="0"/>
              <w:rPr>
                <w:sz w:val="1"/>
                <w:szCs w:val="1"/>
                <w:color w:val="auto"/>
              </w:rPr>
            </w:pPr>
          </w:p>
        </w:tc>
      </w:tr>
      <w:tr>
        <w:trPr>
          <w:trHeight w:val="199"/>
        </w:trPr>
        <w:tc>
          <w:tcPr>
            <w:tcW w:w="9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99"/>
              </w:rPr>
              <w:t>Risk Factors</w:t>
            </w:r>
          </w:p>
        </w:tc>
        <w:tc>
          <w:tcPr>
            <w:tcW w:w="460" w:type="dxa"/>
            <w:vAlign w:val="bottom"/>
            <w:tcBorders>
              <w:top w:val="single" w:sz="8" w:color="0000FF"/>
            </w:tcBorders>
            <w:gridSpan w:val="2"/>
          </w:tcPr>
          <w:p>
            <w:pPr>
              <w:spacing w:after="0"/>
              <w:rPr>
                <w:sz w:val="17"/>
                <w:szCs w:val="17"/>
                <w:color w:val="auto"/>
              </w:rPr>
            </w:pPr>
          </w:p>
        </w:tc>
        <w:tc>
          <w:tcPr>
            <w:tcW w:w="6680" w:type="dxa"/>
            <w:vAlign w:val="bottom"/>
            <w:gridSpan w:val="14"/>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33</w:t>
            </w:r>
          </w:p>
        </w:tc>
        <w:tc>
          <w:tcPr>
            <w:tcW w:w="0" w:type="dxa"/>
            <w:vAlign w:val="bottom"/>
          </w:tcPr>
          <w:p>
            <w:pPr>
              <w:spacing w:after="0"/>
              <w:rPr>
                <w:sz w:val="1"/>
                <w:szCs w:val="1"/>
                <w:color w:val="auto"/>
              </w:rPr>
            </w:pPr>
          </w:p>
        </w:tc>
      </w:tr>
      <w:tr>
        <w:trPr>
          <w:trHeight w:val="521"/>
        </w:trPr>
        <w:tc>
          <w:tcPr>
            <w:tcW w:w="464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346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33</w:t>
            </w:r>
          </w:p>
        </w:tc>
        <w:tc>
          <w:tcPr>
            <w:tcW w:w="0" w:type="dxa"/>
            <w:vAlign w:val="bottom"/>
          </w:tcPr>
          <w:p>
            <w:pPr>
              <w:spacing w:after="0"/>
              <w:rPr>
                <w:sz w:val="1"/>
                <w:szCs w:val="1"/>
                <w:color w:val="auto"/>
              </w:rPr>
            </w:pPr>
          </w:p>
        </w:tc>
      </w:tr>
      <w:tr>
        <w:trPr>
          <w:trHeight w:val="238"/>
        </w:trPr>
        <w:tc>
          <w:tcPr>
            <w:tcW w:w="24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Defaults Upon Senior Securities</w:t>
            </w:r>
          </w:p>
        </w:tc>
        <w:tc>
          <w:tcPr>
            <w:tcW w:w="5660" w:type="dxa"/>
            <w:vAlign w:val="bottom"/>
            <w:gridSpan w:val="10"/>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33</w:t>
            </w:r>
          </w:p>
        </w:tc>
        <w:tc>
          <w:tcPr>
            <w:tcW w:w="0" w:type="dxa"/>
            <w:vAlign w:val="bottom"/>
          </w:tcPr>
          <w:p>
            <w:pPr>
              <w:spacing w:after="0"/>
              <w:rPr>
                <w:sz w:val="1"/>
                <w:szCs w:val="1"/>
                <w:color w:val="auto"/>
              </w:rPr>
            </w:pPr>
          </w:p>
        </w:tc>
      </w:tr>
      <w:tr>
        <w:trPr>
          <w:trHeight w:val="238"/>
        </w:trPr>
        <w:tc>
          <w:tcPr>
            <w:tcW w:w="8100" w:type="dxa"/>
            <w:vAlign w:val="bottom"/>
            <w:gridSpan w:val="18"/>
          </w:tcPr>
          <w:p>
            <w:pPr>
              <w:spacing w:after="0"/>
              <w:rPr>
                <w:sz w:val="20"/>
                <w:szCs w:val="20"/>
                <w:color w:val="auto"/>
              </w:rPr>
            </w:pPr>
            <w:r>
              <w:rPr>
                <w:rFonts w:ascii="Arial" w:cs="Arial" w:eastAsia="Arial" w:hAnsi="Arial"/>
                <w:sz w:val="17"/>
                <w:szCs w:val="17"/>
                <w:color w:val="0000FF"/>
              </w:rPr>
              <w:t>Mine Safety Disclosures</w:t>
            </w:r>
          </w:p>
        </w:tc>
        <w:tc>
          <w:tcPr>
            <w:tcW w:w="1740" w:type="dxa"/>
            <w:vAlign w:val="bottom"/>
          </w:tcPr>
          <w:p>
            <w:pPr>
              <w:jc w:val="right"/>
              <w:spacing w:after="0"/>
              <w:rPr>
                <w:sz w:val="20"/>
                <w:szCs w:val="20"/>
                <w:color w:val="auto"/>
              </w:rPr>
            </w:pPr>
            <w:r>
              <w:rPr>
                <w:rFonts w:ascii="Arial" w:cs="Arial" w:eastAsia="Arial" w:hAnsi="Arial"/>
                <w:sz w:val="17"/>
                <w:szCs w:val="17"/>
                <w:color w:val="0000FF"/>
              </w:rPr>
              <w:t>33</w:t>
            </w:r>
          </w:p>
        </w:tc>
        <w:tc>
          <w:tcPr>
            <w:tcW w:w="0" w:type="dxa"/>
            <w:vAlign w:val="bottom"/>
          </w:tcPr>
          <w:p>
            <w:pPr>
              <w:spacing w:after="0"/>
              <w:rPr>
                <w:sz w:val="1"/>
                <w:szCs w:val="1"/>
                <w:color w:val="auto"/>
              </w:rPr>
            </w:pPr>
          </w:p>
        </w:tc>
      </w:tr>
      <w:tr>
        <w:trPr>
          <w:trHeight w:val="225"/>
        </w:trPr>
        <w:tc>
          <w:tcPr>
            <w:tcW w:w="13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9"/>
              </w:rPr>
              <w:t>Other Information</w:t>
            </w:r>
          </w:p>
        </w:tc>
        <w:tc>
          <w:tcPr>
            <w:tcW w:w="500" w:type="dxa"/>
            <w:vAlign w:val="bottom"/>
            <w:tcBorders>
              <w:top w:val="single" w:sz="8" w:color="0000FF"/>
            </w:tcBorders>
            <w:gridSpan w:val="2"/>
          </w:tcPr>
          <w:p>
            <w:pPr>
              <w:spacing w:after="0"/>
              <w:rPr>
                <w:sz w:val="19"/>
                <w:szCs w:val="19"/>
                <w:color w:val="auto"/>
              </w:rPr>
            </w:pPr>
          </w:p>
        </w:tc>
        <w:tc>
          <w:tcPr>
            <w:tcW w:w="6260" w:type="dxa"/>
            <w:vAlign w:val="bottom"/>
            <w:gridSpan w:val="13"/>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0000FF"/>
              </w:rPr>
              <w:t>33</w:t>
            </w:r>
          </w:p>
        </w:tc>
        <w:tc>
          <w:tcPr>
            <w:tcW w:w="0" w:type="dxa"/>
            <w:vAlign w:val="bottom"/>
          </w:tcPr>
          <w:p>
            <w:pPr>
              <w:spacing w:after="0"/>
              <w:rPr>
                <w:sz w:val="1"/>
                <w:szCs w:val="1"/>
                <w:color w:val="auto"/>
              </w:rPr>
            </w:pPr>
          </w:p>
        </w:tc>
      </w:tr>
      <w:tr>
        <w:trPr>
          <w:trHeight w:val="212"/>
        </w:trPr>
        <w:tc>
          <w:tcPr>
            <w:tcW w:w="8100" w:type="dxa"/>
            <w:vAlign w:val="bottom"/>
            <w:gridSpan w:val="18"/>
          </w:tcPr>
          <w:p>
            <w:pPr>
              <w:spacing w:after="0"/>
              <w:rPr>
                <w:sz w:val="20"/>
                <w:szCs w:val="20"/>
                <w:color w:val="auto"/>
              </w:rPr>
            </w:pPr>
            <w:r>
              <w:rPr>
                <w:rFonts w:ascii="Arial" w:cs="Arial" w:eastAsia="Arial" w:hAnsi="Arial"/>
                <w:sz w:val="17"/>
                <w:szCs w:val="17"/>
                <w:color w:val="0000FF"/>
              </w:rPr>
              <w:t>Exhibits</w:t>
            </w:r>
          </w:p>
        </w:tc>
        <w:tc>
          <w:tcPr>
            <w:tcW w:w="1740" w:type="dxa"/>
            <w:vAlign w:val="bottom"/>
          </w:tcPr>
          <w:p>
            <w:pPr>
              <w:jc w:val="right"/>
              <w:spacing w:after="0"/>
              <w:rPr>
                <w:sz w:val="20"/>
                <w:szCs w:val="20"/>
                <w:color w:val="auto"/>
              </w:rPr>
            </w:pPr>
            <w:r>
              <w:rPr>
                <w:rFonts w:ascii="Arial" w:cs="Arial" w:eastAsia="Arial" w:hAnsi="Arial"/>
                <w:sz w:val="17"/>
                <w:szCs w:val="17"/>
                <w:color w:val="0000FF"/>
              </w:rPr>
              <w:t>34</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1059815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860" w:space="500"/>
            <w:col w:w="9840"/>
          </w:cols>
          <w:pgMar w:left="320" w:top="432"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6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2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42,907</w:t>
            </w:r>
          </w:p>
        </w:tc>
        <w:tc>
          <w:tcPr>
            <w:tcW w:w="0" w:type="dxa"/>
            <w:vAlign w:val="bottom"/>
          </w:tcPr>
          <w:p>
            <w:pPr>
              <w:spacing w:after="0"/>
              <w:rPr>
                <w:sz w:val="1"/>
                <w:szCs w:val="1"/>
                <w:color w:val="auto"/>
              </w:rPr>
            </w:pPr>
          </w:p>
        </w:tc>
      </w:tr>
      <w:tr>
        <w:trPr>
          <w:trHeight w:val="205"/>
        </w:trPr>
        <w:tc>
          <w:tcPr>
            <w:tcW w:w="8380" w:type="dxa"/>
            <w:vAlign w:val="bottom"/>
          </w:tcPr>
          <w:p>
            <w:pPr>
              <w:ind w:left="32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Marketable securities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178,075</w:t>
            </w:r>
          </w:p>
        </w:tc>
        <w:tc>
          <w:tcPr>
            <w:tcW w:w="0" w:type="dxa"/>
            <w:vAlign w:val="bottom"/>
          </w:tcPr>
          <w:p>
            <w:pPr>
              <w:spacing w:after="0"/>
              <w:rPr>
                <w:sz w:val="1"/>
                <w:szCs w:val="1"/>
                <w:color w:val="auto"/>
              </w:rPr>
            </w:pPr>
          </w:p>
        </w:tc>
      </w:tr>
      <w:tr>
        <w:trPr>
          <w:trHeight w:val="205"/>
        </w:trPr>
        <w:tc>
          <w:tcPr>
            <w:tcW w:w="8380" w:type="dxa"/>
            <w:vAlign w:val="bottom"/>
          </w:tcPr>
          <w:p>
            <w:pPr>
              <w:ind w:left="320"/>
              <w:spacing w:after="0"/>
              <w:rPr>
                <w:sz w:val="20"/>
                <w:szCs w:val="20"/>
                <w:color w:val="auto"/>
              </w:rPr>
            </w:pPr>
            <w:r>
              <w:rPr>
                <w:rFonts w:ascii="Arial" w:cs="Arial" w:eastAsia="Arial" w:hAnsi="Arial"/>
                <w:sz w:val="15"/>
                <w:szCs w:val="15"/>
                <w:color w:val="auto"/>
              </w:rPr>
              <w:t>Trade receivables, net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144,377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146,229</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Inventory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22,634</w:t>
            </w:r>
          </w:p>
        </w:tc>
        <w:tc>
          <w:tcPr>
            <w:tcW w:w="0" w:type="dxa"/>
            <w:vAlign w:val="bottom"/>
          </w:tcPr>
          <w:p>
            <w:pPr>
              <w:spacing w:after="0"/>
              <w:rPr>
                <w:sz w:val="1"/>
                <w:szCs w:val="1"/>
                <w:color w:val="auto"/>
              </w:rPr>
            </w:pPr>
          </w:p>
        </w:tc>
      </w:tr>
      <w:tr>
        <w:trPr>
          <w:trHeight w:val="205"/>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21,079</w:t>
            </w: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438,056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411,232</w:t>
            </w:r>
          </w:p>
        </w:tc>
        <w:tc>
          <w:tcPr>
            <w:tcW w:w="0" w:type="dxa"/>
            <w:vAlign w:val="bottom"/>
          </w:tcPr>
          <w:p>
            <w:pPr>
              <w:spacing w:after="0"/>
              <w:rPr>
                <w:sz w:val="1"/>
                <w:szCs w:val="1"/>
                <w:color w:val="auto"/>
              </w:rPr>
            </w:pPr>
          </w:p>
        </w:tc>
      </w:tr>
      <w:tr>
        <w:trPr>
          <w:trHeight w:val="205"/>
        </w:trPr>
        <w:tc>
          <w:tcPr>
            <w:tcW w:w="8380" w:type="dxa"/>
            <w:vAlign w:val="bottom"/>
          </w:tcPr>
          <w:p>
            <w:pPr>
              <w:ind w:left="20"/>
              <w:spacing w:after="0"/>
              <w:rPr>
                <w:sz w:val="20"/>
                <w:szCs w:val="20"/>
                <w:color w:val="auto"/>
              </w:rPr>
            </w:pPr>
            <w:r>
              <w:rPr>
                <w:rFonts w:ascii="Arial" w:cs="Arial" w:eastAsia="Arial" w:hAnsi="Arial"/>
                <w:sz w:val="15"/>
                <w:szCs w:val="15"/>
                <w:color w:val="auto"/>
              </w:rPr>
              <w:t>Property, plant, and equipment, net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1,043</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14,812</w:t>
            </w:r>
          </w:p>
        </w:tc>
        <w:tc>
          <w:tcPr>
            <w:tcW w:w="0" w:type="dxa"/>
            <w:vAlign w:val="bottom"/>
          </w:tcPr>
          <w:p>
            <w:pPr>
              <w:spacing w:after="0"/>
              <w:rPr>
                <w:sz w:val="1"/>
                <w:szCs w:val="1"/>
                <w:color w:val="auto"/>
              </w:rPr>
            </w:pPr>
          </w:p>
        </w:tc>
      </w:tr>
      <w:tr>
        <w:trPr>
          <w:trHeight w:val="205"/>
        </w:trPr>
        <w:tc>
          <w:tcPr>
            <w:tcW w:w="8380" w:type="dxa"/>
            <w:vAlign w:val="bottom"/>
          </w:tcPr>
          <w:p>
            <w:pPr>
              <w:ind w:left="20"/>
              <w:spacing w:after="0"/>
              <w:rPr>
                <w:sz w:val="20"/>
                <w:szCs w:val="20"/>
                <w:color w:val="auto"/>
              </w:rPr>
            </w:pPr>
            <w:r>
              <w:rPr>
                <w:rFonts w:ascii="Arial" w:cs="Arial" w:eastAsia="Arial" w:hAnsi="Arial"/>
                <w:sz w:val="15"/>
                <w:szCs w:val="15"/>
                <w:color w:val="auto"/>
              </w:rPr>
              <w:t>Operating lease right-of-use asset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4,361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4,467</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1,419</w:t>
            </w:r>
          </w:p>
        </w:tc>
        <w:tc>
          <w:tcPr>
            <w:tcW w:w="0" w:type="dxa"/>
            <w:vAlign w:val="bottom"/>
          </w:tcPr>
          <w:p>
            <w:pPr>
              <w:spacing w:after="0"/>
              <w:rPr>
                <w:sz w:val="1"/>
                <w:szCs w:val="1"/>
                <w:color w:val="auto"/>
              </w:rPr>
            </w:pPr>
          </w:p>
        </w:tc>
      </w:tr>
      <w:tr>
        <w:trPr>
          <w:trHeight w:val="198"/>
        </w:trPr>
        <w:tc>
          <w:tcPr>
            <w:tcW w:w="838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460,003</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432,973</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12,528</w:t>
            </w:r>
          </w:p>
        </w:tc>
        <w:tc>
          <w:tcPr>
            <w:tcW w:w="0" w:type="dxa"/>
            <w:vAlign w:val="bottom"/>
          </w:tcPr>
          <w:p>
            <w:pPr>
              <w:spacing w:after="0"/>
              <w:rPr>
                <w:sz w:val="1"/>
                <w:szCs w:val="1"/>
                <w:color w:val="auto"/>
              </w:rPr>
            </w:pPr>
          </w:p>
        </w:tc>
      </w:tr>
      <w:tr>
        <w:trPr>
          <w:trHeight w:val="205"/>
        </w:trPr>
        <w:tc>
          <w:tcPr>
            <w:tcW w:w="8380" w:type="dxa"/>
            <w:vAlign w:val="bottom"/>
          </w:tcPr>
          <w:p>
            <w:pPr>
              <w:ind w:left="320"/>
              <w:spacing w:after="0"/>
              <w:rPr>
                <w:sz w:val="20"/>
                <w:szCs w:val="20"/>
                <w:color w:val="auto"/>
              </w:rPr>
            </w:pPr>
            <w:r>
              <w:rPr>
                <w:rFonts w:ascii="Arial" w:cs="Arial" w:eastAsia="Arial" w:hAnsi="Arial"/>
                <w:sz w:val="15"/>
                <w:szCs w:val="15"/>
                <w:color w:val="auto"/>
              </w:rPr>
              <w:t>Current portion of long-term debt, net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and 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136,957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116,310</w:t>
            </w:r>
          </w:p>
        </w:tc>
        <w:tc>
          <w:tcPr>
            <w:tcW w:w="0" w:type="dxa"/>
            <w:vAlign w:val="bottom"/>
          </w:tcPr>
          <w:p>
            <w:pPr>
              <w:spacing w:after="0"/>
              <w:rPr>
                <w:sz w:val="1"/>
                <w:szCs w:val="1"/>
                <w:color w:val="auto"/>
              </w:rPr>
            </w:pPr>
          </w:p>
        </w:tc>
      </w:tr>
      <w:tr>
        <w:trPr>
          <w:trHeight w:val="198"/>
        </w:trPr>
        <w:tc>
          <w:tcPr>
            <w:tcW w:w="8380" w:type="dxa"/>
            <w:vAlign w:val="bottom"/>
          </w:tcPr>
          <w:p>
            <w:pPr>
              <w:ind w:left="64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163,203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129,838</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liability, long-term</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5,266</w:t>
            </w:r>
          </w:p>
        </w:tc>
        <w:tc>
          <w:tcPr>
            <w:tcW w:w="0" w:type="dxa"/>
            <w:vAlign w:val="bottom"/>
          </w:tcPr>
          <w:p>
            <w:pPr>
              <w:spacing w:after="0"/>
              <w:rPr>
                <w:sz w:val="1"/>
                <w:szCs w:val="1"/>
                <w:color w:val="auto"/>
              </w:rPr>
            </w:pPr>
          </w:p>
        </w:tc>
      </w:tr>
      <w:tr>
        <w:trPr>
          <w:trHeight w:val="205"/>
        </w:trPr>
        <w:tc>
          <w:tcPr>
            <w:tcW w:w="8380" w:type="dxa"/>
            <w:vAlign w:val="bottom"/>
          </w:tcPr>
          <w:p>
            <w:pPr>
              <w:ind w:left="20"/>
              <w:spacing w:after="0"/>
              <w:rPr>
                <w:sz w:val="20"/>
                <w:szCs w:val="20"/>
                <w:color w:val="auto"/>
              </w:rPr>
            </w:pPr>
            <w:r>
              <w:rPr>
                <w:rFonts w:ascii="Arial" w:cs="Arial" w:eastAsia="Arial" w:hAnsi="Arial"/>
                <w:sz w:val="15"/>
                <w:szCs w:val="15"/>
                <w:color w:val="auto"/>
              </w:rPr>
              <w:t>Long-term debt, net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101,470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107,959</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431</w:t>
            </w:r>
          </w:p>
        </w:tc>
        <w:tc>
          <w:tcPr>
            <w:tcW w:w="0" w:type="dxa"/>
            <w:vAlign w:val="bottom"/>
          </w:tcPr>
          <w:p>
            <w:pPr>
              <w:spacing w:after="0"/>
              <w:rPr>
                <w:sz w:val="1"/>
                <w:szCs w:val="1"/>
                <w:color w:val="auto"/>
              </w:rPr>
            </w:pPr>
          </w:p>
        </w:tc>
      </w:tr>
      <w:tr>
        <w:trPr>
          <w:trHeight w:val="198"/>
        </w:trPr>
        <w:tc>
          <w:tcPr>
            <w:tcW w:w="838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270,355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243,494</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 (Note 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380" w:type="dxa"/>
            <w:vAlign w:val="bottom"/>
            <w:shd w:val="clear" w:color="auto" w:fill="CCEEFF"/>
          </w:tcPr>
          <w:p>
            <w:pPr>
              <w:ind w:left="320"/>
              <w:spacing w:after="0" w:line="156" w:lineRule="exact"/>
              <w:rPr>
                <w:sz w:val="20"/>
                <w:szCs w:val="20"/>
                <w:color w:val="auto"/>
              </w:rPr>
            </w:pPr>
            <w:r>
              <w:rPr>
                <w:rFonts w:ascii="Arial" w:cs="Arial" w:eastAsia="Arial" w:hAnsi="Arial"/>
                <w:sz w:val="15"/>
                <w:szCs w:val="15"/>
                <w:color w:val="auto"/>
              </w:rPr>
              <w:t>Common stock, $0.0001 par value; 300,000 shares authorized at March 31, 2026 and December 31, 2025; 125,042</w:t>
            </w: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and 123,333 shares issued and outstanding at March 31, 2026 and December 31, 2025, respectively</w:t>
            </w:r>
          </w:p>
        </w:tc>
        <w:tc>
          <w:tcPr>
            <w:tcW w:w="2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1,339,529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1,327,595</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5"/>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Accumulated deficit</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(1,149,379)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(1,138,084)</w:t>
            </w: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189,648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189,479</w:t>
            </w:r>
          </w:p>
        </w:tc>
        <w:tc>
          <w:tcPr>
            <w:tcW w:w="0" w:type="dxa"/>
            <w:vAlign w:val="bottom"/>
          </w:tcPr>
          <w:p>
            <w:pPr>
              <w:spacing w:after="0"/>
              <w:rPr>
                <w:sz w:val="1"/>
                <w:szCs w:val="1"/>
                <w:color w:val="auto"/>
              </w:rPr>
            </w:pPr>
          </w:p>
        </w:tc>
      </w:tr>
      <w:tr>
        <w:trPr>
          <w:trHeight w:val="198"/>
        </w:trPr>
        <w:tc>
          <w:tcPr>
            <w:tcW w:w="8380" w:type="dxa"/>
            <w:vAlign w:val="bottom"/>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460,003</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432,973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the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ARCUTIS BIOTHERAPEUTICS, INC.</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jc w:val="center"/>
        <w:ind w:right="-279"/>
        <w:spacing w:after="0" w:line="205" w:lineRule="auto"/>
        <w:rPr>
          <w:sz w:val="20"/>
          <w:szCs w:val="20"/>
          <w:color w:val="auto"/>
        </w:rPr>
      </w:pPr>
      <w:r>
        <w:rPr>
          <w:rFonts w:ascii="Arial" w:cs="Arial" w:eastAsia="Arial" w:hAnsi="Arial"/>
          <w:sz w:val="17"/>
          <w:szCs w:val="17"/>
          <w:b w:val="1"/>
          <w:bCs w:val="1"/>
          <w:color w:val="auto"/>
        </w:rPr>
        <w:t>(In thousands, except per share data)</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(unaudited)</w:t>
      </w:r>
    </w:p>
    <w:p>
      <w:pPr>
        <w:spacing w:after="0" w:line="24" w:lineRule="exact"/>
        <w:rPr>
          <w:sz w:val="20"/>
          <w:szCs w:val="20"/>
          <w:color w:val="auto"/>
        </w:rPr>
      </w:pPr>
    </w:p>
    <w:tbl>
      <w:tblPr>
        <w:tblLayout w:type="fixed"/>
        <w:tblInd w:w="300" w:type="dxa"/>
        <w:tblCellMar>
          <w:top w:w="0" w:type="dxa"/>
          <w:left w:w="0" w:type="dxa"/>
          <w:bottom w:w="0" w:type="dxa"/>
          <w:right w:w="0" w:type="dxa"/>
        </w:tblCellMar>
      </w:tblPr>
      <w:tr>
        <w:trPr>
          <w:trHeight w:val="181"/>
        </w:trPr>
        <w:tc>
          <w:tcPr>
            <w:tcW w:w="74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7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320"/>
              <w:spacing w:after="0"/>
              <w:rPr>
                <w:sz w:val="20"/>
                <w:szCs w:val="20"/>
                <w:color w:val="auto"/>
              </w:rPr>
            </w:pPr>
            <w:r>
              <w:rPr>
                <w:rFonts w:ascii="Arial" w:cs="Arial" w:eastAsia="Arial" w:hAnsi="Arial"/>
                <w:sz w:val="17"/>
                <w:szCs w:val="17"/>
                <w:color w:val="auto"/>
              </w:rPr>
              <w:t>Product revenue, net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105,398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63,846</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revenue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revenues</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105,398</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65,846</w:t>
            </w:r>
          </w:p>
        </w:tc>
        <w:tc>
          <w:tcPr>
            <w:tcW w:w="0" w:type="dxa"/>
            <w:vAlign w:val="bottom"/>
          </w:tcPr>
          <w:p>
            <w:pPr>
              <w:spacing w:after="0"/>
              <w:rPr>
                <w:sz w:val="1"/>
                <w:szCs w:val="1"/>
                <w:color w:val="auto"/>
              </w:rPr>
            </w:pPr>
          </w:p>
        </w:tc>
      </w:tr>
      <w:tr>
        <w:trPr>
          <w:trHeight w:val="238"/>
        </w:trPr>
        <w:tc>
          <w:tcPr>
            <w:tcW w:w="7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sales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8,830</w:t>
            </w:r>
          </w:p>
        </w:tc>
        <w:tc>
          <w:tcPr>
            <w:tcW w:w="0" w:type="dxa"/>
            <w:vAlign w:val="bottom"/>
          </w:tcPr>
          <w:p>
            <w:pPr>
              <w:spacing w:after="0"/>
              <w:rPr>
                <w:sz w:val="1"/>
                <w:szCs w:val="1"/>
                <w:color w:val="auto"/>
              </w:rPr>
            </w:pPr>
          </w:p>
        </w:tc>
      </w:tr>
      <w:tr>
        <w:trPr>
          <w:trHeight w:val="219"/>
        </w:trPr>
        <w:tc>
          <w:tcPr>
            <w:tcW w:w="746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17,543</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64,002</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90,375</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(24,529)</w:t>
            </w:r>
          </w:p>
        </w:tc>
        <w:tc>
          <w:tcPr>
            <w:tcW w:w="0" w:type="dxa"/>
            <w:vAlign w:val="bottom"/>
          </w:tcPr>
          <w:p>
            <w:pPr>
              <w:spacing w:after="0"/>
              <w:rPr>
                <w:sz w:val="1"/>
                <w:szCs w:val="1"/>
                <w:color w:val="auto"/>
              </w:rPr>
            </w:pPr>
          </w:p>
        </w:tc>
      </w:tr>
      <w:tr>
        <w:trPr>
          <w:trHeight w:val="258"/>
        </w:trPr>
        <w:tc>
          <w:tcPr>
            <w:tcW w:w="7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2,537</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(2,982)</w:t>
            </w:r>
          </w:p>
        </w:tc>
        <w:tc>
          <w:tcPr>
            <w:tcW w:w="0" w:type="dxa"/>
            <w:vAlign w:val="bottom"/>
          </w:tcPr>
          <w:p>
            <w:pPr>
              <w:spacing w:after="0"/>
              <w:rPr>
                <w:sz w:val="1"/>
                <w:szCs w:val="1"/>
                <w:color w:val="auto"/>
              </w:rPr>
            </w:pPr>
          </w:p>
        </w:tc>
      </w:tr>
      <w:tr>
        <w:trPr>
          <w:trHeight w:val="258"/>
        </w:trPr>
        <w:tc>
          <w:tcPr>
            <w:tcW w:w="7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38"/>
        </w:trPr>
        <w:tc>
          <w:tcPr>
            <w:tcW w:w="7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(24,781)</w:t>
            </w:r>
          </w:p>
        </w:tc>
        <w:tc>
          <w:tcPr>
            <w:tcW w:w="0" w:type="dxa"/>
            <w:vAlign w:val="bottom"/>
          </w:tcPr>
          <w:p>
            <w:pPr>
              <w:spacing w:after="0"/>
              <w:rPr>
                <w:sz w:val="1"/>
                <w:szCs w:val="1"/>
                <w:color w:val="auto"/>
              </w:rPr>
            </w:pPr>
          </w:p>
        </w:tc>
      </w:tr>
      <w:tr>
        <w:trPr>
          <w:trHeight w:val="258"/>
        </w:trPr>
        <w:tc>
          <w:tcPr>
            <w:tcW w:w="7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58"/>
        </w:trPr>
        <w:tc>
          <w:tcPr>
            <w:tcW w:w="74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4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(25,060)</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Unrealized loss on marketable securities</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58"/>
        </w:trPr>
        <w:tc>
          <w:tcPr>
            <w:tcW w:w="7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loss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58"/>
        </w:trPr>
        <w:tc>
          <w:tcPr>
            <w:tcW w:w="7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(25,193)</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Weighted-average shares used in computing net loss per share,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129,365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126,037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2660"/>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60"/>
          </w:cols>
          <w:pgMar w:left="320" w:top="432"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ARCUTIS BIOTHERAPEUTICS, INC.</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jc w:val="center"/>
        <w:spacing w:after="0" w:line="205" w:lineRule="auto"/>
        <w:rPr>
          <w:sz w:val="20"/>
          <w:szCs w:val="20"/>
          <w:color w:val="auto"/>
        </w:rPr>
      </w:pPr>
      <w:r>
        <w:rPr>
          <w:rFonts w:ascii="Arial" w:cs="Arial" w:eastAsia="Arial" w:hAnsi="Arial"/>
          <w:sz w:val="17"/>
          <w:szCs w:val="17"/>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960" w:type="dxa"/>
            <w:vAlign w:val="bottom"/>
          </w:tcPr>
          <w:p>
            <w:pPr>
              <w:spacing w:after="0"/>
              <w:rPr>
                <w:sz w:val="12"/>
                <w:szCs w:val="1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Additional</w:t>
            </w:r>
          </w:p>
        </w:tc>
        <w:tc>
          <w:tcPr>
            <w:tcW w:w="108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Accumulated Other</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rPr>
              <w:t>Accumulated</w:t>
            </w:r>
          </w:p>
        </w:tc>
        <w:tc>
          <w:tcPr>
            <w:tcW w:w="106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line="20" w:lineRule="exact"/>
              <w:rPr>
                <w:sz w:val="1"/>
                <w:szCs w:val="1"/>
                <w:color w:val="auto"/>
              </w:rPr>
            </w:pPr>
          </w:p>
        </w:tc>
      </w:tr>
      <w:tr>
        <w:trPr>
          <w:trHeight w:val="103"/>
        </w:trPr>
        <w:tc>
          <w:tcPr>
            <w:tcW w:w="3960" w:type="dxa"/>
            <w:vAlign w:val="bottom"/>
          </w:tcPr>
          <w:p>
            <w:pPr>
              <w:spacing w:after="0"/>
              <w:rPr>
                <w:sz w:val="8"/>
                <w:szCs w:val="8"/>
                <w:color w:val="auto"/>
              </w:rPr>
            </w:pPr>
          </w:p>
        </w:tc>
        <w:tc>
          <w:tcPr>
            <w:tcW w:w="140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8"/>
                <w:szCs w:val="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8"/>
                <w:szCs w:val="8"/>
                <w:color w:val="auto"/>
              </w:rPr>
            </w:pPr>
          </w:p>
        </w:tc>
        <w:tc>
          <w:tcPr>
            <w:tcW w:w="9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96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Comprehensive</w:t>
            </w:r>
          </w:p>
        </w:tc>
        <w:tc>
          <w:tcPr>
            <w:tcW w:w="2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Loss</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Deficit</w:t>
            </w:r>
          </w:p>
        </w:tc>
        <w:tc>
          <w:tcPr>
            <w:tcW w:w="240" w:type="dxa"/>
            <w:vAlign w:val="bottom"/>
          </w:tcPr>
          <w:p>
            <w:pPr>
              <w:spacing w:after="0"/>
              <w:rPr>
                <w:sz w:val="12"/>
                <w:szCs w:val="12"/>
                <w:color w:val="auto"/>
              </w:rPr>
            </w:pPr>
          </w:p>
        </w:tc>
        <w:tc>
          <w:tcPr>
            <w:tcW w:w="820" w:type="dxa"/>
            <w:vAlign w:val="bottom"/>
          </w:tcPr>
          <w:p>
            <w:pPr>
              <w:jc w:val="center"/>
              <w:ind w:right="166"/>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0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Balance—December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123,333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1,327,595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(1,138,084)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189,479</w:t>
            </w:r>
          </w:p>
        </w:tc>
        <w:tc>
          <w:tcPr>
            <w:tcW w:w="0" w:type="dxa"/>
            <w:vAlign w:val="bottom"/>
          </w:tcPr>
          <w:p>
            <w:pPr>
              <w:spacing w:after="0"/>
              <w:rPr>
                <w:sz w:val="1"/>
                <w:szCs w:val="1"/>
                <w:color w:val="auto"/>
              </w:rPr>
            </w:pPr>
          </w:p>
        </w:tc>
      </w:tr>
      <w:tr>
        <w:trPr>
          <w:trHeight w:val="155"/>
        </w:trPr>
        <w:tc>
          <w:tcPr>
            <w:tcW w:w="3960" w:type="dxa"/>
            <w:vAlign w:val="bottom"/>
          </w:tcPr>
          <w:p>
            <w:pPr>
              <w:ind w:left="20"/>
              <w:spacing w:after="0" w:line="156" w:lineRule="exact"/>
              <w:rPr>
                <w:sz w:val="20"/>
                <w:szCs w:val="20"/>
                <w:color w:val="auto"/>
              </w:rPr>
            </w:pPr>
            <w:r>
              <w:rPr>
                <w:rFonts w:ascii="Arial" w:cs="Arial" w:eastAsia="Arial" w:hAnsi="Arial"/>
                <w:sz w:val="15"/>
                <w:szCs w:val="15"/>
                <w:color w:val="auto"/>
              </w:rPr>
              <w:t>Issuance of common stock upon the exercise of stock</w:t>
            </w: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1,067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1,067</w:t>
            </w: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options</w:t>
            </w: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Issuance of common stock upon the vesting of</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10,867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10,867</w:t>
            </w:r>
          </w:p>
        </w:tc>
        <w:tc>
          <w:tcPr>
            <w:tcW w:w="0" w:type="dxa"/>
            <w:vAlign w:val="bottom"/>
          </w:tcPr>
          <w:p>
            <w:pPr>
              <w:spacing w:after="0"/>
              <w:rPr>
                <w:sz w:val="1"/>
                <w:szCs w:val="1"/>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 on marketable securities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(11,295)</w:t>
            </w:r>
          </w:p>
        </w:tc>
        <w:tc>
          <w:tcPr>
            <w:tcW w:w="0" w:type="dxa"/>
            <w:vAlign w:val="bottom"/>
          </w:tcPr>
          <w:p>
            <w:pPr>
              <w:spacing w:after="0"/>
              <w:rPr>
                <w:sz w:val="1"/>
                <w:szCs w:val="1"/>
                <w:color w:val="auto"/>
              </w:rPr>
            </w:pPr>
          </w:p>
        </w:tc>
      </w:tr>
      <w:tr>
        <w:trPr>
          <w:trHeight w:val="198"/>
        </w:trPr>
        <w:tc>
          <w:tcPr>
            <w:tcW w:w="3960" w:type="dxa"/>
            <w:vAlign w:val="bottom"/>
          </w:tcPr>
          <w:p>
            <w:pPr>
              <w:ind w:left="20"/>
              <w:spacing w:after="0"/>
              <w:rPr>
                <w:sz w:val="20"/>
                <w:szCs w:val="20"/>
                <w:color w:val="auto"/>
              </w:rPr>
            </w:pPr>
            <w:r>
              <w:rPr>
                <w:rFonts w:ascii="Arial" w:cs="Arial" w:eastAsia="Arial" w:hAnsi="Arial"/>
                <w:sz w:val="15"/>
                <w:szCs w:val="15"/>
                <w:color w:val="auto"/>
              </w:rPr>
              <w:t>Balance—March 31, 2026</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125,042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1,339,529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(514)</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(1,149,379)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189,648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9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Additional</w:t>
            </w:r>
          </w:p>
        </w:tc>
        <w:tc>
          <w:tcPr>
            <w:tcW w:w="1080" w:type="dxa"/>
            <w:vAlign w:val="bottom"/>
            <w:gridSpan w:val="3"/>
          </w:tcPr>
          <w:p>
            <w:pPr>
              <w:ind w:left="40"/>
              <w:spacing w:after="0"/>
              <w:rPr>
                <w:sz w:val="20"/>
                <w:szCs w:val="20"/>
                <w:color w:val="auto"/>
              </w:rPr>
            </w:pPr>
            <w:r>
              <w:rPr>
                <w:rFonts w:ascii="Arial" w:cs="Arial" w:eastAsia="Arial" w:hAnsi="Arial"/>
                <w:sz w:val="10"/>
                <w:szCs w:val="10"/>
                <w:b w:val="1"/>
                <w:bCs w:val="1"/>
                <w:color w:val="auto"/>
              </w:rPr>
              <w:t>Accumulated Other</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96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960" w:type="dxa"/>
            <w:vAlign w:val="bottom"/>
            <w:gridSpan w:val="2"/>
            <w:vMerge w:val="restart"/>
          </w:tcPr>
          <w:p>
            <w:pPr>
              <w:jc w:val="center"/>
              <w:ind w:right="180"/>
              <w:spacing w:after="0" w:line="104" w:lineRule="exact"/>
              <w:rPr>
                <w:sz w:val="20"/>
                <w:szCs w:val="20"/>
                <w:color w:val="auto"/>
              </w:rPr>
            </w:pPr>
            <w:r>
              <w:rPr>
                <w:rFonts w:ascii="Arial" w:cs="Arial" w:eastAsia="Arial" w:hAnsi="Arial"/>
                <w:sz w:val="10"/>
                <w:szCs w:val="10"/>
                <w:b w:val="1"/>
                <w:bCs w:val="1"/>
                <w:color w:val="auto"/>
              </w:rPr>
              <w:t>Comprehensive</w:t>
            </w:r>
          </w:p>
        </w:tc>
        <w:tc>
          <w:tcPr>
            <w:tcW w:w="260" w:type="dxa"/>
            <w:vAlign w:val="bottom"/>
          </w:tcPr>
          <w:p>
            <w:pPr>
              <w:spacing w:after="0"/>
              <w:rPr>
                <w:sz w:val="4"/>
                <w:szCs w:val="4"/>
                <w:color w:val="auto"/>
              </w:rPr>
            </w:pPr>
          </w:p>
        </w:tc>
        <w:tc>
          <w:tcPr>
            <w:tcW w:w="1300" w:type="dxa"/>
            <w:vAlign w:val="bottom"/>
            <w:gridSpan w:val="2"/>
            <w:vMerge w:val="restart"/>
          </w:tcPr>
          <w:p>
            <w:pPr>
              <w:jc w:val="center"/>
              <w:ind w:right="360"/>
              <w:spacing w:after="0" w:line="104" w:lineRule="exact"/>
              <w:rPr>
                <w:sz w:val="20"/>
                <w:szCs w:val="20"/>
                <w:color w:val="auto"/>
              </w:rPr>
            </w:pPr>
            <w:r>
              <w:rPr>
                <w:rFonts w:ascii="Arial" w:cs="Arial" w:eastAsia="Arial" w:hAnsi="Arial"/>
                <w:sz w:val="10"/>
                <w:szCs w:val="10"/>
                <w:b w:val="1"/>
                <w:bCs w:val="1"/>
                <w:color w:val="auto"/>
              </w:rPr>
              <w:t>Accumulated</w:t>
            </w:r>
          </w:p>
        </w:tc>
        <w:tc>
          <w:tcPr>
            <w:tcW w:w="1060" w:type="dxa"/>
            <w:vAlign w:val="bottom"/>
            <w:gridSpan w:val="2"/>
            <w:vMerge w:val="restart"/>
          </w:tcPr>
          <w:p>
            <w:pPr>
              <w:jc w:val="center"/>
              <w:spacing w:after="0" w:line="104" w:lineRule="exact"/>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140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2"/>
                <w:szCs w:val="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Loss</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Deficit</w:t>
            </w:r>
          </w:p>
        </w:tc>
        <w:tc>
          <w:tcPr>
            <w:tcW w:w="240" w:type="dxa"/>
            <w:vAlign w:val="bottom"/>
          </w:tcPr>
          <w:p>
            <w:pPr>
              <w:spacing w:after="0"/>
              <w:rPr>
                <w:sz w:val="12"/>
                <w:szCs w:val="12"/>
                <w:color w:val="auto"/>
              </w:rPr>
            </w:pPr>
          </w:p>
        </w:tc>
        <w:tc>
          <w:tcPr>
            <w:tcW w:w="820" w:type="dxa"/>
            <w:vAlign w:val="bottom"/>
          </w:tcPr>
          <w:p>
            <w:pPr>
              <w:jc w:val="center"/>
              <w:ind w:right="166"/>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0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Balance—December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117,848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1,279,479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(1,121,943)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157,541</w:t>
            </w:r>
          </w:p>
        </w:tc>
        <w:tc>
          <w:tcPr>
            <w:tcW w:w="0" w:type="dxa"/>
            <w:vAlign w:val="bottom"/>
          </w:tcPr>
          <w:p>
            <w:pPr>
              <w:spacing w:after="0"/>
              <w:rPr>
                <w:sz w:val="1"/>
                <w:szCs w:val="1"/>
                <w:color w:val="auto"/>
              </w:rPr>
            </w:pPr>
          </w:p>
        </w:tc>
      </w:tr>
      <w:tr>
        <w:trPr>
          <w:trHeight w:val="155"/>
        </w:trPr>
        <w:tc>
          <w:tcPr>
            <w:tcW w:w="3960" w:type="dxa"/>
            <w:vAlign w:val="bottom"/>
          </w:tcPr>
          <w:p>
            <w:pPr>
              <w:ind w:left="20"/>
              <w:spacing w:after="0" w:line="156" w:lineRule="exact"/>
              <w:rPr>
                <w:sz w:val="20"/>
                <w:szCs w:val="20"/>
                <w:color w:val="auto"/>
              </w:rPr>
            </w:pPr>
            <w:r>
              <w:rPr>
                <w:rFonts w:ascii="Arial" w:cs="Arial" w:eastAsia="Arial" w:hAnsi="Arial"/>
                <w:sz w:val="15"/>
                <w:szCs w:val="15"/>
                <w:color w:val="auto"/>
              </w:rPr>
              <w:t>Issuance of common stock upon the exercise of stock</w:t>
            </w: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395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options</w:t>
            </w: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Issuance of common stock upon the vesting of</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1,180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9,915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9,915</w:t>
            </w:r>
          </w:p>
        </w:tc>
        <w:tc>
          <w:tcPr>
            <w:tcW w:w="0" w:type="dxa"/>
            <w:vAlign w:val="bottom"/>
          </w:tcPr>
          <w:p>
            <w:pPr>
              <w:spacing w:after="0"/>
              <w:rPr>
                <w:sz w:val="1"/>
                <w:szCs w:val="1"/>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 on marketable securities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color w:val="auto"/>
              </w:rPr>
              <w:t>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(25,060)</w:t>
            </w:r>
          </w:p>
        </w:tc>
        <w:tc>
          <w:tcPr>
            <w:tcW w:w="0" w:type="dxa"/>
            <w:vAlign w:val="bottom"/>
          </w:tcPr>
          <w:p>
            <w:pPr>
              <w:spacing w:after="0"/>
              <w:rPr>
                <w:sz w:val="1"/>
                <w:szCs w:val="1"/>
                <w:color w:val="auto"/>
              </w:rPr>
            </w:pPr>
          </w:p>
        </w:tc>
      </w:tr>
      <w:tr>
        <w:trPr>
          <w:trHeight w:val="198"/>
        </w:trPr>
        <w:tc>
          <w:tcPr>
            <w:tcW w:w="3960" w:type="dxa"/>
            <w:vAlign w:val="bottom"/>
          </w:tcPr>
          <w:p>
            <w:pPr>
              <w:ind w:left="20"/>
              <w:spacing w:after="0"/>
              <w:rPr>
                <w:sz w:val="20"/>
                <w:szCs w:val="20"/>
                <w:color w:val="auto"/>
              </w:rPr>
            </w:pPr>
            <w:r>
              <w:rPr>
                <w:rFonts w:ascii="Arial" w:cs="Arial" w:eastAsia="Arial" w:hAnsi="Arial"/>
                <w:sz w:val="15"/>
                <w:szCs w:val="15"/>
                <w:color w:val="auto"/>
              </w:rPr>
              <w:t>Balance—March 31, 2025</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119,138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1,289,789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(140)</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(1,147,003)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142,658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794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38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199"/>
        </w:trPr>
        <w:tc>
          <w:tcPr>
            <w:tcW w:w="79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76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(11,295)</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(25,060)</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940" w:type="dxa"/>
            <w:vAlign w:val="bottom"/>
          </w:tcPr>
          <w:p>
            <w:pPr>
              <w:ind w:left="640"/>
              <w:spacing w:after="0"/>
              <w:rPr>
                <w:sz w:val="20"/>
                <w:szCs w:val="20"/>
                <w:color w:val="auto"/>
              </w:rPr>
            </w:pPr>
            <w:r>
              <w:rPr>
                <w:rFonts w:ascii="Arial" w:cs="Arial" w:eastAsia="Arial" w:hAnsi="Arial"/>
                <w:sz w:val="15"/>
                <w:szCs w:val="15"/>
                <w:color w:val="auto"/>
              </w:rPr>
              <w:t>Stock-based compensation expense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10,690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9,778</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Amortization of intangible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2,979</w:t>
            </w:r>
          </w:p>
        </w:tc>
        <w:tc>
          <w:tcPr>
            <w:tcW w:w="0" w:type="dxa"/>
            <w:vAlign w:val="bottom"/>
          </w:tcPr>
          <w:p>
            <w:pPr>
              <w:spacing w:after="0"/>
              <w:rPr>
                <w:sz w:val="1"/>
                <w:szCs w:val="1"/>
                <w:color w:val="auto"/>
              </w:rPr>
            </w:pPr>
          </w:p>
        </w:tc>
      </w:tr>
      <w:tr>
        <w:trPr>
          <w:trHeight w:val="205"/>
        </w:trPr>
        <w:tc>
          <w:tcPr>
            <w:tcW w:w="7940" w:type="dxa"/>
            <w:vAlign w:val="bottom"/>
          </w:tcPr>
          <w:p>
            <w:pPr>
              <w:ind w:left="640"/>
              <w:spacing w:after="0"/>
              <w:rPr>
                <w:sz w:val="20"/>
                <w:szCs w:val="20"/>
                <w:color w:val="auto"/>
              </w:rPr>
            </w:pPr>
            <w:r>
              <w:rPr>
                <w:rFonts w:ascii="Arial" w:cs="Arial" w:eastAsia="Arial" w:hAnsi="Arial"/>
                <w:sz w:val="15"/>
                <w:szCs w:val="15"/>
                <w:color w:val="auto"/>
              </w:rPr>
              <w:t>Non-cash interest expense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415</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Net accretion on marketable securities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w:t>
            </w:r>
          </w:p>
        </w:tc>
        <w:tc>
          <w:tcPr>
            <w:tcW w:w="0" w:type="dxa"/>
            <w:vAlign w:val="bottom"/>
          </w:tcPr>
          <w:p>
            <w:pPr>
              <w:spacing w:after="0"/>
              <w:rPr>
                <w:sz w:val="1"/>
                <w:szCs w:val="1"/>
                <w:color w:val="auto"/>
              </w:rPr>
            </w:pPr>
          </w:p>
        </w:tc>
      </w:tr>
      <w:tr>
        <w:trPr>
          <w:trHeight w:val="205"/>
        </w:trPr>
        <w:tc>
          <w:tcPr>
            <w:tcW w:w="7940" w:type="dxa"/>
            <w:vAlign w:val="bottom"/>
          </w:tcPr>
          <w:p>
            <w:pPr>
              <w:ind w:left="640"/>
              <w:spacing w:after="0"/>
              <w:rPr>
                <w:sz w:val="20"/>
                <w:szCs w:val="20"/>
                <w:color w:val="auto"/>
              </w:rPr>
            </w:pPr>
            <w:r>
              <w:rPr>
                <w:rFonts w:ascii="Arial" w:cs="Arial" w:eastAsia="Arial" w:hAnsi="Arial"/>
                <w:sz w:val="15"/>
                <w:szCs w:val="15"/>
                <w:color w:val="auto"/>
              </w:rPr>
              <w:t>Other non-cash items, net</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Changes in operating assets and liabilities: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940" w:type="dxa"/>
            <w:vAlign w:val="bottom"/>
          </w:tcPr>
          <w:p>
            <w:pPr>
              <w:ind w:left="940"/>
              <w:spacing w:after="0"/>
              <w:rPr>
                <w:sz w:val="20"/>
                <w:szCs w:val="20"/>
                <w:color w:val="auto"/>
              </w:rPr>
            </w:pPr>
            <w:r>
              <w:rPr>
                <w:rFonts w:ascii="Arial" w:cs="Arial" w:eastAsia="Arial" w:hAnsi="Arial"/>
                <w:sz w:val="15"/>
                <w:szCs w:val="15"/>
                <w:color w:val="auto"/>
              </w:rPr>
              <w:t>Accounts receivable, net</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(12,349)</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940"/>
              <w:spacing w:after="0"/>
              <w:rPr>
                <w:sz w:val="20"/>
                <w:szCs w:val="20"/>
                <w:color w:val="auto"/>
              </w:rPr>
            </w:pPr>
            <w:r>
              <w:rPr>
                <w:rFonts w:ascii="Arial" w:cs="Arial" w:eastAsia="Arial" w:hAnsi="Arial"/>
                <w:sz w:val="15"/>
                <w:szCs w:val="15"/>
                <w:color w:val="auto"/>
              </w:rPr>
              <w:t>Inventory</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(1,951)</w:t>
            </w:r>
          </w:p>
        </w:tc>
        <w:tc>
          <w:tcPr>
            <w:tcW w:w="0" w:type="dxa"/>
            <w:vAlign w:val="bottom"/>
          </w:tcPr>
          <w:p>
            <w:pPr>
              <w:spacing w:after="0"/>
              <w:rPr>
                <w:sz w:val="1"/>
                <w:szCs w:val="1"/>
                <w:color w:val="auto"/>
              </w:rPr>
            </w:pPr>
          </w:p>
        </w:tc>
      </w:tr>
      <w:tr>
        <w:trPr>
          <w:trHeight w:val="205"/>
        </w:trPr>
        <w:tc>
          <w:tcPr>
            <w:tcW w:w="7940" w:type="dxa"/>
            <w:vAlign w:val="bottom"/>
          </w:tcPr>
          <w:p>
            <w:pPr>
              <w:ind w:left="940"/>
              <w:spacing w:after="0"/>
              <w:rPr>
                <w:sz w:val="20"/>
                <w:szCs w:val="20"/>
                <w:color w:val="auto"/>
              </w:rPr>
            </w:pPr>
            <w:r>
              <w:rPr>
                <w:rFonts w:ascii="Arial" w:cs="Arial" w:eastAsia="Arial" w:hAnsi="Arial"/>
                <w:sz w:val="15"/>
                <w:szCs w:val="15"/>
                <w:color w:val="auto"/>
              </w:rPr>
              <w:t>Prepaid expenses and other current assets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(11,728)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(3,282)</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940"/>
              <w:spacing w:after="0"/>
              <w:rPr>
                <w:sz w:val="20"/>
                <w:szCs w:val="20"/>
                <w:color w:val="auto"/>
              </w:rPr>
            </w:pPr>
            <w:r>
              <w:rPr>
                <w:rFonts w:ascii="Arial" w:cs="Arial" w:eastAsia="Arial" w:hAnsi="Arial"/>
                <w:sz w:val="15"/>
                <w:szCs w:val="15"/>
                <w:color w:val="auto"/>
              </w:rPr>
              <w:t>Accounts payable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205"/>
        </w:trPr>
        <w:tc>
          <w:tcPr>
            <w:tcW w:w="7940" w:type="dxa"/>
            <w:vAlign w:val="bottom"/>
          </w:tcPr>
          <w:p>
            <w:pPr>
              <w:ind w:left="940"/>
              <w:spacing w:after="0"/>
              <w:rPr>
                <w:sz w:val="20"/>
                <w:szCs w:val="20"/>
                <w:color w:val="auto"/>
              </w:rPr>
            </w:pPr>
            <w:r>
              <w:rPr>
                <w:rFonts w:ascii="Arial" w:cs="Arial" w:eastAsia="Arial" w:hAnsi="Arial"/>
                <w:sz w:val="15"/>
                <w:szCs w:val="15"/>
                <w:color w:val="auto"/>
              </w:rPr>
              <w:t>Accrued liabilities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20,768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940"/>
              <w:spacing w:after="0"/>
              <w:rPr>
                <w:sz w:val="20"/>
                <w:szCs w:val="20"/>
                <w:color w:val="auto"/>
              </w:rPr>
            </w:pPr>
            <w:r>
              <w:rPr>
                <w:rFonts w:ascii="Arial" w:cs="Arial" w:eastAsia="Arial" w:hAnsi="Arial"/>
                <w:sz w:val="15"/>
                <w:szCs w:val="15"/>
                <w:color w:val="auto"/>
              </w:rPr>
              <w:t>Operating lease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98"/>
        </w:trPr>
        <w:tc>
          <w:tcPr>
            <w:tcW w:w="7940" w:type="dxa"/>
            <w:vAlign w:val="bottom"/>
          </w:tcPr>
          <w:p>
            <w:pPr>
              <w:ind w:left="1360"/>
              <w:spacing w:after="0"/>
              <w:rPr>
                <w:sz w:val="20"/>
                <w:szCs w:val="20"/>
                <w:color w:val="auto"/>
              </w:rPr>
            </w:pPr>
            <w:r>
              <w:rPr>
                <w:rFonts w:ascii="Arial" w:cs="Arial" w:eastAsia="Arial" w:hAnsi="Arial"/>
                <w:sz w:val="15"/>
                <w:szCs w:val="15"/>
                <w:color w:val="auto"/>
              </w:rPr>
              <w:t>Net cash provided by (used in) operating activities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(30,380)</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Arial" w:cs="Arial" w:eastAsia="Arial" w:hAnsi="Arial"/>
                <w:sz w:val="15"/>
                <w:szCs w:val="15"/>
                <w:color w:val="auto"/>
              </w:rPr>
              <w:t>Purchases of marketable securities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(62,153)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(56,110)</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maturities and sales of marketable securities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68,468</w:t>
            </w: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Arial" w:cs="Arial" w:eastAsia="Arial" w:hAnsi="Arial"/>
                <w:sz w:val="15"/>
                <w:szCs w:val="15"/>
                <w:color w:val="auto"/>
              </w:rPr>
              <w:t>Purchases of property and equipment</w:t>
            </w:r>
          </w:p>
        </w:tc>
        <w:tc>
          <w:tcPr>
            <w:tcW w:w="9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(608)</w:t>
            </w:r>
          </w:p>
        </w:tc>
        <w:tc>
          <w:tcPr>
            <w:tcW w:w="0" w:type="dxa"/>
            <w:vAlign w:val="bottom"/>
          </w:tcPr>
          <w:p>
            <w:pPr>
              <w:spacing w:after="0"/>
              <w:rPr>
                <w:sz w:val="1"/>
                <w:szCs w:val="1"/>
                <w:color w:val="auto"/>
              </w:rPr>
            </w:pPr>
          </w:p>
        </w:tc>
      </w:tr>
      <w:tr>
        <w:trPr>
          <w:trHeight w:val="200"/>
        </w:trPr>
        <w:tc>
          <w:tcPr>
            <w:tcW w:w="794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15"/>
                <w:szCs w:val="15"/>
                <w:color w:val="auto"/>
              </w:rPr>
              <w:t>Net cash provided by (used in) investing activities</w:t>
            </w: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(11,332)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11,750</w:t>
            </w:r>
          </w:p>
        </w:tc>
        <w:tc>
          <w:tcPr>
            <w:tcW w:w="0" w:type="dxa"/>
            <w:vAlign w:val="bottom"/>
          </w:tcPr>
          <w:p>
            <w:pPr>
              <w:spacing w:after="0"/>
              <w:rPr>
                <w:sz w:val="1"/>
                <w:szCs w:val="1"/>
                <w:color w:val="auto"/>
              </w:rPr>
            </w:pPr>
          </w:p>
        </w:tc>
      </w:tr>
      <w:tr>
        <w:trPr>
          <w:trHeight w:val="206"/>
        </w:trPr>
        <w:tc>
          <w:tcPr>
            <w:tcW w:w="794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issuance of common stock upon exercise of stock options</w:t>
            </w:r>
          </w:p>
        </w:tc>
        <w:tc>
          <w:tcPr>
            <w:tcW w:w="9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198"/>
        </w:trPr>
        <w:tc>
          <w:tcPr>
            <w:tcW w:w="7940" w:type="dxa"/>
            <w:vAlign w:val="bottom"/>
          </w:tcPr>
          <w:p>
            <w:pPr>
              <w:ind w:left="1360"/>
              <w:spacing w:after="0"/>
              <w:rPr>
                <w:sz w:val="20"/>
                <w:szCs w:val="20"/>
                <w:color w:val="auto"/>
              </w:rPr>
            </w:pPr>
            <w:r>
              <w:rPr>
                <w:rFonts w:ascii="Arial" w:cs="Arial" w:eastAsia="Arial" w:hAnsi="Arial"/>
                <w:sz w:val="15"/>
                <w:szCs w:val="15"/>
                <w:color w:val="auto"/>
              </w:rPr>
              <w:t>Net cash provided by financing activities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(8,145)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(18,231)</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71,952</w:t>
            </w:r>
          </w:p>
        </w:tc>
        <w:tc>
          <w:tcPr>
            <w:tcW w:w="0" w:type="dxa"/>
            <w:vAlign w:val="bottom"/>
          </w:tcPr>
          <w:p>
            <w:pPr>
              <w:spacing w:after="0"/>
              <w:rPr>
                <w:sz w:val="1"/>
                <w:szCs w:val="1"/>
                <w:color w:val="auto"/>
              </w:rPr>
            </w:pPr>
          </w:p>
        </w:tc>
      </w:tr>
      <w:tr>
        <w:trPr>
          <w:trHeight w:val="198"/>
        </w:trPr>
        <w:tc>
          <w:tcPr>
            <w:tcW w:w="794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35,070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53,721</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DISCLOSURES OF NON-CASH INVESTING AND FINANCING INFORMATION:</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940" w:type="dxa"/>
            <w:vAlign w:val="bottom"/>
          </w:tcPr>
          <w:p>
            <w:pPr>
              <w:ind w:left="320"/>
              <w:spacing w:after="0"/>
              <w:rPr>
                <w:sz w:val="20"/>
                <w:szCs w:val="20"/>
                <w:color w:val="auto"/>
              </w:rPr>
            </w:pPr>
            <w:r>
              <w:rPr>
                <w:rFonts w:ascii="Arial" w:cs="Arial" w:eastAsia="Arial" w:hAnsi="Arial"/>
                <w:sz w:val="15"/>
                <w:szCs w:val="15"/>
                <w:color w:val="auto"/>
              </w:rPr>
              <w:t>Milestone for intangible asset not yet paid in cash</w:t>
            </w:r>
          </w:p>
        </w:tc>
        <w:tc>
          <w:tcPr>
            <w:tcW w:w="940" w:type="dxa"/>
            <w:vAlign w:val="bottom"/>
          </w:tcPr>
          <w:p>
            <w:pPr>
              <w:jc w:val="right"/>
              <w:ind w:right="763"/>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231"/>
        </w:trPr>
        <w:tc>
          <w:tcPr>
            <w:tcW w:w="7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Purchases of property and equipment included in accounts payable</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94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Interest expense paid in cash</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2,568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ARCUTIS BIOTHERAPEUTICS, INC.</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 Organization and Description of Business</w:t>
      </w:r>
    </w:p>
    <w:p>
      <w:pPr>
        <w:spacing w:after="0" w:line="140"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Arcutis Biotherapeutics, Inc. (the Company) is a commercial-stage biopharmaceutical company focused on developing and commercializing treatments for dermatological diseases with high unmet medical needs. The Company’s strategy is to focus on validated biological targets and to use its drug development platform and deep dermatology expertise to develop differentiated products with the potential to address major shortcomings of existing therapies in its targeted indications.</w:t>
      </w:r>
    </w:p>
    <w:p>
      <w:pPr>
        <w:spacing w:after="0" w:line="100" w:lineRule="exact"/>
        <w:rPr>
          <w:sz w:val="20"/>
          <w:szCs w:val="20"/>
          <w:color w:val="auto"/>
        </w:rPr>
      </w:pPr>
    </w:p>
    <w:p>
      <w:pPr>
        <w:ind w:right="40" w:firstLine="619"/>
        <w:spacing w:after="0" w:line="245" w:lineRule="auto"/>
        <w:rPr>
          <w:sz w:val="20"/>
          <w:szCs w:val="20"/>
          <w:color w:val="auto"/>
        </w:rPr>
      </w:pPr>
      <w:r>
        <w:rPr>
          <w:rFonts w:ascii="Arial" w:cs="Arial" w:eastAsia="Arial" w:hAnsi="Arial"/>
          <w:sz w:val="17"/>
          <w:szCs w:val="17"/>
          <w:color w:val="auto"/>
        </w:rPr>
        <w:t>The Company received United States (U.S.) Food and Drug Administration (FDA) approval of its first product, ZORYVE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(roflumilast) cream 0.3% (ZORYVE cream 0.3%), in July 2022 for the treatment of plaque psoriasis. Since that time, the Company has obtained regulatory approvals and commercially launched ZORYVE in various formulations to treat additional disease states, in additional concentrations for various age groups, and in both the United States and Canada. To date, ZORYVE has received regulatory approval and has been commercially launched, or is awaiting regulatory approval, as detailed below.</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360" w:type="dxa"/>
            <w:vAlign w:val="bottom"/>
            <w:tcBorders>
              <w:top w:val="single" w:sz="8" w:color="auto"/>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9"/>
              </w:rPr>
              <w:t>Product / Indication</w:t>
            </w:r>
          </w:p>
        </w:tc>
        <w:tc>
          <w:tcPr>
            <w:tcW w:w="13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Concentration</w:t>
            </w:r>
          </w:p>
        </w:tc>
        <w:tc>
          <w:tcPr>
            <w:tcW w:w="7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Region</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3"/>
            <w:shd w:val="clear" w:color="auto" w:fill="CCEEFF"/>
          </w:tcPr>
          <w:p>
            <w:pPr>
              <w:jc w:val="center"/>
              <w:ind w:right="431"/>
              <w:spacing w:after="0"/>
              <w:rPr>
                <w:sz w:val="20"/>
                <w:szCs w:val="20"/>
                <w:color w:val="auto"/>
              </w:rPr>
            </w:pPr>
            <w:r>
              <w:rPr>
                <w:rFonts w:ascii="Arial" w:cs="Arial" w:eastAsia="Arial" w:hAnsi="Arial"/>
                <w:sz w:val="14"/>
                <w:szCs w:val="14"/>
                <w:b w:val="1"/>
                <w:bCs w:val="1"/>
                <w:color w:val="auto"/>
                <w:w w:val="98"/>
              </w:rPr>
              <w:t>Age</w:t>
            </w:r>
          </w:p>
        </w:tc>
        <w:tc>
          <w:tcPr>
            <w:tcW w:w="1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Stage</w:t>
            </w:r>
          </w:p>
        </w:tc>
        <w:tc>
          <w:tcPr>
            <w:tcW w:w="88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2023</w:t>
            </w: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2024</w:t>
            </w: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2025</w:t>
            </w:r>
          </w:p>
        </w:tc>
        <w:tc>
          <w:tcPr>
            <w:tcW w:w="1100" w:type="dxa"/>
            <w:vAlign w:val="bottom"/>
            <w:tcBorders>
              <w:top w:val="single" w:sz="8" w:color="auto"/>
              <w:bottom w:val="single" w:sz="8" w:color="auto"/>
              <w:right w:val="single" w:sz="8" w:color="auto"/>
            </w:tcBorders>
            <w:shd w:val="clear" w:color="auto" w:fill="CCEEFF"/>
          </w:tcPr>
          <w:p>
            <w:pPr>
              <w:jc w:val="center"/>
              <w:ind w:right="11"/>
              <w:spacing w:after="0"/>
              <w:rPr>
                <w:sz w:val="20"/>
                <w:szCs w:val="20"/>
                <w:color w:val="auto"/>
              </w:rPr>
            </w:pPr>
            <w:r>
              <w:rPr>
                <w:rFonts w:ascii="Arial" w:cs="Arial" w:eastAsia="Arial" w:hAnsi="Arial"/>
                <w:sz w:val="14"/>
                <w:szCs w:val="14"/>
                <w:b w:val="1"/>
                <w:bCs w:val="1"/>
                <w:color w:val="auto"/>
                <w:w w:val="96"/>
              </w:rPr>
              <w:t>2026</w:t>
            </w:r>
          </w:p>
        </w:tc>
        <w:tc>
          <w:tcPr>
            <w:tcW w:w="0" w:type="dxa"/>
            <w:vAlign w:val="bottom"/>
          </w:tcPr>
          <w:p>
            <w:pPr>
              <w:spacing w:after="0"/>
              <w:rPr>
                <w:sz w:val="1"/>
                <w:szCs w:val="1"/>
                <w:color w:val="auto"/>
              </w:rPr>
            </w:pPr>
          </w:p>
        </w:tc>
      </w:tr>
      <w:tr>
        <w:trPr>
          <w:trHeight w:val="148"/>
        </w:trPr>
        <w:tc>
          <w:tcPr>
            <w:tcW w:w="1360" w:type="dxa"/>
            <w:vAlign w:val="bottom"/>
            <w:tcBorders>
              <w:left w:val="single" w:sz="8" w:color="auto"/>
            </w:tcBorders>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0.3%</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320" w:type="dxa"/>
            <w:vAlign w:val="bottom"/>
          </w:tcPr>
          <w:p>
            <w:pPr>
              <w:spacing w:after="0"/>
              <w:rPr>
                <w:sz w:val="12"/>
                <w:szCs w:val="12"/>
                <w:color w:val="auto"/>
              </w:rPr>
            </w:pPr>
          </w:p>
        </w:tc>
        <w:tc>
          <w:tcPr>
            <w:tcW w:w="860" w:type="dxa"/>
            <w:vAlign w:val="bottom"/>
            <w:gridSpan w:val="7"/>
          </w:tcPr>
          <w:p>
            <w:pPr>
              <w:jc w:val="center"/>
              <w:ind w:right="311"/>
              <w:spacing w:after="0" w:line="149" w:lineRule="exact"/>
              <w:rPr>
                <w:sz w:val="20"/>
                <w:szCs w:val="20"/>
                <w:color w:val="auto"/>
              </w:rPr>
            </w:pPr>
            <w:r>
              <w:rPr>
                <w:rFonts w:ascii="Arial" w:cs="Arial" w:eastAsia="Arial" w:hAnsi="Arial"/>
                <w:sz w:val="14"/>
                <w:szCs w:val="14"/>
                <w:color w:val="auto"/>
                <w:w w:val="95"/>
              </w:rPr>
              <w:t>&gt; 12 yrs</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7"/>
              </w:rPr>
              <w:t>Commercial Launch</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August</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ZORYVE cream for</w:t>
            </w:r>
          </w:p>
        </w:tc>
        <w:tc>
          <w:tcPr>
            <w:tcW w:w="1320" w:type="dxa"/>
            <w:vAlign w:val="bottom"/>
          </w:tcPr>
          <w:p>
            <w:pPr>
              <w:jc w:val="center"/>
              <w:spacing w:after="0"/>
              <w:rPr>
                <w:sz w:val="20"/>
                <w:szCs w:val="20"/>
                <w:color w:val="auto"/>
              </w:rPr>
            </w:pPr>
            <w:r>
              <w:rPr>
                <w:rFonts w:ascii="Arial" w:cs="Arial" w:eastAsia="Arial" w:hAnsi="Arial"/>
                <w:sz w:val="14"/>
                <w:szCs w:val="14"/>
                <w:color w:val="auto"/>
              </w:rPr>
              <w:t>0.3%</w:t>
            </w:r>
          </w:p>
        </w:tc>
        <w:tc>
          <w:tcPr>
            <w:tcW w:w="760" w:type="dxa"/>
            <w:vAlign w:val="bottom"/>
          </w:tcPr>
          <w:p>
            <w:pPr>
              <w:spacing w:after="0"/>
              <w:rPr>
                <w:sz w:val="20"/>
                <w:szCs w:val="20"/>
                <w:color w:val="auto"/>
              </w:rPr>
            </w:pPr>
            <w:r>
              <w:rPr>
                <w:rFonts w:ascii="Arial" w:cs="Arial" w:eastAsia="Arial" w:hAnsi="Arial"/>
                <w:sz w:val="14"/>
                <w:szCs w:val="14"/>
                <w:color w:val="auto"/>
              </w:rPr>
              <w:t>Canada</w:t>
            </w:r>
          </w:p>
        </w:tc>
        <w:tc>
          <w:tcPr>
            <w:tcW w:w="320" w:type="dxa"/>
            <w:vAlign w:val="bottom"/>
          </w:tcPr>
          <w:p>
            <w:pPr>
              <w:spacing w:after="0"/>
              <w:rPr>
                <w:sz w:val="15"/>
                <w:szCs w:val="15"/>
                <w:color w:val="auto"/>
              </w:rPr>
            </w:pPr>
          </w:p>
        </w:tc>
        <w:tc>
          <w:tcPr>
            <w:tcW w:w="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w w:val="72"/>
              </w:rPr>
              <w:t>&gt;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center"/>
              <w:ind w:right="311"/>
              <w:spacing w:after="0"/>
              <w:rPr>
                <w:sz w:val="20"/>
                <w:szCs w:val="20"/>
                <w:color w:val="auto"/>
              </w:rPr>
            </w:pPr>
            <w:r>
              <w:rPr>
                <w:rFonts w:ascii="Arial" w:cs="Arial" w:eastAsia="Arial" w:hAnsi="Arial"/>
                <w:sz w:val="14"/>
                <w:szCs w:val="14"/>
                <w:color w:val="auto"/>
                <w:w w:val="89"/>
              </w:rPr>
              <w:t>12 yrs</w:t>
            </w: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Commercial Launch</w:t>
            </w:r>
          </w:p>
        </w:tc>
        <w:tc>
          <w:tcPr>
            <w:tcW w:w="8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June</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3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Plaque Psoriasis</w:t>
            </w:r>
          </w:p>
        </w:tc>
        <w:tc>
          <w:tcPr>
            <w:tcW w:w="1320" w:type="dxa"/>
            <w:vAlign w:val="bottom"/>
          </w:tcPr>
          <w:p>
            <w:pPr>
              <w:jc w:val="center"/>
              <w:spacing w:after="0"/>
              <w:rPr>
                <w:sz w:val="20"/>
                <w:szCs w:val="20"/>
                <w:color w:val="auto"/>
              </w:rPr>
            </w:pPr>
            <w:r>
              <w:rPr>
                <w:rFonts w:ascii="Arial" w:cs="Arial" w:eastAsia="Arial" w:hAnsi="Arial"/>
                <w:sz w:val="14"/>
                <w:szCs w:val="14"/>
                <w:color w:val="auto"/>
              </w:rPr>
              <w:t>0.3%</w:t>
            </w:r>
          </w:p>
        </w:tc>
        <w:tc>
          <w:tcPr>
            <w:tcW w:w="760" w:type="dxa"/>
            <w:vAlign w:val="bottom"/>
          </w:tcPr>
          <w:p>
            <w:pPr>
              <w:spacing w:after="0"/>
              <w:rPr>
                <w:sz w:val="20"/>
                <w:szCs w:val="20"/>
                <w:color w:val="auto"/>
              </w:rPr>
            </w:pPr>
            <w:r>
              <w:rPr>
                <w:rFonts w:ascii="Arial" w:cs="Arial" w:eastAsia="Arial" w:hAnsi="Arial"/>
                <w:sz w:val="14"/>
                <w:szCs w:val="14"/>
                <w:color w:val="auto"/>
              </w:rPr>
              <w:t>U.S.</w:t>
            </w:r>
          </w:p>
        </w:tc>
        <w:tc>
          <w:tcPr>
            <w:tcW w:w="1180" w:type="dxa"/>
            <w:vAlign w:val="bottom"/>
            <w:gridSpan w:val="8"/>
          </w:tcPr>
          <w:p>
            <w:pPr>
              <w:jc w:val="center"/>
              <w:spacing w:after="0"/>
              <w:rPr>
                <w:sz w:val="20"/>
                <w:szCs w:val="20"/>
                <w:color w:val="auto"/>
              </w:rPr>
            </w:pPr>
            <w:r>
              <w:rPr>
                <w:rFonts w:ascii="Arial" w:cs="Arial" w:eastAsia="Arial" w:hAnsi="Arial"/>
                <w:sz w:val="14"/>
                <w:szCs w:val="14"/>
                <w:color w:val="auto"/>
                <w:w w:val="98"/>
              </w:rPr>
              <w:t>6 yrs -11 yrs</w:t>
            </w: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Commercial Launch</w:t>
            </w:r>
          </w:p>
        </w:tc>
        <w:tc>
          <w:tcPr>
            <w:tcW w:w="8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October</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60" w:type="dxa"/>
            <w:vAlign w:val="bottom"/>
            <w:tcBorders>
              <w:left w:val="single" w:sz="8" w:color="auto"/>
            </w:tcBorders>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0.3%</w:t>
            </w:r>
          </w:p>
        </w:tc>
        <w:tc>
          <w:tcPr>
            <w:tcW w:w="760" w:type="dxa"/>
            <w:vAlign w:val="bottom"/>
          </w:tcPr>
          <w:p>
            <w:pPr>
              <w:spacing w:after="0"/>
              <w:rPr>
                <w:sz w:val="20"/>
                <w:szCs w:val="20"/>
                <w:color w:val="auto"/>
              </w:rPr>
            </w:pPr>
            <w:r>
              <w:rPr>
                <w:rFonts w:ascii="Arial" w:cs="Arial" w:eastAsia="Arial" w:hAnsi="Arial"/>
                <w:sz w:val="14"/>
                <w:szCs w:val="14"/>
                <w:color w:val="auto"/>
              </w:rPr>
              <w:t>U.S.</w:t>
            </w:r>
          </w:p>
        </w:tc>
        <w:tc>
          <w:tcPr>
            <w:tcW w:w="1180" w:type="dxa"/>
            <w:vAlign w:val="bottom"/>
            <w:gridSpan w:val="8"/>
          </w:tcPr>
          <w:p>
            <w:pPr>
              <w:jc w:val="center"/>
              <w:spacing w:after="0"/>
              <w:rPr>
                <w:sz w:val="20"/>
                <w:szCs w:val="20"/>
                <w:color w:val="auto"/>
              </w:rPr>
            </w:pPr>
            <w:r>
              <w:rPr>
                <w:rFonts w:ascii="Arial" w:cs="Arial" w:eastAsia="Arial" w:hAnsi="Arial"/>
                <w:sz w:val="14"/>
                <w:szCs w:val="14"/>
                <w:color w:val="auto"/>
                <w:w w:val="98"/>
              </w:rPr>
              <w:t>2 yrs - 5 yrs</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sNDA Acceptance</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November</w:t>
            </w: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0.3%</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Canada</w:t>
            </w:r>
          </w:p>
        </w:tc>
        <w:tc>
          <w:tcPr>
            <w:tcW w:w="11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color w:val="auto"/>
                <w:w w:val="98"/>
              </w:rPr>
              <w:t>2 yrs - 12 yrs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SNDS Acceptance</w:t>
            </w:r>
          </w:p>
        </w:tc>
        <w:tc>
          <w:tcPr>
            <w:tcW w:w="8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4"/>
                <w:szCs w:val="14"/>
                <w:color w:val="auto"/>
                <w:w w:val="96"/>
              </w:rPr>
              <w:t>February</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tcBorders>
            <w:shd w:val="clear" w:color="auto" w:fill="CCEEFF"/>
          </w:tcPr>
          <w:p>
            <w:pPr>
              <w:ind w:left="40"/>
              <w:spacing w:after="0" w:line="139" w:lineRule="exact"/>
              <w:rPr>
                <w:sz w:val="20"/>
                <w:szCs w:val="20"/>
                <w:color w:val="auto"/>
              </w:rPr>
            </w:pPr>
            <w:r>
              <w:rPr>
                <w:rFonts w:ascii="Arial" w:cs="Arial" w:eastAsia="Arial" w:hAnsi="Arial"/>
                <w:sz w:val="14"/>
                <w:szCs w:val="14"/>
                <w:color w:val="auto"/>
              </w:rPr>
              <w:t>ZORYVE foam for</w:t>
            </w:r>
          </w:p>
        </w:tc>
        <w:tc>
          <w:tcPr>
            <w:tcW w:w="13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0.3%</w:t>
            </w:r>
          </w:p>
        </w:tc>
        <w:tc>
          <w:tcPr>
            <w:tcW w:w="7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U.S.</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5"/>
            <w:shd w:val="clear" w:color="auto" w:fill="CCEEFF"/>
          </w:tcPr>
          <w:p>
            <w:pPr>
              <w:jc w:val="center"/>
              <w:ind w:right="351"/>
              <w:spacing w:after="0" w:line="139" w:lineRule="exact"/>
              <w:rPr>
                <w:sz w:val="20"/>
                <w:szCs w:val="20"/>
                <w:color w:val="auto"/>
              </w:rPr>
            </w:pPr>
            <w:r>
              <w:rPr>
                <w:rFonts w:ascii="Arial" w:cs="Arial" w:eastAsia="Arial" w:hAnsi="Arial"/>
                <w:sz w:val="14"/>
                <w:szCs w:val="14"/>
                <w:color w:val="auto"/>
                <w:w w:val="94"/>
              </w:rPr>
              <w:t>&gt; 9 yrs</w:t>
            </w:r>
          </w:p>
        </w:tc>
        <w:tc>
          <w:tcPr>
            <w:tcW w:w="17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7"/>
              </w:rPr>
              <w:t>Commercial Launch</w:t>
            </w: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January</w:t>
            </w:r>
          </w:p>
        </w:tc>
        <w:tc>
          <w:tcPr>
            <w:tcW w:w="106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360" w:type="dxa"/>
            <w:vAlign w:val="bottom"/>
            <w:tcBorders>
              <w:top w:val="single" w:sz="8" w:color="CCEEFF"/>
              <w:left w:val="single" w:sz="8" w:color="auto"/>
            </w:tcBorders>
            <w:shd w:val="clear" w:color="auto" w:fill="CCEEFF"/>
          </w:tcPr>
          <w:p>
            <w:pPr>
              <w:ind w:left="40"/>
              <w:spacing w:after="0" w:line="109" w:lineRule="exact"/>
              <w:rPr>
                <w:sz w:val="20"/>
                <w:szCs w:val="20"/>
                <w:color w:val="auto"/>
              </w:rPr>
            </w:pPr>
            <w:r>
              <w:rPr>
                <w:rFonts w:ascii="Arial" w:cs="Arial" w:eastAsia="Arial" w:hAnsi="Arial"/>
                <w:sz w:val="11"/>
                <w:szCs w:val="11"/>
                <w:color w:val="auto"/>
              </w:rPr>
              <w:t>Seborrheic</w:t>
            </w:r>
          </w:p>
        </w:tc>
        <w:tc>
          <w:tcPr>
            <w:tcW w:w="132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76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Canada</w:t>
            </w:r>
          </w:p>
        </w:tc>
        <w:tc>
          <w:tcPr>
            <w:tcW w:w="3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72"/>
              </w:rPr>
              <w:t>&gt;</w:t>
            </w:r>
          </w:p>
        </w:tc>
        <w:tc>
          <w:tcPr>
            <w:tcW w:w="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vMerge w:val="restart"/>
            <w:shd w:val="clear" w:color="auto" w:fill="CCEEFF"/>
          </w:tcPr>
          <w:p>
            <w:pPr>
              <w:jc w:val="center"/>
              <w:ind w:right="351"/>
              <w:spacing w:after="0"/>
              <w:rPr>
                <w:sz w:val="20"/>
                <w:szCs w:val="20"/>
                <w:color w:val="auto"/>
              </w:rPr>
            </w:pPr>
            <w:r>
              <w:rPr>
                <w:rFonts w:ascii="Arial" w:cs="Arial" w:eastAsia="Arial" w:hAnsi="Arial"/>
                <w:sz w:val="14"/>
                <w:szCs w:val="14"/>
                <w:color w:val="auto"/>
                <w:w w:val="98"/>
              </w:rPr>
              <w:t>9 yrs</w:t>
            </w:r>
          </w:p>
        </w:tc>
        <w:tc>
          <w:tcPr>
            <w:tcW w:w="172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Commercial Launch</w:t>
            </w:r>
          </w:p>
        </w:tc>
        <w:tc>
          <w:tcPr>
            <w:tcW w:w="8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November</w:t>
            </w:r>
          </w:p>
        </w:tc>
        <w:tc>
          <w:tcPr>
            <w:tcW w:w="106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60" w:type="dxa"/>
            <w:vAlign w:val="bottom"/>
            <w:tcBorders>
              <w:left w:val="single" w:sz="8" w:color="auto"/>
              <w:bottom w:val="single" w:sz="8" w:color="CCEEFF"/>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Dermatitis</w:t>
            </w:r>
          </w:p>
        </w:tc>
        <w:tc>
          <w:tcPr>
            <w:tcW w:w="1320" w:type="dxa"/>
            <w:vAlign w:val="bottom"/>
            <w:tcBorders>
              <w:bottom w:val="single" w:sz="8" w:color="CCEEFF"/>
            </w:tcBorders>
            <w:vMerge w:val="continue"/>
            <w:shd w:val="clear" w:color="auto" w:fill="CCEEFF"/>
          </w:tcPr>
          <w:p>
            <w:pPr>
              <w:spacing w:after="0"/>
              <w:rPr>
                <w:sz w:val="9"/>
                <w:szCs w:val="9"/>
                <w:color w:val="auto"/>
              </w:rPr>
            </w:pPr>
          </w:p>
        </w:tc>
        <w:tc>
          <w:tcPr>
            <w:tcW w:w="760" w:type="dxa"/>
            <w:vAlign w:val="bottom"/>
            <w:tcBorders>
              <w:bottom w:val="single" w:sz="8" w:color="CCEEFF"/>
            </w:tcBorders>
            <w:vMerge w:val="continue"/>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gridSpan w:val="3"/>
            <w:vMerge w:val="continue"/>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720" w:type="dxa"/>
            <w:vAlign w:val="bottom"/>
            <w:tcBorders>
              <w:bottom w:val="single" w:sz="8" w:color="CCEEFF"/>
            </w:tcBorders>
            <w:vMerge w:val="continue"/>
            <w:shd w:val="clear" w:color="auto" w:fill="CCEEFF"/>
          </w:tcPr>
          <w:p>
            <w:pPr>
              <w:spacing w:after="0"/>
              <w:rPr>
                <w:sz w:val="9"/>
                <w:szCs w:val="9"/>
                <w:color w:val="auto"/>
              </w:rPr>
            </w:pPr>
          </w:p>
        </w:tc>
        <w:tc>
          <w:tcPr>
            <w:tcW w:w="1720" w:type="dxa"/>
            <w:vAlign w:val="bottom"/>
            <w:tcBorders>
              <w:bottom w:val="single" w:sz="8" w:color="CCEEFF"/>
            </w:tcBorders>
            <w:vMerge w:val="continue"/>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vMerge w:val="continue"/>
            <w:shd w:val="clear" w:color="auto" w:fill="CCEEFF"/>
          </w:tcPr>
          <w:p>
            <w:pPr>
              <w:spacing w:after="0"/>
              <w:rPr>
                <w:sz w:val="9"/>
                <w:szCs w:val="9"/>
                <w:color w:val="auto"/>
              </w:rPr>
            </w:pPr>
          </w:p>
        </w:tc>
        <w:tc>
          <w:tcPr>
            <w:tcW w:w="106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360" w:type="dxa"/>
            <w:vAlign w:val="bottom"/>
            <w:tcBorders>
              <w:left w:val="single" w:sz="8" w:color="auto"/>
              <w:bottom w:val="single" w:sz="8" w:color="CCEEFF"/>
            </w:tcBorders>
            <w:vMerge w:val="continue"/>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gridSpan w:val="2"/>
            <w:shd w:val="clear" w:color="auto" w:fill="CCEEFF"/>
          </w:tcPr>
          <w:p>
            <w:pPr>
              <w:spacing w:after="0"/>
              <w:rPr>
                <w:sz w:val="6"/>
                <w:szCs w:val="6"/>
                <w:color w:val="auto"/>
              </w:rPr>
            </w:pPr>
          </w:p>
        </w:tc>
        <w:tc>
          <w:tcPr>
            <w:tcW w:w="20" w:type="dxa"/>
            <w:vAlign w:val="bottom"/>
            <w:tcBorders>
              <w:bottom w:val="single" w:sz="8" w:color="CCEEFF"/>
            </w:tcBorders>
            <w:vMerge w:val="continue"/>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1720" w:type="dxa"/>
            <w:vAlign w:val="bottom"/>
            <w:tcBorders>
              <w:bottom w:val="single" w:sz="8" w:color="CCEEFF"/>
            </w:tcBorders>
            <w:vMerge w:val="continue"/>
            <w:shd w:val="clear" w:color="auto" w:fill="CCEEFF"/>
          </w:tcPr>
          <w:p>
            <w:pPr>
              <w:spacing w:after="0"/>
              <w:rPr>
                <w:sz w:val="6"/>
                <w:szCs w:val="6"/>
                <w:color w:val="auto"/>
              </w:rPr>
            </w:pPr>
          </w:p>
        </w:tc>
        <w:tc>
          <w:tcPr>
            <w:tcW w:w="88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auto"/>
              <w:left w:val="single" w:sz="8" w:color="auto"/>
            </w:tcBorders>
          </w:tcPr>
          <w:p>
            <w:pPr>
              <w:spacing w:after="0"/>
              <w:rPr>
                <w:sz w:val="12"/>
                <w:szCs w:val="12"/>
                <w:color w:val="auto"/>
              </w:rPr>
            </w:pPr>
          </w:p>
        </w:tc>
        <w:tc>
          <w:tcPr>
            <w:tcW w:w="132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color w:val="auto"/>
                <w:w w:val="95"/>
              </w:rPr>
              <w:t>0.15%</w:t>
            </w:r>
          </w:p>
        </w:tc>
        <w:tc>
          <w:tcPr>
            <w:tcW w:w="76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color w:val="auto"/>
              </w:rPr>
              <w:t>U.S.</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5"/>
          </w:tcPr>
          <w:p>
            <w:pPr>
              <w:jc w:val="center"/>
              <w:ind w:right="351"/>
              <w:spacing w:after="0" w:line="148" w:lineRule="exact"/>
              <w:rPr>
                <w:sz w:val="20"/>
                <w:szCs w:val="20"/>
                <w:color w:val="auto"/>
              </w:rPr>
            </w:pPr>
            <w:r>
              <w:rPr>
                <w:rFonts w:ascii="Arial" w:cs="Arial" w:eastAsia="Arial" w:hAnsi="Arial"/>
                <w:sz w:val="14"/>
                <w:szCs w:val="14"/>
                <w:color w:val="auto"/>
                <w:w w:val="94"/>
              </w:rPr>
              <w:t>&gt; 6 yrs</w:t>
            </w:r>
          </w:p>
        </w:tc>
        <w:tc>
          <w:tcPr>
            <w:tcW w:w="172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color w:val="auto"/>
                <w:w w:val="97"/>
              </w:rPr>
              <w:t>Commercial Launch</w:t>
            </w:r>
          </w:p>
        </w:tc>
        <w:tc>
          <w:tcPr>
            <w:tcW w:w="8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color w:val="auto"/>
                <w:w w:val="96"/>
              </w:rPr>
              <w:t>July</w:t>
            </w:r>
          </w:p>
        </w:tc>
        <w:tc>
          <w:tcPr>
            <w:tcW w:w="1060" w:type="dxa"/>
            <w:vAlign w:val="bottom"/>
            <w:tcBorders>
              <w:top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ZORYVE cream for</w:t>
            </w: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0.15%</w:t>
            </w:r>
          </w:p>
        </w:tc>
        <w:tc>
          <w:tcPr>
            <w:tcW w:w="760" w:type="dxa"/>
            <w:vAlign w:val="bottom"/>
          </w:tcPr>
          <w:p>
            <w:pPr>
              <w:spacing w:after="0"/>
              <w:rPr>
                <w:sz w:val="20"/>
                <w:szCs w:val="20"/>
                <w:color w:val="auto"/>
              </w:rPr>
            </w:pPr>
            <w:r>
              <w:rPr>
                <w:rFonts w:ascii="Arial" w:cs="Arial" w:eastAsia="Arial" w:hAnsi="Arial"/>
                <w:sz w:val="14"/>
                <w:szCs w:val="14"/>
                <w:color w:val="auto"/>
              </w:rPr>
              <w:t>Canada</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72"/>
              </w:rPr>
              <w:t>&gt;</w:t>
            </w:r>
          </w:p>
        </w:tc>
        <w:tc>
          <w:tcPr>
            <w:tcW w:w="720" w:type="dxa"/>
            <w:vAlign w:val="bottom"/>
          </w:tcPr>
          <w:p>
            <w:pPr>
              <w:jc w:val="center"/>
              <w:ind w:right="351"/>
              <w:spacing w:after="0"/>
              <w:rPr>
                <w:sz w:val="20"/>
                <w:szCs w:val="20"/>
                <w:color w:val="auto"/>
              </w:rPr>
            </w:pPr>
            <w:r>
              <w:rPr>
                <w:rFonts w:ascii="Arial" w:cs="Arial" w:eastAsia="Arial" w:hAnsi="Arial"/>
                <w:sz w:val="14"/>
                <w:szCs w:val="14"/>
                <w:color w:val="auto"/>
                <w:w w:val="98"/>
              </w:rPr>
              <w:t>6 yrs</w:t>
            </w: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Commercial Launch</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April</w:t>
            </w: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3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Atopic Dermatitis</w:t>
            </w: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0.05%</w:t>
            </w:r>
          </w:p>
        </w:tc>
        <w:tc>
          <w:tcPr>
            <w:tcW w:w="760" w:type="dxa"/>
            <w:vAlign w:val="bottom"/>
          </w:tcPr>
          <w:p>
            <w:pPr>
              <w:spacing w:after="0"/>
              <w:rPr>
                <w:sz w:val="20"/>
                <w:szCs w:val="20"/>
                <w:color w:val="auto"/>
              </w:rPr>
            </w:pPr>
            <w:r>
              <w:rPr>
                <w:rFonts w:ascii="Arial" w:cs="Arial" w:eastAsia="Arial" w:hAnsi="Arial"/>
                <w:sz w:val="14"/>
                <w:szCs w:val="14"/>
                <w:color w:val="auto"/>
              </w:rPr>
              <w:t>U.S.</w:t>
            </w:r>
          </w:p>
        </w:tc>
        <w:tc>
          <w:tcPr>
            <w:tcW w:w="1180" w:type="dxa"/>
            <w:vAlign w:val="bottom"/>
            <w:gridSpan w:val="8"/>
          </w:tcPr>
          <w:p>
            <w:pPr>
              <w:jc w:val="center"/>
              <w:spacing w:after="0"/>
              <w:rPr>
                <w:sz w:val="20"/>
                <w:szCs w:val="20"/>
                <w:color w:val="auto"/>
              </w:rPr>
            </w:pPr>
            <w:r>
              <w:rPr>
                <w:rFonts w:ascii="Arial" w:cs="Arial" w:eastAsia="Arial" w:hAnsi="Arial"/>
                <w:sz w:val="14"/>
                <w:szCs w:val="14"/>
                <w:color w:val="auto"/>
                <w:w w:val="98"/>
              </w:rPr>
              <w:t>2 yrs - 5 yrs</w:t>
            </w: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Commercial Launch</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October</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60" w:type="dxa"/>
            <w:vAlign w:val="bottom"/>
            <w:tcBorders>
              <w:left w:val="single" w:sz="8" w:color="auto"/>
            </w:tcBorders>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0.05%</w:t>
            </w:r>
          </w:p>
        </w:tc>
        <w:tc>
          <w:tcPr>
            <w:tcW w:w="760" w:type="dxa"/>
            <w:vAlign w:val="bottom"/>
          </w:tcPr>
          <w:p>
            <w:pPr>
              <w:spacing w:after="0"/>
              <w:rPr>
                <w:sz w:val="20"/>
                <w:szCs w:val="20"/>
                <w:color w:val="auto"/>
              </w:rPr>
            </w:pPr>
            <w:r>
              <w:rPr>
                <w:rFonts w:ascii="Arial" w:cs="Arial" w:eastAsia="Arial" w:hAnsi="Arial"/>
                <w:sz w:val="14"/>
                <w:szCs w:val="14"/>
                <w:color w:val="auto"/>
              </w:rPr>
              <w:t>Canada</w:t>
            </w:r>
          </w:p>
        </w:tc>
        <w:tc>
          <w:tcPr>
            <w:tcW w:w="1180" w:type="dxa"/>
            <w:vAlign w:val="bottom"/>
            <w:gridSpan w:val="8"/>
          </w:tcPr>
          <w:p>
            <w:pPr>
              <w:jc w:val="center"/>
              <w:spacing w:after="0"/>
              <w:rPr>
                <w:sz w:val="20"/>
                <w:szCs w:val="20"/>
                <w:color w:val="auto"/>
              </w:rPr>
            </w:pPr>
            <w:r>
              <w:rPr>
                <w:rFonts w:ascii="Arial" w:cs="Arial" w:eastAsia="Arial" w:hAnsi="Arial"/>
                <w:sz w:val="14"/>
                <w:szCs w:val="14"/>
                <w:color w:val="auto"/>
                <w:w w:val="98"/>
              </w:rPr>
              <w:t>2 yrs - 5 yrs</w:t>
            </w:r>
          </w:p>
        </w:tc>
        <w:tc>
          <w:tcPr>
            <w:tcW w:w="1720" w:type="dxa"/>
            <w:vAlign w:val="bottom"/>
          </w:tcPr>
          <w:p>
            <w:pPr>
              <w:jc w:val="center"/>
              <w:spacing w:after="0"/>
              <w:rPr>
                <w:sz w:val="20"/>
                <w:szCs w:val="20"/>
                <w:color w:val="auto"/>
              </w:rPr>
            </w:pPr>
            <w:r>
              <w:rPr>
                <w:rFonts w:ascii="Arial" w:cs="Arial" w:eastAsia="Arial" w:hAnsi="Arial"/>
                <w:sz w:val="14"/>
                <w:szCs w:val="14"/>
                <w:color w:val="auto"/>
                <w:w w:val="98"/>
              </w:rPr>
              <w:t>SNDS Acceptance</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October</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0.05%</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w:t>
            </w:r>
          </w:p>
        </w:tc>
        <w:tc>
          <w:tcPr>
            <w:tcW w:w="11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color w:val="auto"/>
                <w:w w:val="98"/>
              </w:rPr>
              <w:t>3 mos - 2 yrs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sNDA Submittal</w:t>
            </w:r>
          </w:p>
        </w:tc>
        <w:tc>
          <w:tcPr>
            <w:tcW w:w="8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4"/>
                <w:szCs w:val="14"/>
                <w:color w:val="auto"/>
                <w:w w:val="99"/>
              </w:rPr>
              <w:t>April</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tcBorders>
            <w:shd w:val="clear" w:color="auto" w:fill="CCEEFF"/>
          </w:tcPr>
          <w:p>
            <w:pPr>
              <w:ind w:left="40"/>
              <w:spacing w:after="0" w:line="139" w:lineRule="exact"/>
              <w:rPr>
                <w:sz w:val="20"/>
                <w:szCs w:val="20"/>
                <w:color w:val="auto"/>
              </w:rPr>
            </w:pPr>
            <w:r>
              <w:rPr>
                <w:rFonts w:ascii="Arial" w:cs="Arial" w:eastAsia="Arial" w:hAnsi="Arial"/>
                <w:sz w:val="14"/>
                <w:szCs w:val="14"/>
                <w:color w:val="auto"/>
              </w:rPr>
              <w:t>ZORYVE foam for</w:t>
            </w:r>
          </w:p>
        </w:tc>
        <w:tc>
          <w:tcPr>
            <w:tcW w:w="13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0.3%</w:t>
            </w:r>
          </w:p>
        </w:tc>
        <w:tc>
          <w:tcPr>
            <w:tcW w:w="7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U.S.</w:t>
            </w:r>
          </w:p>
        </w:tc>
        <w:tc>
          <w:tcPr>
            <w:tcW w:w="320" w:type="dxa"/>
            <w:vAlign w:val="bottom"/>
            <w:shd w:val="clear" w:color="auto" w:fill="CCEEFF"/>
          </w:tcPr>
          <w:p>
            <w:pPr>
              <w:spacing w:after="0"/>
              <w:rPr>
                <w:sz w:val="12"/>
                <w:szCs w:val="12"/>
                <w:color w:val="auto"/>
              </w:rPr>
            </w:pPr>
          </w:p>
        </w:tc>
        <w:tc>
          <w:tcPr>
            <w:tcW w:w="860" w:type="dxa"/>
            <w:vAlign w:val="bottom"/>
            <w:gridSpan w:val="7"/>
            <w:shd w:val="clear" w:color="auto" w:fill="CCEEFF"/>
          </w:tcPr>
          <w:p>
            <w:pPr>
              <w:jc w:val="center"/>
              <w:ind w:right="311"/>
              <w:spacing w:after="0" w:line="139" w:lineRule="exact"/>
              <w:rPr>
                <w:sz w:val="20"/>
                <w:szCs w:val="20"/>
                <w:color w:val="auto"/>
              </w:rPr>
            </w:pPr>
            <w:r>
              <w:rPr>
                <w:rFonts w:ascii="Arial" w:cs="Arial" w:eastAsia="Arial" w:hAnsi="Arial"/>
                <w:sz w:val="14"/>
                <w:szCs w:val="14"/>
                <w:color w:val="auto"/>
                <w:w w:val="95"/>
              </w:rPr>
              <w:t>&gt; 12 yrs</w:t>
            </w:r>
          </w:p>
        </w:tc>
        <w:tc>
          <w:tcPr>
            <w:tcW w:w="17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7"/>
              </w:rPr>
              <w:t>Commercial Launch</w:t>
            </w: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June</w:t>
            </w:r>
          </w:p>
        </w:tc>
        <w:tc>
          <w:tcPr>
            <w:tcW w:w="1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360" w:type="dxa"/>
            <w:vAlign w:val="bottom"/>
            <w:tcBorders>
              <w:top w:val="single" w:sz="8" w:color="CCEEFF"/>
              <w:left w:val="single" w:sz="8" w:color="auto"/>
            </w:tcBorders>
            <w:shd w:val="clear" w:color="auto" w:fill="CCEEFF"/>
          </w:tcPr>
          <w:p>
            <w:pPr>
              <w:ind w:left="40"/>
              <w:spacing w:after="0" w:line="109" w:lineRule="exact"/>
              <w:rPr>
                <w:sz w:val="20"/>
                <w:szCs w:val="20"/>
                <w:color w:val="auto"/>
              </w:rPr>
            </w:pPr>
            <w:r>
              <w:rPr>
                <w:rFonts w:ascii="Arial" w:cs="Arial" w:eastAsia="Arial" w:hAnsi="Arial"/>
                <w:sz w:val="11"/>
                <w:szCs w:val="11"/>
                <w:color w:val="auto"/>
              </w:rPr>
              <w:t>Scalp &amp; Body</w:t>
            </w:r>
          </w:p>
        </w:tc>
        <w:tc>
          <w:tcPr>
            <w:tcW w:w="132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76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Canada</w:t>
            </w:r>
          </w:p>
        </w:tc>
        <w:tc>
          <w:tcPr>
            <w:tcW w:w="3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9"/>
                <w:szCs w:val="9"/>
                <w:color w:val="auto"/>
                <w:w w:val="75"/>
              </w:rPr>
              <w:t>&gt;</w:t>
            </w:r>
          </w:p>
        </w:tc>
        <w:tc>
          <w:tcPr>
            <w:tcW w:w="780" w:type="dxa"/>
            <w:vAlign w:val="bottom"/>
            <w:tcBorders>
              <w:top w:val="single" w:sz="8" w:color="CCEEFF"/>
            </w:tcBorders>
            <w:gridSpan w:val="4"/>
            <w:vMerge w:val="restart"/>
            <w:shd w:val="clear" w:color="auto" w:fill="CCEEFF"/>
          </w:tcPr>
          <w:p>
            <w:pPr>
              <w:jc w:val="center"/>
              <w:ind w:right="271"/>
              <w:spacing w:after="0"/>
              <w:rPr>
                <w:sz w:val="20"/>
                <w:szCs w:val="20"/>
                <w:color w:val="auto"/>
              </w:rPr>
            </w:pPr>
            <w:r>
              <w:rPr>
                <w:rFonts w:ascii="Arial" w:cs="Arial" w:eastAsia="Arial" w:hAnsi="Arial"/>
                <w:sz w:val="14"/>
                <w:szCs w:val="14"/>
                <w:color w:val="auto"/>
                <w:w w:val="94"/>
              </w:rPr>
              <w:t>12 yrs</w:t>
            </w:r>
          </w:p>
        </w:tc>
        <w:tc>
          <w:tcPr>
            <w:tcW w:w="172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Commercial Launch</w:t>
            </w:r>
          </w:p>
        </w:tc>
        <w:tc>
          <w:tcPr>
            <w:tcW w:w="8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CCEEFF"/>
            </w:tcBorders>
            <w:shd w:val="clear" w:color="auto" w:fill="CCEEFF"/>
          </w:tcPr>
          <w:p>
            <w:pPr>
              <w:spacing w:after="0"/>
              <w:rPr>
                <w:sz w:val="9"/>
                <w:szCs w:val="9"/>
                <w:color w:val="auto"/>
              </w:rPr>
            </w:pPr>
          </w:p>
        </w:tc>
        <w:tc>
          <w:tcPr>
            <w:tcW w:w="106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November</w:t>
            </w:r>
          </w:p>
        </w:tc>
        <w:tc>
          <w:tcPr>
            <w:tcW w:w="1100" w:type="dxa"/>
            <w:vAlign w:val="bottom"/>
            <w:tcBorders>
              <w:top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60" w:type="dxa"/>
            <w:vAlign w:val="bottom"/>
            <w:tcBorders>
              <w:left w:val="single" w:sz="8" w:color="auto"/>
              <w:bottom w:val="single" w:sz="8" w:color="CCEEFF"/>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Psoriasis</w:t>
            </w:r>
          </w:p>
        </w:tc>
        <w:tc>
          <w:tcPr>
            <w:tcW w:w="1320" w:type="dxa"/>
            <w:vAlign w:val="bottom"/>
            <w:tcBorders>
              <w:bottom w:val="single" w:sz="8" w:color="CCEEFF"/>
            </w:tcBorders>
            <w:vMerge w:val="continue"/>
            <w:shd w:val="clear" w:color="auto" w:fill="CCEEFF"/>
          </w:tcPr>
          <w:p>
            <w:pPr>
              <w:spacing w:after="0"/>
              <w:rPr>
                <w:sz w:val="9"/>
                <w:szCs w:val="9"/>
                <w:color w:val="auto"/>
              </w:rPr>
            </w:pPr>
          </w:p>
        </w:tc>
        <w:tc>
          <w:tcPr>
            <w:tcW w:w="760" w:type="dxa"/>
            <w:vAlign w:val="bottom"/>
            <w:tcBorders>
              <w:bottom w:val="single" w:sz="8" w:color="CCEEFF"/>
            </w:tcBorders>
            <w:vMerge w:val="continue"/>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auto"/>
            </w:tcBorders>
            <w:gridSpan w:val="2"/>
            <w:vMerge w:val="continue"/>
            <w:shd w:val="clear" w:color="auto" w:fill="CCEEFF"/>
          </w:tcPr>
          <w:p>
            <w:pPr>
              <w:spacing w:after="0"/>
              <w:rPr>
                <w:sz w:val="9"/>
                <w:szCs w:val="9"/>
                <w:color w:val="auto"/>
              </w:rPr>
            </w:pPr>
          </w:p>
        </w:tc>
        <w:tc>
          <w:tcPr>
            <w:tcW w:w="780" w:type="dxa"/>
            <w:vAlign w:val="bottom"/>
            <w:tcBorders>
              <w:bottom w:val="single" w:sz="8" w:color="CCEEFF"/>
            </w:tcBorders>
            <w:gridSpan w:val="4"/>
            <w:vMerge w:val="continue"/>
            <w:shd w:val="clear" w:color="auto" w:fill="CCEEFF"/>
          </w:tcPr>
          <w:p>
            <w:pPr>
              <w:spacing w:after="0"/>
              <w:rPr>
                <w:sz w:val="9"/>
                <w:szCs w:val="9"/>
                <w:color w:val="auto"/>
              </w:rPr>
            </w:pPr>
          </w:p>
        </w:tc>
        <w:tc>
          <w:tcPr>
            <w:tcW w:w="1720" w:type="dxa"/>
            <w:vAlign w:val="bottom"/>
            <w:tcBorders>
              <w:bottom w:val="single" w:sz="8" w:color="CCEEFF"/>
            </w:tcBorders>
            <w:vMerge w:val="continue"/>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vMerge w:val="continue"/>
            <w:shd w:val="clear" w:color="auto" w:fill="CCEEFF"/>
          </w:tcPr>
          <w:p>
            <w:pPr>
              <w:spacing w:after="0"/>
              <w:rPr>
                <w:sz w:val="9"/>
                <w:szCs w:val="9"/>
                <w:color w:val="auto"/>
              </w:rPr>
            </w:pPr>
          </w:p>
        </w:tc>
        <w:tc>
          <w:tcPr>
            <w:tcW w:w="1100" w:type="dxa"/>
            <w:vAlign w:val="bottom"/>
            <w:tcBorders>
              <w:bottom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360" w:type="dxa"/>
            <w:vAlign w:val="bottom"/>
            <w:tcBorders>
              <w:left w:val="single" w:sz="8" w:color="auto"/>
            </w:tcBorders>
            <w:vMerge w:val="continue"/>
            <w:shd w:val="clear" w:color="auto" w:fill="CCEEFF"/>
          </w:tcPr>
          <w:p>
            <w:pPr>
              <w:spacing w:after="0"/>
              <w:rPr>
                <w:sz w:val="4"/>
                <w:szCs w:val="4"/>
                <w:color w:val="auto"/>
              </w:rPr>
            </w:pPr>
          </w:p>
        </w:tc>
        <w:tc>
          <w:tcPr>
            <w:tcW w:w="1320" w:type="dxa"/>
            <w:vAlign w:val="bottom"/>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60" w:type="dxa"/>
            <w:vAlign w:val="bottom"/>
            <w:gridSpan w:val="2"/>
            <w:shd w:val="clear" w:color="auto" w:fill="CCEEFF"/>
          </w:tcPr>
          <w:p>
            <w:pPr>
              <w:spacing w:after="0"/>
              <w:rPr>
                <w:sz w:val="4"/>
                <w:szCs w:val="4"/>
                <w:color w:val="auto"/>
              </w:rPr>
            </w:pPr>
          </w:p>
        </w:tc>
        <w:tc>
          <w:tcPr>
            <w:tcW w:w="780" w:type="dxa"/>
            <w:vAlign w:val="bottom"/>
            <w:gridSpan w:val="4"/>
            <w:vMerge w:val="continue"/>
            <w:shd w:val="clear" w:color="auto" w:fill="CCEEFF"/>
          </w:tcPr>
          <w:p>
            <w:pPr>
              <w:spacing w:after="0"/>
              <w:rPr>
                <w:sz w:val="4"/>
                <w:szCs w:val="4"/>
                <w:color w:val="auto"/>
              </w:rPr>
            </w:pPr>
          </w:p>
        </w:tc>
        <w:tc>
          <w:tcPr>
            <w:tcW w:w="1720" w:type="dxa"/>
            <w:vAlign w:val="bottom"/>
            <w:vMerge w:val="continue"/>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10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360" w:type="dxa"/>
            <w:vAlign w:val="bottom"/>
            <w:tcBorders>
              <w:left w:val="single" w:sz="8" w:color="auto"/>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7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Liquidity</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has incurred significant annual losses and negative cash flows from operations since its inception and had an accumulated</w:t>
      </w:r>
    </w:p>
    <w:p>
      <w:pPr>
        <w:spacing w:after="0" w:line="14" w:lineRule="exact"/>
        <w:rPr>
          <w:sz w:val="20"/>
          <w:szCs w:val="20"/>
          <w:color w:val="auto"/>
        </w:rPr>
      </w:pPr>
    </w:p>
    <w:p>
      <w:pPr>
        <w:jc w:val="both"/>
        <w:ind w:right="160"/>
        <w:spacing w:after="0" w:line="229" w:lineRule="auto"/>
        <w:rPr>
          <w:sz w:val="20"/>
          <w:szCs w:val="20"/>
          <w:color w:val="auto"/>
        </w:rPr>
      </w:pPr>
      <w:r>
        <w:rPr>
          <w:rFonts w:ascii="Arial" w:cs="Arial" w:eastAsia="Arial" w:hAnsi="Arial"/>
          <w:sz w:val="17"/>
          <w:szCs w:val="17"/>
          <w:color w:val="auto"/>
        </w:rPr>
        <w:t>deficit of $1,149.4 million and $1,138.1 million as of March 31, 2026 and December 31, 2025, respectively. While the Company generated net income for the quarters ended September 30, 2025 and December 31, 2025, the extent of any net income or losses for future periods is uncertain,</w:t>
      </w:r>
    </w:p>
    <w:p>
      <w:pPr>
        <w:spacing w:after="0" w:line="1" w:lineRule="exact"/>
        <w:rPr>
          <w:sz w:val="20"/>
          <w:szCs w:val="20"/>
          <w:color w:val="auto"/>
        </w:rPr>
      </w:pPr>
    </w:p>
    <w:p>
      <w:pPr>
        <w:jc w:val="both"/>
        <w:ind w:right="160"/>
        <w:spacing w:after="0" w:line="246" w:lineRule="auto"/>
        <w:rPr>
          <w:sz w:val="20"/>
          <w:szCs w:val="20"/>
          <w:color w:val="auto"/>
        </w:rPr>
      </w:pPr>
      <w:r>
        <w:rPr>
          <w:rFonts w:ascii="Arial" w:cs="Arial" w:eastAsia="Arial" w:hAnsi="Arial"/>
          <w:sz w:val="17"/>
          <w:szCs w:val="17"/>
          <w:color w:val="auto"/>
        </w:rPr>
        <w:t>and the Company may continue to incur operating losses. The Company had cash, cash equivalents, restricted cash, and marketable securities of $224.3 million and $221.3 million as of March 31, 2026 and December 31, 2025, respectively. The Company had $100.0 million outstanding under the Loan Agreement as of March 31, 2026. See Note 8.</w:t>
      </w:r>
    </w:p>
    <w:p>
      <w:pPr>
        <w:spacing w:after="0" w:line="118"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The Company believes that its existing capital resources will be sufficient to meet the projected operating requirements for at least 12 months from the date of issuance of its financial statements. If the Company's available cash, cash equivalents and marketable securities and anticipated future cash flows from operations are insufficient to satisfy its liquidity requirements, the Company may need to raise additional capital to fund its operations. No assurance can be given as to whether additional financing will be available on terms acceptable to the Company or at all. If sufficient funds on acceptable terms are not available when needed, the Company may be required to curtail certain planned activities. Failure to manage discretionary spending or raise additional funds, as needed, may adversely impact the Company’s ability to achieve its intended business objectives and have an adverse effect on its results of operations and future prospects.</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 Summary of Significant Accounting Policies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15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United States generally accepted accounting principles (U.S. GAAP), on the same basis as the Company’s audited annual financial statements, and in the opinion of management, reflect all adjustments (consisting only of normal recurring adjustments) that are necessary for a fair statement of the Company’s financial information. Results of operations for any interim period are not necessarily indicative of future or annual results. Certain information and footnote disclosures normally included in annual financial statements prepared in accordance with U.S. GAAP have been condensed or omitted. Therefore, these unaudited interim condensed consolidated financial statements should be read in conjunction with the Company’s audited financial statements included in its Annual Report on Form 10-K for the year ended December 31, 2025.</w:t>
      </w:r>
    </w:p>
    <w:p>
      <w:pPr>
        <w:spacing w:after="0" w:line="109" w:lineRule="exact"/>
        <w:rPr>
          <w:sz w:val="20"/>
          <w:szCs w:val="20"/>
          <w:color w:val="auto"/>
        </w:rPr>
      </w:pPr>
    </w:p>
    <w:p>
      <w:pPr>
        <w:ind w:right="580" w:firstLine="619"/>
        <w:spacing w:after="0" w:line="290" w:lineRule="auto"/>
        <w:rPr>
          <w:sz w:val="20"/>
          <w:szCs w:val="20"/>
          <w:color w:val="auto"/>
        </w:rPr>
      </w:pPr>
      <w:r>
        <w:rPr>
          <w:rFonts w:ascii="Arial" w:cs="Arial" w:eastAsia="Arial" w:hAnsi="Arial"/>
          <w:sz w:val="17"/>
          <w:szCs w:val="17"/>
          <w:color w:val="auto"/>
        </w:rPr>
        <w:t>These condensed consolidated financial statements include the accounts of the Company and its wholly owned subsidiaries, and all intercompany balances and transactions have been eliminated.</w:t>
      </w:r>
    </w:p>
    <w:p>
      <w:pPr>
        <w:spacing w:after="0" w:line="56" w:lineRule="exact"/>
        <w:rPr>
          <w:sz w:val="20"/>
          <w:szCs w:val="20"/>
          <w:color w:val="auto"/>
        </w:rPr>
      </w:pPr>
    </w:p>
    <w:p>
      <w:pPr>
        <w:ind w:right="120" w:firstLine="619"/>
        <w:spacing w:after="0" w:line="255" w:lineRule="auto"/>
        <w:rPr>
          <w:sz w:val="20"/>
          <w:szCs w:val="20"/>
          <w:color w:val="auto"/>
        </w:rPr>
      </w:pPr>
      <w:r>
        <w:rPr>
          <w:rFonts w:ascii="Arial" w:cs="Arial" w:eastAsia="Arial" w:hAnsi="Arial"/>
          <w:sz w:val="17"/>
          <w:szCs w:val="17"/>
          <w:color w:val="auto"/>
        </w:rPr>
        <w:t>Certain prior year amounts, which are not material, have been reclassified to conform to current year presentation in the condensed consolidated statements of operations and comprehensive loss, condensed consolidated statement of cash flows, and the notes to the condensed consolidated financial statements.</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0" w:lineRule="exact"/>
        <w:rPr>
          <w:sz w:val="20"/>
          <w:szCs w:val="20"/>
          <w:color w:val="auto"/>
        </w:rPr>
      </w:pPr>
    </w:p>
    <w:p>
      <w:pPr>
        <w:ind w:right="280" w:firstLine="619"/>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notes. Actual results could differ from those estimates.</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15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marketable securities, and accounts receivable. The Company maintains deposits in federally insured financial institutions in excess of federally insured limits. The Company is exposed to credit risk in the event of a default by either the financial institutions holding its cash or by its customers owing trade receivables to the extent recorded on the condensed consolidated balance sheets. To manage accounts receivable credit risk, the Company continuously evaluates the creditworthiness of its customers and the need for an allowance for credit losses.</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53" w:lineRule="exact"/>
        <w:rPr>
          <w:sz w:val="20"/>
          <w:szCs w:val="20"/>
          <w:color w:val="auto"/>
        </w:rPr>
      </w:pPr>
    </w:p>
    <w:p>
      <w:pPr>
        <w:ind w:right="340" w:firstLine="619"/>
        <w:spacing w:after="0" w:line="265" w:lineRule="auto"/>
        <w:rPr>
          <w:sz w:val="20"/>
          <w:szCs w:val="20"/>
          <w:color w:val="auto"/>
        </w:rPr>
      </w:pPr>
      <w:r>
        <w:rPr>
          <w:rFonts w:ascii="Arial" w:cs="Arial" w:eastAsia="Arial" w:hAnsi="Arial"/>
          <w:sz w:val="17"/>
          <w:szCs w:val="17"/>
          <w:color w:val="auto"/>
        </w:rPr>
        <w:t>The Company’s financial instruments, in addition to those presented in Note 4, include cash equivalents, accounts receivable, accounts payable, accrued liabilities, and long-term debt. The carrying amount of cash equivalents, accounts receivable, accounts payable, and accrued liabilities approximate their fair values due to their short maturities. As the long-term debt is subject to variable interest rates that are based on market rates which regularly reset, the Company believes that the carrying value of the long-term debt approximates its fair value.</w:t>
      </w:r>
    </w:p>
    <w:p>
      <w:pPr>
        <w:spacing w:after="0" w:line="104"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Assets and liabilities recorded at fair value on a recurring basis on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620" w:right="1040" w:firstLine="619"/>
        <w:spacing w:after="0" w:line="290" w:lineRule="auto"/>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69" w:lineRule="exact"/>
        <w:rPr>
          <w:sz w:val="20"/>
          <w:szCs w:val="20"/>
          <w:color w:val="auto"/>
        </w:rPr>
      </w:pPr>
    </w:p>
    <w:p>
      <w:pPr>
        <w:ind w:left="620" w:right="180" w:firstLine="619"/>
        <w:spacing w:after="0" w:line="271" w:lineRule="auto"/>
        <w:rPr>
          <w:sz w:val="20"/>
          <w:szCs w:val="20"/>
          <w:color w:val="auto"/>
        </w:rPr>
      </w:pPr>
      <w:r>
        <w:rPr>
          <w:rFonts w:ascii="Arial" w:cs="Arial" w:eastAsia="Arial" w:hAnsi="Arial"/>
          <w:sz w:val="17"/>
          <w:szCs w:val="17"/>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98" w:lineRule="exact"/>
        <w:rPr>
          <w:sz w:val="20"/>
          <w:szCs w:val="20"/>
          <w:color w:val="auto"/>
        </w:rPr>
      </w:pPr>
    </w:p>
    <w:p>
      <w:pPr>
        <w:ind w:left="620" w:right="80" w:firstLine="619"/>
        <w:spacing w:after="0" w:line="290"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40"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The Company considers the applicability and impact of any recent Accounting Standards Update (ASU) issued by the Financial Accounting Standards Board (FASB). Other than the ASUs listed below, all other ASUs were assessed and determined to be either not applicable to the Company or are expected to have minimal impact on the Company's condensed consolidated financial statements.</w:t>
      </w:r>
    </w:p>
    <w:p>
      <w:pPr>
        <w:spacing w:after="0" w:line="98"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(Subtopic 220-40): Disaggregation of Income Statement Expenses</w:t>
      </w:r>
      <w:r>
        <w:rPr>
          <w:rFonts w:ascii="Arial" w:cs="Arial" w:eastAsia="Arial" w:hAnsi="Arial"/>
          <w:sz w:val="17"/>
          <w:szCs w:val="17"/>
          <w:color w:val="auto"/>
        </w:rPr>
        <w:t>, which requires disclosure of the types of costs and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certain expense captions presented on the income statement. ASU 2024-03 is effective for fiscal years beginning after December 15, 2026, and for interim periods beginning after December 15, 2027, with early adoption permitted. The Company is currently evaluating the impact of adopting ASU 2024-03.</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Revenues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Revenues are recognized under guidance within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following table presents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Company's disaggregated revenue for the periods presented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9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ZORYVE cream 0.3%</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23,387</w:t>
            </w:r>
          </w:p>
        </w:tc>
      </w:tr>
      <w:tr>
        <w:trPr>
          <w:trHeight w:val="219"/>
        </w:trPr>
        <w:tc>
          <w:tcPr>
            <w:tcW w:w="7920" w:type="dxa"/>
            <w:vAlign w:val="bottom"/>
          </w:tcPr>
          <w:p>
            <w:pPr>
              <w:ind w:left="20"/>
              <w:spacing w:after="0"/>
              <w:rPr>
                <w:sz w:val="20"/>
                <w:szCs w:val="20"/>
                <w:color w:val="auto"/>
              </w:rPr>
            </w:pPr>
            <w:r>
              <w:rPr>
                <w:rFonts w:ascii="Arial" w:cs="Arial" w:eastAsia="Arial" w:hAnsi="Arial"/>
                <w:sz w:val="17"/>
                <w:szCs w:val="17"/>
                <w:color w:val="auto"/>
              </w:rPr>
              <w:t>ZORYVE foam</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49,627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30,240</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ZORYVE cream 0.15%</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10,219</w:t>
            </w:r>
          </w:p>
        </w:tc>
      </w:tr>
      <w:tr>
        <w:trPr>
          <w:trHeight w:val="21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ZORYVE cream 0.05%</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product revenue, net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63,846</w:t>
            </w:r>
          </w:p>
        </w:tc>
      </w:tr>
      <w:tr>
        <w:trPr>
          <w:trHeight w:val="219"/>
        </w:trPr>
        <w:tc>
          <w:tcPr>
            <w:tcW w:w="7920" w:type="dxa"/>
            <w:vAlign w:val="bottom"/>
          </w:tcPr>
          <w:p>
            <w:pPr>
              <w:ind w:left="20"/>
              <w:spacing w:after="0"/>
              <w:rPr>
                <w:sz w:val="20"/>
                <w:szCs w:val="20"/>
                <w:color w:val="auto"/>
              </w:rPr>
            </w:pPr>
            <w:r>
              <w:rPr>
                <w:rFonts w:ascii="Arial" w:cs="Arial" w:eastAsia="Arial" w:hAnsi="Arial"/>
                <w:sz w:val="17"/>
                <w:szCs w:val="17"/>
                <w:color w:val="auto"/>
              </w:rPr>
              <w:t>Other revenue</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2,000</w:t>
            </w:r>
          </w:p>
        </w:tc>
      </w:tr>
      <w:tr>
        <w:trPr>
          <w:trHeight w:val="237"/>
        </w:trPr>
        <w:tc>
          <w:tcPr>
            <w:tcW w:w="7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65,846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revenue for the three months ended March 31, 2025 relates to the Huadong licensing agreement. See Note 6.</w:t>
      </w:r>
    </w:p>
    <w:p>
      <w:pPr>
        <w:spacing w:after="0" w:line="140" w:lineRule="exact"/>
        <w:rPr>
          <w:sz w:val="20"/>
          <w:szCs w:val="20"/>
          <w:color w:val="auto"/>
        </w:rPr>
      </w:pPr>
    </w:p>
    <w:p>
      <w:pPr>
        <w:ind w:right="360" w:firstLine="619"/>
        <w:spacing w:after="0" w:line="290" w:lineRule="auto"/>
        <w:rPr>
          <w:sz w:val="20"/>
          <w:szCs w:val="20"/>
          <w:color w:val="auto"/>
        </w:rPr>
      </w:pPr>
      <w:r>
        <w:rPr>
          <w:rFonts w:ascii="Arial" w:cs="Arial" w:eastAsia="Arial" w:hAnsi="Arial"/>
          <w:sz w:val="17"/>
          <w:szCs w:val="17"/>
          <w:color w:val="auto"/>
        </w:rPr>
        <w:t>Product revenue, net outside the United States represented less than 10% of the Company’s consolidated product revenue, net,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 Fair Value Measurements</w:t>
      </w:r>
    </w:p>
    <w:p>
      <w:pPr>
        <w:spacing w:after="0" w:line="140" w:lineRule="exact"/>
        <w:rPr>
          <w:sz w:val="20"/>
          <w:szCs w:val="20"/>
          <w:color w:val="auto"/>
        </w:rPr>
      </w:pPr>
    </w:p>
    <w:p>
      <w:pPr>
        <w:ind w:right="160" w:firstLine="619"/>
        <w:spacing w:after="0" w:line="281" w:lineRule="auto"/>
        <w:rPr>
          <w:sz w:val="20"/>
          <w:szCs w:val="20"/>
          <w:color w:val="auto"/>
        </w:rPr>
      </w:pPr>
      <w:r>
        <w:rPr>
          <w:rFonts w:ascii="Arial" w:cs="Arial" w:eastAsia="Arial" w:hAnsi="Arial"/>
          <w:sz w:val="17"/>
          <w:szCs w:val="17"/>
          <w:color w:val="auto"/>
        </w:rPr>
        <w:t>The following table sets forth the Company’s financial instruments that were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March 31, 2026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6"/>
        </w:trPr>
        <w:tc>
          <w:tcPr>
            <w:tcW w:w="5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Total</w:t>
            </w: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58"/>
        </w:trPr>
        <w:tc>
          <w:tcPr>
            <w:tcW w:w="5640" w:type="dxa"/>
            <w:vAlign w:val="bottom"/>
          </w:tcPr>
          <w:p>
            <w:pPr>
              <w:ind w:left="320"/>
              <w:spacing w:after="0"/>
              <w:rPr>
                <w:sz w:val="20"/>
                <w:szCs w:val="20"/>
                <w:color w:val="auto"/>
              </w:rPr>
            </w:pPr>
            <w:r>
              <w:rPr>
                <w:rFonts w:ascii="Arial" w:cs="Arial" w:eastAsia="Arial" w:hAnsi="Arial"/>
                <w:sz w:val="17"/>
                <w:szCs w:val="17"/>
                <w:color w:val="auto"/>
              </w:rPr>
              <w:t>Money market funds and cash</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27,950</w:t>
            </w:r>
          </w:p>
        </w:tc>
        <w:tc>
          <w:tcPr>
            <w:tcW w:w="100" w:type="dxa"/>
            <w:vAlign w:val="bottom"/>
          </w:tcPr>
          <w:p>
            <w:pPr>
              <w:spacing w:after="0"/>
              <w:rPr>
                <w:sz w:val="22"/>
                <w:szCs w:val="22"/>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8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27,950</w:t>
            </w:r>
          </w:p>
        </w:tc>
      </w:tr>
      <w:tr>
        <w:trPr>
          <w:trHeight w:val="219"/>
        </w:trPr>
        <w:tc>
          <w:tcPr>
            <w:tcW w:w="5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Certificates of deposit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5,414</w:t>
            </w:r>
          </w:p>
        </w:tc>
      </w:tr>
      <w:tr>
        <w:trPr>
          <w:trHeight w:val="219"/>
        </w:trPr>
        <w:tc>
          <w:tcPr>
            <w:tcW w:w="5640" w:type="dxa"/>
            <w:vAlign w:val="bottom"/>
          </w:tcPr>
          <w:p>
            <w:pPr>
              <w:ind w:left="320"/>
              <w:spacing w:after="0"/>
              <w:rPr>
                <w:sz w:val="20"/>
                <w:szCs w:val="20"/>
                <w:color w:val="auto"/>
              </w:rPr>
            </w:pPr>
            <w:r>
              <w:rPr>
                <w:rFonts w:ascii="Arial" w:cs="Arial" w:eastAsia="Arial" w:hAnsi="Arial"/>
                <w:sz w:val="17"/>
                <w:szCs w:val="17"/>
                <w:color w:val="auto"/>
              </w:rPr>
              <w:t>Commercial paper</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6,898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6,898</w:t>
            </w:r>
          </w:p>
        </w:tc>
      </w:tr>
      <w:tr>
        <w:trPr>
          <w:trHeight w:val="258"/>
        </w:trPr>
        <w:tc>
          <w:tcPr>
            <w:tcW w:w="5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debt securities</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92,534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92,534</w:t>
            </w:r>
          </w:p>
        </w:tc>
      </w:tr>
      <w:tr>
        <w:trPr>
          <w:trHeight w:val="258"/>
        </w:trPr>
        <w:tc>
          <w:tcPr>
            <w:tcW w:w="5640" w:type="dxa"/>
            <w:vAlign w:val="bottom"/>
          </w:tcPr>
          <w:p>
            <w:pPr>
              <w:ind w:left="320"/>
              <w:spacing w:after="0"/>
              <w:rPr>
                <w:sz w:val="20"/>
                <w:szCs w:val="20"/>
                <w:color w:val="auto"/>
              </w:rPr>
            </w:pPr>
            <w:r>
              <w:rPr>
                <w:rFonts w:ascii="Arial" w:cs="Arial" w:eastAsia="Arial" w:hAnsi="Arial"/>
                <w:sz w:val="17"/>
                <w:szCs w:val="17"/>
                <w:color w:val="auto"/>
              </w:rPr>
              <w:t>U.S. Treasury and agency securities</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91,204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22"/>
                <w:szCs w:val="22"/>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91,204</w:t>
            </w:r>
          </w:p>
        </w:tc>
      </w:tr>
      <w:tr>
        <w:trPr>
          <w:trHeight w:val="237"/>
        </w:trPr>
        <w:tc>
          <w:tcPr>
            <w:tcW w:w="56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assets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224,000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22"/>
        </w:trPr>
        <w:tc>
          <w:tcPr>
            <w:tcW w:w="5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6"/>
        </w:trPr>
        <w:tc>
          <w:tcPr>
            <w:tcW w:w="5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Total</w:t>
            </w:r>
          </w:p>
        </w:tc>
      </w:tr>
      <w:tr>
        <w:trPr>
          <w:trHeight w:val="206"/>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58"/>
        </w:trPr>
        <w:tc>
          <w:tcPr>
            <w:tcW w:w="5640" w:type="dxa"/>
            <w:vAlign w:val="bottom"/>
          </w:tcPr>
          <w:p>
            <w:pPr>
              <w:ind w:left="320"/>
              <w:spacing w:after="0"/>
              <w:rPr>
                <w:sz w:val="20"/>
                <w:szCs w:val="20"/>
                <w:color w:val="auto"/>
              </w:rPr>
            </w:pPr>
            <w:r>
              <w:rPr>
                <w:rFonts w:ascii="Arial" w:cs="Arial" w:eastAsia="Arial" w:hAnsi="Arial"/>
                <w:sz w:val="17"/>
                <w:szCs w:val="17"/>
                <w:color w:val="auto"/>
              </w:rPr>
              <w:t>Money market funds and cash</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37,541</w:t>
            </w:r>
          </w:p>
        </w:tc>
        <w:tc>
          <w:tcPr>
            <w:tcW w:w="100" w:type="dxa"/>
            <w:vAlign w:val="bottom"/>
          </w:tcPr>
          <w:p>
            <w:pPr>
              <w:spacing w:after="0"/>
              <w:rPr>
                <w:sz w:val="22"/>
                <w:szCs w:val="22"/>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8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37,541</w:t>
            </w:r>
          </w:p>
        </w:tc>
      </w:tr>
      <w:tr>
        <w:trPr>
          <w:trHeight w:val="219"/>
        </w:trPr>
        <w:tc>
          <w:tcPr>
            <w:tcW w:w="5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Certificates of deposit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w:t>
            </w:r>
          </w:p>
        </w:tc>
      </w:tr>
      <w:tr>
        <w:trPr>
          <w:trHeight w:val="219"/>
        </w:trPr>
        <w:tc>
          <w:tcPr>
            <w:tcW w:w="5640" w:type="dxa"/>
            <w:vAlign w:val="bottom"/>
          </w:tcPr>
          <w:p>
            <w:pPr>
              <w:ind w:left="320"/>
              <w:spacing w:after="0"/>
              <w:rPr>
                <w:sz w:val="20"/>
                <w:szCs w:val="20"/>
                <w:color w:val="auto"/>
              </w:rPr>
            </w:pPr>
            <w:r>
              <w:rPr>
                <w:rFonts w:ascii="Arial" w:cs="Arial" w:eastAsia="Arial" w:hAnsi="Arial"/>
                <w:sz w:val="17"/>
                <w:szCs w:val="17"/>
                <w:color w:val="auto"/>
              </w:rPr>
              <w:t>Commercial paper</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14,789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14,789</w:t>
            </w:r>
          </w:p>
        </w:tc>
      </w:tr>
      <w:tr>
        <w:trPr>
          <w:trHeight w:val="258"/>
        </w:trPr>
        <w:tc>
          <w:tcPr>
            <w:tcW w:w="5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debt securities</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78,764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78,764</w:t>
            </w:r>
          </w:p>
        </w:tc>
      </w:tr>
      <w:tr>
        <w:trPr>
          <w:trHeight w:val="258"/>
        </w:trPr>
        <w:tc>
          <w:tcPr>
            <w:tcW w:w="5640" w:type="dxa"/>
            <w:vAlign w:val="bottom"/>
          </w:tcPr>
          <w:p>
            <w:pPr>
              <w:ind w:left="320"/>
              <w:spacing w:after="0"/>
              <w:rPr>
                <w:sz w:val="20"/>
                <w:szCs w:val="20"/>
                <w:color w:val="auto"/>
              </w:rPr>
            </w:pPr>
            <w:r>
              <w:rPr>
                <w:rFonts w:ascii="Arial" w:cs="Arial" w:eastAsia="Arial" w:hAnsi="Arial"/>
                <w:sz w:val="17"/>
                <w:szCs w:val="17"/>
                <w:color w:val="auto"/>
              </w:rPr>
              <w:t>U.S. Treasury and agency securities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84,522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22"/>
                <w:szCs w:val="22"/>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84,522</w:t>
            </w:r>
          </w:p>
        </w:tc>
      </w:tr>
      <w:tr>
        <w:trPr>
          <w:trHeight w:val="237"/>
        </w:trPr>
        <w:tc>
          <w:tcPr>
            <w:tcW w:w="56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assets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122,063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98,919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220,982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619"/>
        <w:spacing w:after="0" w:line="290" w:lineRule="auto"/>
        <w:rPr>
          <w:sz w:val="20"/>
          <w:szCs w:val="20"/>
          <w:color w:val="auto"/>
        </w:rPr>
      </w:pPr>
      <w:r>
        <w:rPr>
          <w:rFonts w:ascii="Arial" w:cs="Arial" w:eastAsia="Arial" w:hAnsi="Arial"/>
          <w:sz w:val="17"/>
          <w:szCs w:val="17"/>
          <w:color w:val="auto"/>
        </w:rPr>
        <w:t>Money market funds and U.S. Treasury and agency securities are valued based on quoted market prices in active markets, with no valuation adjustment.</w:t>
      </w:r>
    </w:p>
    <w:p>
      <w:pPr>
        <w:spacing w:after="0" w:line="82"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Commercial paper, certificates of deposit and corporate debt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right="360" w:firstLine="619"/>
        <w:spacing w:after="0" w:line="281" w:lineRule="auto"/>
        <w:rPr>
          <w:sz w:val="20"/>
          <w:szCs w:val="20"/>
          <w:color w:val="auto"/>
        </w:rPr>
      </w:pPr>
      <w:r>
        <w:rPr>
          <w:rFonts w:ascii="Arial" w:cs="Arial" w:eastAsia="Arial" w:hAnsi="Arial"/>
          <w:sz w:val="17"/>
          <w:szCs w:val="17"/>
          <w:color w:val="auto"/>
        </w:rPr>
        <w:t>The following table summarizes the estimated value of the Company’s cash, cash equivalents and marketable securities, and the gross unrealized holding gains and losses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1100" w:type="dxa"/>
            <w:vAlign w:val="bottom"/>
          </w:tcPr>
          <w:p>
            <w:pPr>
              <w:jc w:val="right"/>
              <w:ind w:right="258"/>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0"/>
        </w:trPr>
        <w:tc>
          <w:tcPr>
            <w:tcW w:w="56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cost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gains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320"/>
              <w:spacing w:after="0"/>
              <w:rPr>
                <w:sz w:val="20"/>
                <w:szCs w:val="20"/>
                <w:color w:val="auto"/>
              </w:rPr>
            </w:pPr>
            <w:r>
              <w:rPr>
                <w:rFonts w:ascii="Arial" w:cs="Arial" w:eastAsia="Arial" w:hAnsi="Arial"/>
                <w:sz w:val="17"/>
                <w:szCs w:val="17"/>
                <w:color w:val="auto"/>
              </w:rPr>
              <w:t>Money market funds and cash</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27,950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27,950</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5,414</w:t>
            </w:r>
          </w:p>
        </w:tc>
        <w:tc>
          <w:tcPr>
            <w:tcW w:w="0" w:type="dxa"/>
            <w:vAlign w:val="bottom"/>
          </w:tcPr>
          <w:p>
            <w:pPr>
              <w:spacing w:after="0"/>
              <w:rPr>
                <w:sz w:val="1"/>
                <w:szCs w:val="1"/>
                <w:color w:val="auto"/>
              </w:rPr>
            </w:pPr>
          </w:p>
        </w:tc>
      </w:tr>
      <w:tr>
        <w:trPr>
          <w:trHeight w:val="226"/>
        </w:trPr>
        <w:tc>
          <w:tcPr>
            <w:tcW w:w="5620" w:type="dxa"/>
            <w:vAlign w:val="bottom"/>
          </w:tcPr>
          <w:p>
            <w:pPr>
              <w:ind w:left="320"/>
              <w:spacing w:after="0"/>
              <w:rPr>
                <w:sz w:val="20"/>
                <w:szCs w:val="20"/>
                <w:color w:val="auto"/>
              </w:rPr>
            </w:pPr>
            <w:r>
              <w:rPr>
                <w:rFonts w:ascii="Arial" w:cs="Arial" w:eastAsia="Arial" w:hAnsi="Arial"/>
                <w:sz w:val="17"/>
                <w:szCs w:val="17"/>
                <w:color w:val="auto"/>
              </w:rPr>
              <w:t>U.S. Treasury &amp; agency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6,898</w:t>
            </w:r>
          </w:p>
        </w:tc>
        <w:tc>
          <w:tcPr>
            <w:tcW w:w="0" w:type="dxa"/>
            <w:vAlign w:val="bottom"/>
          </w:tcPr>
          <w:p>
            <w:pPr>
              <w:spacing w:after="0"/>
              <w:rPr>
                <w:sz w:val="1"/>
                <w:szCs w:val="1"/>
                <w:color w:val="auto"/>
              </w:rPr>
            </w:pPr>
          </w:p>
        </w:tc>
      </w:tr>
      <w:tr>
        <w:trPr>
          <w:trHeight w:val="258"/>
        </w:trPr>
        <w:tc>
          <w:tcPr>
            <w:tcW w:w="5620" w:type="dxa"/>
            <w:vAlign w:val="bottom"/>
          </w:tcPr>
          <w:p>
            <w:pPr>
              <w:ind w:left="320"/>
              <w:spacing w:after="0"/>
              <w:rPr>
                <w:sz w:val="20"/>
                <w:szCs w:val="20"/>
                <w:color w:val="auto"/>
              </w:rPr>
            </w:pPr>
            <w:r>
              <w:rPr>
                <w:rFonts w:ascii="Arial" w:cs="Arial" w:eastAsia="Arial" w:hAnsi="Arial"/>
                <w:sz w:val="17"/>
                <w:szCs w:val="17"/>
                <w:color w:val="auto"/>
              </w:rPr>
              <w:t>Corporate debt securities</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92,685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92,534</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Treasury and agency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89,806</w:t>
            </w:r>
          </w:p>
        </w:tc>
        <w:tc>
          <w:tcPr>
            <w:tcW w:w="0" w:type="dxa"/>
            <w:vAlign w:val="bottom"/>
          </w:tcPr>
          <w:p>
            <w:pPr>
              <w:spacing w:after="0"/>
              <w:rPr>
                <w:sz w:val="1"/>
                <w:szCs w:val="1"/>
                <w:color w:val="auto"/>
              </w:rPr>
            </w:pPr>
          </w:p>
        </w:tc>
      </w:tr>
      <w:tr>
        <w:trPr>
          <w:trHeight w:val="212"/>
        </w:trPr>
        <w:tc>
          <w:tcPr>
            <w:tcW w:w="5620" w:type="dxa"/>
            <w:vAlign w:val="bottom"/>
          </w:tcPr>
          <w:p>
            <w:pPr>
              <w:ind w:left="640"/>
              <w:spacing w:after="0"/>
              <w:rPr>
                <w:sz w:val="20"/>
                <w:szCs w:val="20"/>
                <w:color w:val="auto"/>
              </w:rPr>
            </w:pPr>
            <w:r>
              <w:rPr>
                <w:rFonts w:ascii="Arial" w:cs="Arial" w:eastAsia="Arial" w:hAnsi="Arial"/>
                <w:sz w:val="17"/>
                <w:szCs w:val="17"/>
                <w:color w:val="auto"/>
              </w:rPr>
              <w:t>Total marketable securities</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189,476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189,238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39"/>
        </w:trPr>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2"/>
                <w:szCs w:val="12"/>
                <w:color w:val="auto"/>
              </w:rPr>
            </w:pPr>
          </w:p>
        </w:tc>
        <w:tc>
          <w:tcPr>
            <w:tcW w:w="1100" w:type="dxa"/>
            <w:vAlign w:val="bottom"/>
          </w:tcPr>
          <w:p>
            <w:pPr>
              <w:jc w:val="right"/>
              <w:ind w:right="258"/>
              <w:spacing w:after="0" w:line="139" w:lineRule="exact"/>
              <w:rPr>
                <w:sz w:val="20"/>
                <w:szCs w:val="20"/>
                <w:color w:val="auto"/>
              </w:rPr>
            </w:pPr>
            <w:r>
              <w:rPr>
                <w:rFonts w:ascii="Arial" w:cs="Arial" w:eastAsia="Arial" w:hAnsi="Arial"/>
                <w:sz w:val="14"/>
                <w:szCs w:val="14"/>
                <w:b w:val="1"/>
                <w:bCs w:val="1"/>
                <w:color w:val="auto"/>
              </w:rPr>
              <w:t>Estimated</w:t>
            </w:r>
          </w:p>
        </w:tc>
      </w:tr>
      <w:tr>
        <w:trPr>
          <w:trHeight w:val="177"/>
        </w:trPr>
        <w:tc>
          <w:tcPr>
            <w:tcW w:w="5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cost</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gains</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fair value</w:t>
            </w:r>
          </w:p>
        </w:tc>
      </w:tr>
      <w:tr>
        <w:trPr>
          <w:trHeight w:val="19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5680" w:type="dxa"/>
            <w:vAlign w:val="bottom"/>
          </w:tcPr>
          <w:p>
            <w:pPr>
              <w:ind w:left="320"/>
              <w:spacing w:after="0"/>
              <w:rPr>
                <w:sz w:val="20"/>
                <w:szCs w:val="20"/>
                <w:color w:val="auto"/>
              </w:rPr>
            </w:pPr>
            <w:r>
              <w:rPr>
                <w:rFonts w:ascii="Arial" w:cs="Arial" w:eastAsia="Arial" w:hAnsi="Arial"/>
                <w:sz w:val="17"/>
                <w:szCs w:val="17"/>
                <w:color w:val="auto"/>
              </w:rPr>
              <w:t>Money market funds and cash</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37,541</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37,541</w:t>
            </w:r>
          </w:p>
        </w:tc>
      </w:tr>
      <w:tr>
        <w:trPr>
          <w:trHeight w:val="219"/>
        </w:trPr>
        <w:tc>
          <w:tcPr>
            <w:tcW w:w="5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w:t>
            </w:r>
          </w:p>
        </w:tc>
      </w:tr>
      <w:tr>
        <w:trPr>
          <w:trHeight w:val="212"/>
        </w:trPr>
        <w:tc>
          <w:tcPr>
            <w:tcW w:w="5680" w:type="dxa"/>
            <w:vAlign w:val="bottom"/>
          </w:tcPr>
          <w:p>
            <w:pPr>
              <w:ind w:left="64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42,907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42,907</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56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Marketable securities: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9"/>
        </w:trPr>
        <w:tc>
          <w:tcPr>
            <w:tcW w:w="5680" w:type="dxa"/>
            <w:vAlign w:val="bottom"/>
          </w:tcPr>
          <w:p>
            <w:pPr>
              <w:ind w:left="320"/>
              <w:spacing w:after="0"/>
              <w:rPr>
                <w:sz w:val="20"/>
                <w:szCs w:val="20"/>
                <w:color w:val="auto"/>
              </w:rPr>
            </w:pPr>
            <w:r>
              <w:rPr>
                <w:rFonts w:ascii="Arial" w:cs="Arial" w:eastAsia="Arial" w:hAnsi="Arial"/>
                <w:sz w:val="17"/>
                <w:szCs w:val="17"/>
                <w:color w:val="auto"/>
              </w:rPr>
              <w:t>Commercial paper</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14,782</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14,789</w:t>
            </w:r>
          </w:p>
        </w:tc>
      </w:tr>
      <w:tr>
        <w:trPr>
          <w:trHeight w:val="219"/>
        </w:trPr>
        <w:tc>
          <w:tcPr>
            <w:tcW w:w="5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78,764</w:t>
            </w:r>
          </w:p>
        </w:tc>
      </w:tr>
      <w:tr>
        <w:trPr>
          <w:trHeight w:val="219"/>
        </w:trPr>
        <w:tc>
          <w:tcPr>
            <w:tcW w:w="56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U.S. Treasury and agency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84,522</w:t>
            </w:r>
          </w:p>
        </w:tc>
      </w:tr>
      <w:tr>
        <w:trPr>
          <w:trHeight w:val="237"/>
        </w:trPr>
        <w:tc>
          <w:tcPr>
            <w:tcW w:w="56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marketable securities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177,962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178,075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As of March 31, 2026, no significant facts or circumstances were present to indicate a deterioration in the creditworthiness of the issuers of the available-for-sale securities. The Company generally holds its marketable securities until maturity and does not intend to sell, and is not required to sell, the investments that are in an unrealized loss position before the recovery of their amortized cost basis. For each security with a fair value less than its amortized cost basis, the Company determined the decline in fair value below the amortized cost basis to be non-credit related, and no allowance for losses has been recorded. As of March 31, 2026, there were no individual securities that were in a significant unrealized loss position. To date, the Company has not recorded any impairment charges on available-for-sale securities.</w:t>
      </w:r>
    </w:p>
    <w:p>
      <w:pPr>
        <w:spacing w:after="0" w:line="109"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Company has elected the practical expedient to exclude the applicable accrued interest from both the fair value and the amortized cost basis of its available-for-sale securities for purposes of identifying and measuring an impairment. Accrued interest receivable related to available-for-sale securities is presented in prepaid expenses and other current assets, separate from marketable securities, on the consolidated balance sheet. As of March 31, 2026 and December 31, 2025, accrued interest receivable was immaterial. The Company has made an accounting policy election not to recognize an allowance for credit losses for accrued interest receivables on available-for-sale securities and to write off any uncollectible accrued interest receivable by recognizing credit loss expense. The Company has not written off any accrued interest receivables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firstLine="619"/>
        <w:spacing w:after="0" w:line="290" w:lineRule="auto"/>
        <w:rPr>
          <w:sz w:val="20"/>
          <w:szCs w:val="20"/>
          <w:color w:val="auto"/>
        </w:rPr>
      </w:pPr>
      <w:r>
        <w:rPr>
          <w:rFonts w:ascii="Arial" w:cs="Arial" w:eastAsia="Arial" w:hAnsi="Arial"/>
          <w:sz w:val="17"/>
          <w:szCs w:val="17"/>
          <w:color w:val="auto"/>
        </w:rPr>
        <w:t>The following table summarizes the amortized cost and fair value of marketable securities by contractual maturity at March 31, 2026 and December 31, 2025.</w:t>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4"/>
                <w:szCs w:val="14"/>
                <w:b w:val="1"/>
                <w:bCs w:val="1"/>
                <w:color w:val="auto"/>
              </w:rPr>
              <w:t>December 31, 2025</w:t>
            </w:r>
          </w:p>
        </w:tc>
      </w:tr>
      <w:tr>
        <w:trPr>
          <w:trHeight w:val="139"/>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34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8"/>
              </w:rPr>
              <w:t>Estimated</w:t>
            </w: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Estimat</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cost</w:t>
            </w:r>
          </w:p>
        </w:tc>
        <w:tc>
          <w:tcPr>
            <w:tcW w:w="24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fair value</w:t>
            </w:r>
          </w:p>
        </w:tc>
        <w:tc>
          <w:tcPr>
            <w:tcW w:w="2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cost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fair valu</w:t>
            </w:r>
          </w:p>
        </w:tc>
      </w:tr>
      <w:tr>
        <w:trPr>
          <w:trHeight w:val="238"/>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Maturing within one year</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140,444</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140,367</w:t>
            </w: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138,281</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5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Maturing in one to five years</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49,032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48,871</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39,681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7"/>
        </w:trPr>
        <w:tc>
          <w:tcPr>
            <w:tcW w:w="5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marketable securities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189,476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189,238</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177,962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20" w:right="8880" w:hanging="617"/>
        <w:spacing w:after="0" w:line="427" w:lineRule="auto"/>
        <w:tabs>
          <w:tab w:leader="none" w:pos="192"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Balance Sheet Components Inventory</w:t>
      </w:r>
    </w:p>
    <w:p>
      <w:pPr>
        <w:ind w:left="62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The components of inventory are summarized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December 31, 2025</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580" w:type="dxa"/>
            <w:vAlign w:val="bottom"/>
            <w:shd w:val="clear" w:color="auto" w:fill="CCEEFF"/>
          </w:tcPr>
          <w:p>
            <w:pPr>
              <w:jc w:val="right"/>
              <w:ind w:right="13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16,381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5,047</w:t>
            </w:r>
          </w:p>
        </w:tc>
      </w:tr>
      <w:tr>
        <w:trPr>
          <w:trHeight w:val="219"/>
        </w:trPr>
        <w:tc>
          <w:tcPr>
            <w:tcW w:w="6760" w:type="dxa"/>
            <w:vAlign w:val="bottom"/>
          </w:tcPr>
          <w:p>
            <w:pPr>
              <w:ind w:left="20"/>
              <w:spacing w:after="0"/>
              <w:rPr>
                <w:sz w:val="20"/>
                <w:szCs w:val="20"/>
                <w:color w:val="auto"/>
              </w:rPr>
            </w:pPr>
            <w:r>
              <w:rPr>
                <w:rFonts w:ascii="Arial" w:cs="Arial" w:eastAsia="Arial" w:hAnsi="Arial"/>
                <w:sz w:val="17"/>
                <w:szCs w:val="17"/>
                <w:color w:val="auto"/>
              </w:rPr>
              <w:t>Work in progress</w:t>
            </w:r>
          </w:p>
        </w:tc>
        <w:tc>
          <w:tcPr>
            <w:tcW w:w="1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5,033</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5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14,679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12,554</w:t>
            </w:r>
          </w:p>
        </w:tc>
      </w:tr>
      <w:tr>
        <w:trPr>
          <w:trHeight w:val="212"/>
        </w:trPr>
        <w:tc>
          <w:tcPr>
            <w:tcW w:w="6760" w:type="dxa"/>
            <w:vAlign w:val="bottom"/>
          </w:tcPr>
          <w:p>
            <w:pPr>
              <w:ind w:left="320"/>
              <w:spacing w:after="0"/>
              <w:rPr>
                <w:sz w:val="20"/>
                <w:szCs w:val="20"/>
                <w:color w:val="auto"/>
              </w:rPr>
            </w:pPr>
            <w:r>
              <w:rPr>
                <w:rFonts w:ascii="Arial" w:cs="Arial" w:eastAsia="Arial" w:hAnsi="Arial"/>
                <w:sz w:val="17"/>
                <w:szCs w:val="17"/>
                <w:color w:val="auto"/>
              </w:rPr>
              <w:t>Total inventory</w:t>
            </w:r>
          </w:p>
        </w:tc>
        <w:tc>
          <w:tcPr>
            <w:tcW w:w="1580" w:type="dxa"/>
            <w:vAlign w:val="bottom"/>
            <w:tcBorders>
              <w:bottom w:val="single" w:sz="8" w:color="auto"/>
            </w:tcBorders>
          </w:tcPr>
          <w:p>
            <w:pPr>
              <w:jc w:val="right"/>
              <w:ind w:right="138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37,391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22,634</w:t>
            </w:r>
          </w:p>
        </w:tc>
      </w:tr>
      <w:tr>
        <w:trPr>
          <w:trHeight w:val="20"/>
        </w:trPr>
        <w:tc>
          <w:tcPr>
            <w:tcW w:w="6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Prepaid Expenses and Other Current Assets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Prepaid expenses and other current assets consist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2026</w:t>
            </w:r>
          </w:p>
        </w:tc>
        <w:tc>
          <w:tcPr>
            <w:tcW w:w="280" w:type="dxa"/>
            <w:vAlign w:val="bottom"/>
          </w:tcPr>
          <w:p>
            <w:pPr>
              <w:spacing w:after="0"/>
              <w:rPr>
                <w:sz w:val="16"/>
                <w:szCs w:val="16"/>
                <w:color w:val="auto"/>
              </w:rPr>
            </w:pPr>
          </w:p>
        </w:tc>
        <w:tc>
          <w:tcPr>
            <w:tcW w:w="190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co-pay assistance program and rebates</w:t>
            </w:r>
          </w:p>
        </w:tc>
        <w:tc>
          <w:tcPr>
            <w:tcW w:w="1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9,485</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7"/>
                <w:szCs w:val="17"/>
                <w:color w:val="auto"/>
              </w:rPr>
              <w:t>Prepaid clinical trial costs</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2,971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 and current assets</w:t>
            </w:r>
          </w:p>
        </w:tc>
        <w:tc>
          <w:tcPr>
            <w:tcW w:w="15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12"/>
        </w:trPr>
        <w:tc>
          <w:tcPr>
            <w:tcW w:w="5220" w:type="dxa"/>
            <w:vAlign w:val="bottom"/>
          </w:tcPr>
          <w:p>
            <w:pPr>
              <w:ind w:left="320"/>
              <w:spacing w:after="0"/>
              <w:rPr>
                <w:sz w:val="20"/>
                <w:szCs w:val="20"/>
                <w:color w:val="auto"/>
              </w:rPr>
            </w:pPr>
            <w:r>
              <w:rPr>
                <w:rFonts w:ascii="Arial" w:cs="Arial" w:eastAsia="Arial" w:hAnsi="Arial"/>
                <w:sz w:val="17"/>
                <w:szCs w:val="17"/>
                <w:color w:val="auto"/>
              </w:rPr>
              <w:t>Total prepaid expenses and other current assets</w:t>
            </w:r>
          </w:p>
        </w:tc>
        <w:tc>
          <w:tcPr>
            <w:tcW w:w="154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31,980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21,079</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620"/>
              <w:spacing w:after="0"/>
              <w:rPr>
                <w:sz w:val="20"/>
                <w:szCs w:val="20"/>
                <w:color w:val="auto"/>
              </w:rPr>
            </w:pPr>
            <w:r>
              <w:rPr>
                <w:rFonts w:ascii="Arial" w:cs="Arial" w:eastAsia="Arial" w:hAnsi="Arial"/>
                <w:sz w:val="17"/>
                <w:szCs w:val="17"/>
                <w:b w:val="1"/>
                <w:bCs w:val="1"/>
                <w:i w:val="1"/>
                <w:iCs w:val="1"/>
                <w:color w:val="auto"/>
              </w:rPr>
              <w:t>Accrued Liabilities</w:t>
            </w: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52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20" w:type="dxa"/>
            <w:vAlign w:val="bottom"/>
          </w:tcPr>
          <w:p>
            <w:pPr>
              <w:ind w:left="620"/>
              <w:spacing w:after="0"/>
              <w:rPr>
                <w:sz w:val="20"/>
                <w:szCs w:val="20"/>
                <w:color w:val="auto"/>
              </w:rPr>
            </w:pPr>
            <w:r>
              <w:rPr>
                <w:rFonts w:ascii="Arial" w:cs="Arial" w:eastAsia="Arial" w:hAnsi="Arial"/>
                <w:sz w:val="17"/>
                <w:szCs w:val="17"/>
                <w:color w:val="auto"/>
              </w:rPr>
              <w:t>Accrued liabilities consist of the following (in thousands):</w:t>
            </w: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39"/>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sales deductions</w:t>
            </w:r>
          </w:p>
        </w:tc>
        <w:tc>
          <w:tcPr>
            <w:tcW w:w="190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78,308</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7"/>
                <w:szCs w:val="17"/>
                <w:color w:val="auto"/>
              </w:rPr>
              <w:t>Accrued compensation</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10,323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20,533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Ducentis milestone</w:t>
            </w: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7"/>
                <w:szCs w:val="17"/>
                <w:color w:val="auto"/>
              </w:rPr>
              <w:t>Clinical trial accruals</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5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17,044</w:t>
            </w:r>
          </w:p>
        </w:tc>
        <w:tc>
          <w:tcPr>
            <w:tcW w:w="0" w:type="dxa"/>
            <w:vAlign w:val="bottom"/>
          </w:tcPr>
          <w:p>
            <w:pPr>
              <w:spacing w:after="0"/>
              <w:rPr>
                <w:sz w:val="1"/>
                <w:szCs w:val="1"/>
                <w:color w:val="auto"/>
              </w:rPr>
            </w:pPr>
          </w:p>
        </w:tc>
      </w:tr>
      <w:tr>
        <w:trPr>
          <w:trHeight w:val="212"/>
        </w:trPr>
        <w:tc>
          <w:tcPr>
            <w:tcW w:w="5220" w:type="dxa"/>
            <w:vAlign w:val="bottom"/>
          </w:tcPr>
          <w:p>
            <w:pPr>
              <w:ind w:left="320"/>
              <w:spacing w:after="0"/>
              <w:rPr>
                <w:sz w:val="20"/>
                <w:szCs w:val="20"/>
                <w:color w:val="auto"/>
              </w:rPr>
            </w:pPr>
            <w:r>
              <w:rPr>
                <w:rFonts w:ascii="Arial" w:cs="Arial" w:eastAsia="Arial" w:hAnsi="Arial"/>
                <w:sz w:val="17"/>
                <w:szCs w:val="17"/>
                <w:color w:val="auto"/>
              </w:rPr>
              <w:t>Total accrued liabilities</w:t>
            </w:r>
          </w:p>
        </w:tc>
        <w:tc>
          <w:tcPr>
            <w:tcW w:w="154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136,957</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116,310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40" w:type="dxa"/>
            <w:vAlign w:val="bottom"/>
            <w:vMerge w:val="restart"/>
          </w:tcPr>
          <w:p>
            <w:pPr>
              <w:jc w:val="right"/>
              <w:ind w:right="954"/>
              <w:spacing w:after="0"/>
              <w:rPr>
                <w:sz w:val="20"/>
                <w:szCs w:val="20"/>
                <w:color w:val="auto"/>
              </w:rPr>
            </w:pPr>
            <w:r>
              <w:rPr>
                <w:rFonts w:ascii="Arial" w:cs="Arial" w:eastAsia="Arial" w:hAnsi="Arial"/>
                <w:sz w:val="17"/>
                <w:szCs w:val="17"/>
                <w:color w:val="auto"/>
              </w:rPr>
              <w:t>10</w:t>
            </w: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2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20" w:right="7420" w:hanging="617"/>
        <w:spacing w:after="0" w:line="419" w:lineRule="auto"/>
        <w:tabs>
          <w:tab w:leader="none" w:pos="192"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License Agreements &amp; Ducentis Acquisition Sato License Agreement</w:t>
      </w:r>
    </w:p>
    <w:p>
      <w:pPr>
        <w:spacing w:after="0" w:line="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On February 27, 2024, the Company entered into a license agreement with Sato Pharmaceutical Co., Ltd. (Sato). Pursuant to the terms of the license agreement with Sato (the Sato Agreement), the Company grants to Sato an exclusive, sublicensable (under certain circumstances) license under certain patent rights and know-how controlled by the Company for Sato to develop, conduct medical affairs activities for, manufacture, commercialize, and otherwise exploit roflumilast formulations (the Sato Licensed Products) for all therapeutic uses for certain dermatological indications in humans (the Sato Field) in Japan.</w:t>
      </w:r>
    </w:p>
    <w:p>
      <w:pPr>
        <w:spacing w:after="0" w:line="106"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The Sato Agreement sets forth each party’s respective obligations with respect to the development, medical affairs activities, manufacture, supply, and commercialization of the Sato Licensed Products. Pursuant to the terms of the Sato Agreement, Sato will, at its expense, develop, obtain regulatory approval for, commercialize, and conduct medical affairs activities related to the Sato Licensed Products in the Sato Field in Japan, subject to certain of the Company’s approval and oversight rights.</w:t>
      </w:r>
    </w:p>
    <w:p>
      <w:pPr>
        <w:spacing w:after="0" w:line="91"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Pursuant to the terms of the Sato Agreement, the Company received an upfront payment of $25.0 million and will potentially receive additional payments (i) of up to an aggregate amount of $ 10.0 million upon the achievement of certain regulatory milestones and (ii) of up to an aggregate amount of $30.0 million upon the achievement of certain sales milestones. In addition, on a Sato Licensed Product-by-Sato Licensed Product basis, commencing from the first commercial sale of such Sato Licensed Product in Japan until the latest of (i) the expiration of the last valid claim in the intellectual property rights licensed by the Company to Sato under the Sato Agreement covering such Sato Licensed Product in Japan, (ii) the expiration of regulatory exclusivity for such Sato Licensed Product in Japan, or (iii) ten years after the first commercial sale of such Sato Licensed Product in Japan, the Company will receive low double-digit to mid-teen double-digit percentage royalties on Sato’s, its affiliates’ and sublicensees’ total annual net sales of all Sato Licensed Products, subject to certain royalty reductions.</w:t>
      </w:r>
    </w:p>
    <w:p>
      <w:pPr>
        <w:spacing w:after="0" w:line="111"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term of the Sato Agreement continues until, on a Sato Licensed Product-by-Sato Licensed Product basis, the expiration of the Royalty Term, which is (i) the expiration of the last valid claim in the licensed technology covering such Sato Licensed Product in Japan, (ii) the expiration of regulatory exclusivity for such Sato Licensed Product in Japan, or (iii) ten years after the first commercial sale of such Sato Licensed Product in Japan. The Sato Agreement may be terminated by either party in its entirety if the other party commits a material breach, subject to a cure period, or if the other party becomes insolvent. Sato may terminate the Sato Agreement at will in its entirety upon 90 days’ written notice. Unless unenforceable under applicable law, the Company may terminate the Sato Agreement in its entirety if Sato, its affiliate, or sublicensee contests or assists a third party in contesting the scope, validity, or enforceability of any patent or patent application licensed by the Company to Sato. The Company may also terminate the Sato Agreement if Sato or any director, officer, employee, agent, affiliate, sublicensee, or subcontractor is charged by a governmental authority for a violation of any anti-corruption, anti-money laundering, sanctions, or export or import control laws or regulations, or, subject to the terms of the Sato Agreement, if Sato, its affiliates, and sublicensees do not conduct any material development or commercialization activities of a Sato Licensed Product in Japan for a certain period of time.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revenue was recorded pursuant to the Sato Agreement for the three months ended March 31, 2026 and 2025.</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Huadong License Agreement</w:t>
      </w:r>
    </w:p>
    <w:p>
      <w:pPr>
        <w:spacing w:after="0" w:line="140"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In August 2023, the Company entered into a license agreement with Hangzhou Zhongmei Huadong Pharmaceutical Co., Ltd. (Huadong), a wholly owned subsidiary of Huadong Medicine Co., Ltd. Pursuant to the terms of the agreement, the Company granted to Huadong an exclusive, sublicensable (under certain circumstances) license under certain patent rights and know-how controlled by the Company for Huadong to develop, conduct medical affairs activities for, manufacture, commercialize, and otherwise exploit both cream and foam topical roflumilast for all therapeutic uses for certain dermatological indications (Huadong Licensed Products) in Greater China (mainland China, Hong Kong, Macau, and Taiwan) and Southeast Asia (Indonesia, Singapore, the Philippines, Thailand, Myanmar, Brunei, Cambodia, Laos, Malaysia, and Vietnam) (Huadong Territories).</w:t>
      </w:r>
    </w:p>
    <w:p>
      <w:pPr>
        <w:spacing w:after="0" w:line="109" w:lineRule="exact"/>
        <w:rPr>
          <w:sz w:val="20"/>
          <w:szCs w:val="20"/>
          <w:color w:val="auto"/>
        </w:rPr>
      </w:pPr>
    </w:p>
    <w:p>
      <w:pPr>
        <w:jc w:val="both"/>
        <w:ind w:right="20" w:firstLine="619"/>
        <w:spacing w:after="0" w:line="271" w:lineRule="auto"/>
        <w:rPr>
          <w:sz w:val="20"/>
          <w:szCs w:val="20"/>
          <w:color w:val="auto"/>
        </w:rPr>
      </w:pPr>
      <w:r>
        <w:rPr>
          <w:rFonts w:ascii="Arial" w:cs="Arial" w:eastAsia="Arial" w:hAnsi="Arial"/>
          <w:sz w:val="17"/>
          <w:szCs w:val="17"/>
          <w:color w:val="auto"/>
        </w:rPr>
        <w:t>Huadong will, at its expense, develop, obtain regulatory approval for, commercialize, and conduct medical affairs activities for the Huadong Licensed Products, subject to certain of the Company’s approval and oversight rights. The Company will retain exclusive rights for the development, manufacture, and commercialization of topical roflumilast outside the Huadong Territories.</w:t>
      </w:r>
    </w:p>
    <w:p>
      <w:pPr>
        <w:spacing w:after="0" w:line="98"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As consideration for the rights granted under the license agreement with Huadong (the Huadong Agreement), Huadong paid the Company a non-refundable upfront fee pursuant to the terms of the agreement upon closing in September 2023. The Company received a net payment of $27.0 million, which consisted of a $30.0 million upfront payment less the applicable tax withholding obligation in China of $3.0 million. In addition, the Company received a net payment of $2.7 million in March 2024 related to the achievement of a development and regulatory milestone less the applicable tax withholding. The Company received a net payment of $ 1.8 million in each of December 2024, March 2025, and November 2025, related to the achievement of development and regulatory milestones less the applicable tax withholding. The Company may also potentially receive additional payments: (i) of up to an aggregate amount of $15.0 million upon the achievement of certain development and regulatory milestones, (ii) of up to an aggregate amount of $ 40.3 million upon the achievement of certain sales milestones, and (iii) low double-digit to high-teen double-digit tiered percentage royalties on net sales of the Huadong Licensed Products, all of which would be subject to applicable tax withholding obligations.</w:t>
      </w:r>
    </w:p>
    <w:p>
      <w:pPr>
        <w:spacing w:after="0" w:line="101" w:lineRule="exact"/>
        <w:rPr>
          <w:sz w:val="20"/>
          <w:szCs w:val="20"/>
          <w:color w:val="auto"/>
        </w:rPr>
      </w:pPr>
    </w:p>
    <w:p>
      <w:pPr>
        <w:ind w:right="200" w:firstLine="619"/>
        <w:spacing w:after="0" w:line="265" w:lineRule="auto"/>
        <w:rPr>
          <w:sz w:val="20"/>
          <w:szCs w:val="20"/>
          <w:color w:val="auto"/>
        </w:rPr>
      </w:pPr>
      <w:r>
        <w:rPr>
          <w:rFonts w:ascii="Arial" w:cs="Arial" w:eastAsia="Arial" w:hAnsi="Arial"/>
          <w:sz w:val="17"/>
          <w:szCs w:val="17"/>
          <w:color w:val="auto"/>
        </w:rPr>
        <w:t>The term of the Huadong Agreement continues on a Huadong Licensed Product-by-Huadong Licensed Product and country or region-by-country or region basis, until the expiration of the Royalty Term, which is: (i) the date of expiration of the last valid patent claim related to the Huadong Licensed Products, (ii) ten years after the first commercial sale of a Huadong Licensed Product, and (iii) the expiration of any regulatory exclusivity as to a Huadong Licensed Product. The Huadong Agreement may be terminated by both parties under certain circumstances.</w:t>
      </w:r>
    </w:p>
    <w:p>
      <w:pPr>
        <w:spacing w:after="0" w:line="104"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Other revenue and related income tax expense related to the Huadong Agreement was zero for the three months ended March 31, 2026. Other revenue and related income tax expense related to the Huadong Agreement was $2.0 million and $0.2 million, respectively, for the three months ended March 31, 2025.</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AstraZeneca License Agreement</w:t>
      </w:r>
    </w:p>
    <w:p>
      <w:pPr>
        <w:spacing w:after="0" w:line="140"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In July 2018, the Company entered into an exclusive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(collectively, the AZ-Licensed Products), for all diagnostic, prophylactic, and therapeutic uses for human dermatological indications (the Dermatology Field). Under the license agreement with AstraZeneca (the AstraZeneca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14" w:lineRule="exact"/>
        <w:rPr>
          <w:sz w:val="20"/>
          <w:szCs w:val="20"/>
          <w:color w:val="auto"/>
        </w:rPr>
      </w:pPr>
    </w:p>
    <w:p>
      <w:pPr>
        <w:ind w:right="160" w:firstLine="619"/>
        <w:spacing w:after="0" w:line="265" w:lineRule="auto"/>
        <w:rPr>
          <w:sz w:val="20"/>
          <w:szCs w:val="20"/>
          <w:color w:val="auto"/>
        </w:rPr>
      </w:pPr>
      <w:r>
        <w:rPr>
          <w:rFonts w:ascii="Arial" w:cs="Arial" w:eastAsia="Arial" w:hAnsi="Arial"/>
          <w:sz w:val="17"/>
          <w:szCs w:val="17"/>
          <w:color w:val="auto"/>
        </w:rPr>
        <w:t>In the third quarter of 2022, the Company paid $7.5 million to AstraZeneca as a result of the approval of ZORYVE cream 0.3%, which was recorded as an intangible asset. In October 2024, the Company paid $ 5.0 million to AstraZeneca upon achievement of $100.0 million in worldwide net sales, which was recorded as a cumulative catch-up adjustment to the carrying value of the intangible asset. In May 2025, the Company paid $10.0 million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AstraZeneca upon achievement of $250.0 million in worldwide net sales, which was recorded as a cumulative catch-up adjustment to the carrying value of the intangible asset. The Company is amortizing the intangible asset to cost of sales over its useful life of 10 years from the date of first commercial sale, as this is the minimum amount of time that the related AstraZeneca Agreement will be in effect. Amortization expense was $0.6 million and $3.0 million for the three months ended March 31, 2026 and 2025, respectively.</w:t>
      </w:r>
    </w:p>
    <w:p>
      <w:pPr>
        <w:spacing w:after="0" w:line="78" w:lineRule="exact"/>
        <w:rPr>
          <w:sz w:val="20"/>
          <w:szCs w:val="20"/>
          <w:color w:val="auto"/>
        </w:rPr>
      </w:pPr>
    </w:p>
    <w:p>
      <w:pPr>
        <w:ind w:right="60" w:firstLine="619"/>
        <w:spacing w:after="0" w:line="242" w:lineRule="auto"/>
        <w:rPr>
          <w:sz w:val="20"/>
          <w:szCs w:val="20"/>
          <w:color w:val="auto"/>
        </w:rPr>
      </w:pPr>
      <w:r>
        <w:rPr>
          <w:rFonts w:ascii="Arial" w:cs="Arial" w:eastAsia="Arial" w:hAnsi="Arial"/>
          <w:sz w:val="17"/>
          <w:szCs w:val="17"/>
          <w:color w:val="auto"/>
        </w:rPr>
        <w:t>The Company has agreed to make additional cash payments to AstraZeneca of up to an aggregate of $5.0 million upon the achievement of specified regulatory approval milestones with respect to the AZ-Licensed Products. With respect to any AZ-Licensed Products the Company commercializes under the AstraZeneca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As a result of the commercialization of ZORYVE in August 2022, the Company began accruing royalties payable to AstraZeneca, which are recorded in cost of sales and accrued liabilities. Royalty expense during the three months ended March 31, 2026 and 2025 was $3.2 million and $1.9 million, respectively.</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Ducentis Biotherapeutics LTD Acquisition</w:t>
      </w:r>
    </w:p>
    <w:p>
      <w:pPr>
        <w:spacing w:after="0" w:line="140" w:lineRule="exact"/>
        <w:rPr>
          <w:sz w:val="20"/>
          <w:szCs w:val="20"/>
          <w:color w:val="auto"/>
        </w:rPr>
      </w:pPr>
    </w:p>
    <w:p>
      <w:pPr>
        <w:ind w:right="60" w:firstLine="619"/>
        <w:spacing w:after="0" w:line="244" w:lineRule="auto"/>
        <w:rPr>
          <w:sz w:val="20"/>
          <w:szCs w:val="20"/>
          <w:color w:val="auto"/>
        </w:rPr>
      </w:pPr>
      <w:r>
        <w:rPr>
          <w:rFonts w:ascii="Arial" w:cs="Arial" w:eastAsia="Arial" w:hAnsi="Arial"/>
          <w:sz w:val="17"/>
          <w:szCs w:val="17"/>
          <w:color w:val="auto"/>
        </w:rPr>
        <w:t>On September 7, 2022, the Company entered into an agreement with Ducentis Biotherapeutics LTD. (Ducentis) and certain stockholders of Ducentis (the Share Purchase Agreement), pursuant to which the Company acquired all of the outstanding equity interests in Ducentis for (i) 610,258 shares of the Company's common stock, valued at approximately $12.5 million, and $15.9 million in cash, inclusive of liabilities acquired, and (ii) contingent payments of up to an aggregate of $396.0 million, which may become payable upon the achievement of certain development, regulatory, and commercial milestones. In addition, if applicable, the Company will make payments amounting to a mid-single-digit percentage of any annual net sales of certain products exceeding $1.5 billion.</w:t>
      </w:r>
    </w:p>
    <w:p>
      <w:pPr>
        <w:spacing w:after="0" w:line="97" w:lineRule="exact"/>
        <w:rPr>
          <w:sz w:val="20"/>
          <w:szCs w:val="20"/>
          <w:color w:val="auto"/>
        </w:rPr>
      </w:pPr>
    </w:p>
    <w:p>
      <w:pPr>
        <w:ind w:right="180" w:firstLine="619"/>
        <w:spacing w:after="0" w:line="246" w:lineRule="auto"/>
        <w:rPr>
          <w:sz w:val="20"/>
          <w:szCs w:val="20"/>
          <w:color w:val="auto"/>
        </w:rPr>
      </w:pPr>
      <w:r>
        <w:rPr>
          <w:rFonts w:ascii="Arial" w:cs="Arial" w:eastAsia="Arial" w:hAnsi="Arial"/>
          <w:sz w:val="17"/>
          <w:szCs w:val="17"/>
          <w:color w:val="auto"/>
        </w:rPr>
        <w:t>The Company accounted for this purchase of equity interests in Ducentis as an in-process research and development (IPR&amp;D) asset acquisition, as it has no alternative future use, and recorded a $29.6 million charge to research and development expense on the acquisition date. Any contingent payments made under the Share Purchase Agreement will be recorded when it is probable that they will occur and they can be reasonably estimated, at which point the Company will determine whether the payment should be expensed or capitalized depending on whether the IPR&amp;D has achieved market acceptance.</w:t>
      </w:r>
    </w:p>
    <w:p>
      <w:pPr>
        <w:spacing w:after="0" w:line="94" w:lineRule="exact"/>
        <w:rPr>
          <w:sz w:val="20"/>
          <w:szCs w:val="20"/>
          <w:color w:val="auto"/>
        </w:rPr>
      </w:pPr>
    </w:p>
    <w:p>
      <w:pPr>
        <w:jc w:val="both"/>
        <w:ind w:right="160" w:firstLine="619"/>
        <w:spacing w:after="0" w:line="255" w:lineRule="auto"/>
        <w:rPr>
          <w:sz w:val="20"/>
          <w:szCs w:val="20"/>
          <w:color w:val="auto"/>
        </w:rPr>
      </w:pPr>
      <w:r>
        <w:rPr>
          <w:rFonts w:ascii="Arial" w:cs="Arial" w:eastAsia="Arial" w:hAnsi="Arial"/>
          <w:sz w:val="17"/>
          <w:szCs w:val="17"/>
          <w:color w:val="auto"/>
        </w:rPr>
        <w:t>Under the terms of the Share Purchase Agreement, the Company will develop and seek FDA approval of a therapeutic product containing ARQ-234 for an atopic dermatitis indication, and if FDA approval of ARQ-234 is obtained by the Company, to commercially launch it in the United States.</w:t>
      </w:r>
    </w:p>
    <w:p>
      <w:pPr>
        <w:spacing w:after="0" w:line="99" w:lineRule="exact"/>
        <w:rPr>
          <w:sz w:val="20"/>
          <w:szCs w:val="20"/>
          <w:color w:val="auto"/>
        </w:rPr>
      </w:pPr>
    </w:p>
    <w:p>
      <w:pPr>
        <w:ind w:firstLine="619"/>
        <w:spacing w:after="0" w:line="243" w:lineRule="auto"/>
        <w:rPr>
          <w:sz w:val="20"/>
          <w:szCs w:val="20"/>
          <w:color w:val="auto"/>
        </w:rPr>
      </w:pPr>
      <w:r>
        <w:rPr>
          <w:rFonts w:ascii="Arial" w:cs="Arial" w:eastAsia="Arial" w:hAnsi="Arial"/>
          <w:sz w:val="17"/>
          <w:szCs w:val="17"/>
          <w:color w:val="auto"/>
        </w:rPr>
        <w:t>In March 2026, the Company initiated a Phase 1a/1b clinical trial of ARQ-234 for the treatment of moderate-to-severe atopic dermatitis. Upon dosing of the first patient in this trial, the Company became obligated to pay a $10.0 million milestone to former stockholders of Ducentis under the terms of the Share Purchase Agreement. The Company paid $0.8 million of this amount in April 2026. The Company will issue promissory</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notes for the remaining $ 9.2 million owed to the former stockholders of Ducentis pursuant to the Share Purchase Agreement. The promissory notes bear no interest, become payable 12 months from issuance, and are callable by the holders as early as seven months from issuance. The Company</w:t>
      </w:r>
    </w:p>
    <w:p>
      <w:pPr>
        <w:spacing w:after="0" w:line="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recognized the $ 10.0 million in research and development expense in the first quarter of 2026. After this milestone payment, the Company has $386.0 million of contingent payments remaining that may become payable upon the achievement of certain development, regulatory, and commercial milestones.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0" w:right="8320" w:hanging="617"/>
        <w:spacing w:after="0" w:line="419" w:lineRule="auto"/>
        <w:tabs>
          <w:tab w:leader="none" w:pos="192"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Operating Lease</w:t>
      </w:r>
    </w:p>
    <w:p>
      <w:pPr>
        <w:spacing w:after="0" w:line="1"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The Company's lease for its corporate headquarters (22,643 square feet of office space) commenced in February 2019 and was amended in April 2020 in order to relocate to a new expanded space. In August 2025, the Company entered into a second amendment to extend the term of the lease by five years, extending the lease expiration from August 2028 to July 2033. This second amendment had a net effect of increasing the Company's future lease payments by approximately $5.4 million, primarily due to the five additional years of rent payments. In accordance with ASC 842, the Company remeasured the present value of the aggregate lease payments over the amended lease term and recorded an increase to the Company’s operating lease liabilities and existing right-of-use lease asset of approximately $2.9 million in the third quarter of 2025 as a result of this remeasurement.</w:t>
      </w:r>
    </w:p>
    <w:p>
      <w:pPr>
        <w:spacing w:after="0" w:line="10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Manufacturing Agreements</w:t>
      </w:r>
    </w:p>
    <w:p>
      <w:pPr>
        <w:spacing w:after="0" w:line="140" w:lineRule="exact"/>
        <w:rPr>
          <w:sz w:val="20"/>
          <w:szCs w:val="20"/>
          <w:color w:val="auto"/>
        </w:rPr>
      </w:pPr>
    </w:p>
    <w:p>
      <w:pPr>
        <w:jc w:val="both"/>
        <w:ind w:right="40" w:firstLine="619"/>
        <w:spacing w:after="0" w:line="271" w:lineRule="auto"/>
        <w:rPr>
          <w:sz w:val="20"/>
          <w:szCs w:val="20"/>
          <w:color w:val="auto"/>
        </w:rPr>
      </w:pPr>
      <w:r>
        <w:rPr>
          <w:rFonts w:ascii="Arial" w:cs="Arial" w:eastAsia="Arial" w:hAnsi="Arial"/>
          <w:sz w:val="17"/>
          <w:szCs w:val="17"/>
          <w:color w:val="auto"/>
        </w:rPr>
        <w:t>In the normal course of business, the Company enters into manufacturing supply agreements for the commercial supply of ZORYVE, which include certain minimum purchase commitments. There have been no material changes to the Company's minimum purchase commitments during the three months ended March 31, 2026.</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40" w:lineRule="exact"/>
        <w:rPr>
          <w:sz w:val="20"/>
          <w:szCs w:val="20"/>
          <w:color w:val="auto"/>
        </w:rPr>
      </w:pPr>
    </w:p>
    <w:p>
      <w:pPr>
        <w:ind w:right="20" w:firstLine="619"/>
        <w:spacing w:after="0" w:line="246"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the provisions of the Company's Bylaws and the Delaware General Corporation Law. The Company currently has directors’ and officers’ insurance coverage that reduces its exposure and enables the Company to recover a portion of any future amounts paid. The Company believes any potential loss exposure under these indemnification agreements in excess of applicable insurance coverage is minimal.</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Contingencies</w:t>
      </w:r>
    </w:p>
    <w:p>
      <w:pPr>
        <w:spacing w:after="0" w:line="140" w:lineRule="exact"/>
        <w:rPr>
          <w:sz w:val="20"/>
          <w:szCs w:val="20"/>
          <w:color w:val="auto"/>
        </w:rPr>
      </w:pPr>
    </w:p>
    <w:p>
      <w:pPr>
        <w:ind w:right="40" w:firstLine="619"/>
        <w:spacing w:after="0" w:line="255" w:lineRule="auto"/>
        <w:rPr>
          <w:sz w:val="20"/>
          <w:szCs w:val="20"/>
          <w:color w:val="auto"/>
        </w:rPr>
      </w:pPr>
      <w:r>
        <w:rPr>
          <w:rFonts w:ascii="Arial" w:cs="Arial" w:eastAsia="Arial" w:hAnsi="Arial"/>
          <w:sz w:val="17"/>
          <w:szCs w:val="17"/>
          <w:color w:val="auto"/>
        </w:rPr>
        <w:t>From time to time, the Company may be involved in legal proceedings, as well as demands, claims, and threatened litigation, which arise in the normal course of business or otherwise. The ultimate outcome of any litigation is uncertain, and unfavorable outcomes could have a negative impact on the Company's results of operations and financial condition. Regardless of outcome, litigation can have an adverse impact on the Company because of the defense costs, the diversion of management resources, and other factors.</w:t>
      </w:r>
    </w:p>
    <w:p>
      <w:pPr>
        <w:spacing w:after="0" w:line="97"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As of March 31, 2026 and December 31, 2025, the Company determined that no loss contingencies from legal proceedings met the threshold of "probable" and "reasonably estimable", as defined in ASC 450. Accordingly, no material amounts have been accrued related to loss contingencies under ASC 450.</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 Debt</w:t>
      </w:r>
    </w:p>
    <w:p>
      <w:pPr>
        <w:spacing w:after="0" w:line="140" w:lineRule="exact"/>
        <w:rPr>
          <w:sz w:val="20"/>
          <w:szCs w:val="20"/>
          <w:color w:val="auto"/>
        </w:rPr>
      </w:pPr>
    </w:p>
    <w:p>
      <w:pPr>
        <w:ind w:right="60" w:firstLine="619"/>
        <w:spacing w:after="0" w:line="255" w:lineRule="auto"/>
        <w:rPr>
          <w:sz w:val="20"/>
          <w:szCs w:val="20"/>
          <w:color w:val="auto"/>
        </w:rPr>
      </w:pPr>
      <w:r>
        <w:rPr>
          <w:rFonts w:ascii="Arial" w:cs="Arial" w:eastAsia="Arial" w:hAnsi="Arial"/>
          <w:sz w:val="17"/>
          <w:szCs w:val="17"/>
          <w:color w:val="auto"/>
        </w:rPr>
        <w:t>On December 22, 2021, the Company entered into a loan and security agreement (the Prior Loan Agreement) with SLR Investment Corp. (SLR) and the lenders party thereto. The Prior Loan Agreement was amended and restated on January 10, 2023 (the AR Loan Agreement) to include Arcutis Canada, Inc. as a borrower and party. On November 1, 2023, the Company entered into an amendment to the AR Loan Agreement to, among others, (i) modify the financial covenant relating to minimum net product revenue, and (ii) include an additional minimum financing covenant. On August 9, 2024, the Company entered into a second amendment to the AR Loan Agreement (the AR Loan Agreement, as amended by the first and second amendments, the Loan Agreement), which it determined to be a modification, to, among others, (i) permit, during the period commencing on October 7, 2024 and ending on December 15, 2024, an optional partial prepayment of term loans outstanding, subject to a 1.0% prepayment penalty (the 2024 Partial Prepayment), (ii) add the tranche C-1 and tranche C-2 term loans, and (iii) facilitate certain other changes, including with respect to the applicable interest rate and maturity date in the event of a 2024 Partial Prepayment. As security for the obligations under the Loan Agreement, the Company granted SLR, for the benefit of the lenders, a continuing security interest in substantially all of the Company's assets, including its intellectual property, subject to certain exceptions. The term loan facility is comprised of (i) a tranche A term loan of $75.0 million, (ii) a tranche B-1 term loan of $50.0 million, (iii) a tranche B-2 term loan of up to $75.0 million, (iv) a tranche C-1 term loan of up to $50.0 million, and (v) a tranche C-2 term loan of up to $50.0 million (collectively, the Term Loans). The tranche A term loan was funded on December 22, 2021. With the approval of ZORYVE cream 0.3% on July 29, 2022, the tranche B term loans were funded on August 2, 2022. As of March 31, 2026 and December 31, 2025</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aggregate principal amount outstanding under the Loan Agreement was $100.0 million.</w:t>
      </w:r>
    </w:p>
    <w:p>
      <w:pPr>
        <w:spacing w:after="0" w:line="107"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On October 8, 2024, the Company made a 2024 Partial Prepayment of $100.0 million, which reduced the aggregate principal amount outstanding under the Loan Agreement to $100.0 million. In connection with the 2024 Partial Prepayment, the Company is obligated to pay a prepayment penalty of $1.0 million by June 30, 2026 and a final fee of $6.95 million, representing the final fee applicable to the amount of the 2024 Partial Prepayment, on January 1, 2027.</w:t>
      </w:r>
    </w:p>
    <w:p>
      <w:pPr>
        <w:spacing w:after="0" w:line="91" w:lineRule="exact"/>
        <w:rPr>
          <w:sz w:val="20"/>
          <w:szCs w:val="20"/>
          <w:color w:val="auto"/>
        </w:rPr>
      </w:pPr>
    </w:p>
    <w:p>
      <w:pPr>
        <w:ind w:right="60" w:firstLine="619"/>
        <w:spacing w:after="0" w:line="241" w:lineRule="auto"/>
        <w:rPr>
          <w:sz w:val="20"/>
          <w:szCs w:val="20"/>
          <w:color w:val="auto"/>
        </w:rPr>
      </w:pPr>
      <w:r>
        <w:rPr>
          <w:rFonts w:ascii="Arial" w:cs="Arial" w:eastAsia="Arial" w:hAnsi="Arial"/>
          <w:sz w:val="17"/>
          <w:szCs w:val="17"/>
          <w:color w:val="auto"/>
        </w:rPr>
        <w:t>As a result of such 2024 Partial Prepayment, subject to the Company generating a minimum net product revenue for the trailing six (6) month period ending as of the month prior to the borrowing date equal to 80% of the Company’s projected net product revenue as set forth in its annual plan for the respective period, the Company obtained the ability to draw down the tranche C-1 and tranche C-2 term loans. The tranche C-1 term loan availability expired on March 31, 2026 and the tranche C-2 term loan availability will expire on June 30, 2026. In addition, as a result of the 2024 Partial Prepayment, (i) the maturity date of the Loan Agreement is August 1, 2029, (ii) the applicable per annum interest rate is equal to</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5.95% plus the greater of (a) 2.50% per annum and (b) the one-month Secured Overnight Financing Rate (SOFR), (iii) the Company is no longer subject to certain cost and purchase price restrictions regarding acquisitions, and (iv) the Company may prepay principal amounts outstanding under the Term Loans in minimum increments of $25.0 million, subject to a prepayment premium of (a) 3.0% for any prepayment made prior to the first anniversary of the second amendment, (b) 2.0% for any prepayment made after the first anniversary of the second amendment and prior to the second anniversary of the second amendment, or (c) 1.0% for any prepayment made after the second anniversary of the second amendment and prior to the maturity date.</w:t>
      </w:r>
    </w:p>
    <w:p>
      <w:pPr>
        <w:spacing w:after="0" w:line="100" w:lineRule="exact"/>
        <w:rPr>
          <w:sz w:val="20"/>
          <w:szCs w:val="20"/>
          <w:color w:val="auto"/>
        </w:rPr>
      </w:pPr>
    </w:p>
    <w:p>
      <w:pPr>
        <w:ind w:firstLine="619"/>
        <w:spacing w:after="0" w:line="243" w:lineRule="auto"/>
        <w:rPr>
          <w:sz w:val="20"/>
          <w:szCs w:val="20"/>
          <w:color w:val="auto"/>
        </w:rPr>
      </w:pPr>
      <w:r>
        <w:rPr>
          <w:rFonts w:ascii="Arial" w:cs="Arial" w:eastAsia="Arial" w:hAnsi="Arial"/>
          <w:sz w:val="17"/>
          <w:szCs w:val="17"/>
          <w:color w:val="auto"/>
        </w:rPr>
        <w:t>Principal amounts outstanding under the Term Loans will accrue interest at a floating rate equal to the applicable rate in effect from time to time, as determined by SLR on the third business day prior to the funding date of the applicable Term Loan and on the first business day of the month prior to each payment date of each Term Loan. Prior to the 2024 Partial Prepayment, the applicable rate was a per annum interest rate equal to 7.45% plus the greater of (a) 0.10% and (b) the one-month SOFR. As a result of such 2024 Partial Prepayment, the applicable interest rate will be a per annum interest rate equal to 5.95% plus the greater of (a) 2.50% and (b) the one-month SOFR. On March 31, 2026, the rate was 9.61%. The benchmark SOFR is subject to change in the event of certain events with respect to the benchmark rate. Interest payments are payable monthly following the funding of any Term Loan.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If the Term Loans are accelerated due to, among others, the occurrence of a bankruptcy or insolvency event, the Company is required to make mandatory prepayments of (i) all principal amounts outstanding under the Term Loans, plus accrued and unpaid interest thereon through the prepayment date, (ii) any fees applicable by reason of such prepayment, (iii) the prepayment premiums set forth in the paragraph above, plus (iv) all other obligations that are due and payable, including expenses and interest at the Default Rate (as defined below) with respect to any past due amounts.</w:t>
      </w:r>
    </w:p>
    <w:p>
      <w:pPr>
        <w:spacing w:after="0" w:line="9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Loan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to pay any dividends or other distributions on capital stock other than dividends payable solely in capital stock or to redeem capital stock. The Company also agreed to a financial covenant whereby the Company must generate a minimum net product revenue equal to 75% of its projected net product revenue as set forth in the Company's annual plan for the respective period, tested on a trailing six-month basis, as of the end of each month. Each annual plan shall be approved by the Company’s board of directors and SLR, in its capacity as collateral agent, in its reasonable discretion. Any failure by the Company to deliver such annual plan on or before December 15 of the prior year shall be an immediate event of default. The Company was in compliance with all covenants under the Loan Agreement as of March 31, 2026.</w:t>
      </w:r>
    </w:p>
    <w:p>
      <w:pPr>
        <w:spacing w:after="0" w:line="111"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In addition, the Loan Agreement contains customary events of default that entitle the lenders to cause any indebtedness under the Loan Agreement to become immediately due and payable, and to exercise remedies against the Company and the collateral securing the Term Loans. Under the Loan Agreement, an event of default will occur if, among other things, the Company fails to make payments under the Loan Agreement, the Company breaches any of the covenants under the Loan Agreement, subject to specified cure periods with respect to certain breaches, the lenders determine that a material adverse change has occurred, or the Company or the Company's assets become subject to certain legal proceedings, such as bankruptcy proceedings. Upon the occurrence and for the duration of an event of default, an additional default interest rate, or the Default Rate, equal to 4.0% per annum will apply to all obligations owed under the Loan Agreement. The prepayment upon default and other potential additional interest provisions under the Loan Agreement were determined to be a compound embedded derivative instrument to be bifurcated from the loan and accounted for as a separate liability for accounting purposes under the guidance in ASC 815, Derivatives and Hedging. At the inception of the Loan Agreement, the fair value of the embedded derivative was determined to be immaterial. The embedded derivative instrument is remeasured at fair value each reporting period with any future changes in fair value reported in other income, net, in the condensed consolidated statement of operations and comprehensive loss. The fair value of the embedded derivative as of March 31, 2026 and December 31, 2025 was immaterial and any gains (losses) recognized as a result of the change in fair value during the three months ended March 31, 2026 and 2025 were immaterial.</w:t>
      </w:r>
    </w:p>
    <w:p>
      <w:pPr>
        <w:spacing w:after="0" w:line="106" w:lineRule="exact"/>
        <w:rPr>
          <w:sz w:val="20"/>
          <w:szCs w:val="20"/>
          <w:color w:val="auto"/>
        </w:rPr>
      </w:pPr>
    </w:p>
    <w:p>
      <w:pPr>
        <w:ind w:right="20" w:firstLine="619"/>
        <w:spacing w:after="0" w:line="253"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connection with the Loan Agreement, the Company is obligated to pay (i) a final fee equal to 6.95% of the aggregate original principal</w:t>
      </w:r>
      <w:r>
        <w:rPr>
          <w:rFonts w:ascii="Arial" w:cs="Arial" w:eastAsia="Arial" w:hAnsi="Arial"/>
          <w:sz w:val="19"/>
          <w:szCs w:val="19"/>
          <w:color w:val="auto"/>
        </w:rPr>
        <w:t xml:space="preserve"> </w:t>
      </w:r>
      <w:r>
        <w:rPr>
          <w:rFonts w:ascii="Arial" w:cs="Arial" w:eastAsia="Arial" w:hAnsi="Arial"/>
          <w:sz w:val="17"/>
          <w:szCs w:val="17"/>
          <w:color w:val="auto"/>
        </w:rPr>
        <w:t>amount of the Term Loans outstanding as of the date of the second amendment (x) with respect to any 2024 Partial Prepayment, upon the earliest to occur of (a) January 1, 2027, (b) the acceleration of all outstanding Term Loans and (c) the prepayment, or refinancing, substitution or replacement of all outstanding Term Loans, and (y) with respect to the Term Loans outstanding as of the date of the second amendment (other than the 2024 Partial Prepayment), upon the earliest to occur of (a) the maturity date, (b) the acceleration of all outstanding Term Loans and (c) the prepayment, or refinancing, substitution or replacement of all outstanding Term Loans, (ii) a 2.00% fee with respect to tranche C term loans, due and payable on the earliest to occur of (a) the maturity date, (b) the acceleration of all outstanding Term Loans and (c) the prepayment, or refinancing, substitution or replacement of all outstanding Term Loans, (iii) a 2.00% extension fee with respect to tranche C term loans which remain unfunded after December 31, 2025, which shall accrue during the period commencing January 1, 2026, and ending on the earliest to occur of (a) the expiration of the tranche C term loan availability, and (b) the date on which tranche C term loan is fully drawn, and (iv) a certain amount of lenders’ expenses incurred in connection with the execution of the Loan Agreement. Additionally, in connection with the original Prior Loan Agreement, the Company previously had entered into an Exit Fee Agreement, whereby the Company agreed to pay an exit fee in the amount of 3.0% of each Term Loan funded upon (i) any change of control transaction or (ii) a revenue milestone, calculated on 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trailing six-month basis. Notwithstanding the prepayment or termination of the Term Loan, the exit fee will expire 10 years from the date of the Loan Agreement.</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debt issuance costs have been recorded as a debt discount which are being accreted to interest expense through the maturity date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term loan. Interest expense is calculated using the effective interest method and is inclusive of non-cash amortization of debt issuance costs.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final maturity payment of $13.9 million is recognized over the life of the term loan through interest expense. At March 31, 2026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 the effective interest rate was 10.75% and 10.92%, respectively. Interest expense relating to the term loan for the three months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ended March 31, 2026 and 2025 was $4.4 million and $3.0 million, respectively.</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summarizes additional information related to the Company's long-term debt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 2025</w:t>
            </w:r>
          </w:p>
        </w:tc>
      </w:tr>
      <w:tr>
        <w:trPr>
          <w:trHeight w:val="213"/>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gross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Accrued final fee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8,824</w:t>
            </w: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prepayment penalty</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issuance costs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r>
      <w:tr>
        <w:trPr>
          <w:trHeight w:val="212"/>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carrying value of debt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108,959</w:t>
            </w:r>
          </w:p>
        </w:tc>
      </w:tr>
      <w:tr>
        <w:trPr>
          <w:trHeight w:val="21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r>
      <w:tr>
        <w:trPr>
          <w:trHeight w:val="237"/>
        </w:trPr>
        <w:tc>
          <w:tcPr>
            <w:tcW w:w="7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Long-term debt,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107,959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Upon the contractual maturity of the Company's long-term debt, a payment of principal and final fees of $107.0 million is due on August 1,</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2029.</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9. Stockholders' Equity</w:t>
      </w:r>
    </w:p>
    <w:p>
      <w:pPr>
        <w:spacing w:after="0" w:line="140" w:lineRule="exact"/>
        <w:rPr>
          <w:sz w:val="20"/>
          <w:szCs w:val="20"/>
          <w:color w:val="auto"/>
        </w:rPr>
      </w:pPr>
    </w:p>
    <w:p>
      <w:pPr>
        <w:ind w:right="260" w:firstLine="619"/>
        <w:spacing w:after="0" w:line="271" w:lineRule="auto"/>
        <w:rPr>
          <w:sz w:val="20"/>
          <w:szCs w:val="20"/>
          <w:color w:val="auto"/>
        </w:rPr>
      </w:pPr>
      <w:r>
        <w:rPr>
          <w:rFonts w:ascii="Arial" w:cs="Arial" w:eastAsia="Arial" w:hAnsi="Arial"/>
          <w:sz w:val="17"/>
          <w:szCs w:val="17"/>
          <w:color w:val="auto"/>
        </w:rPr>
        <w:t>The Company's authorized capital stock consists of 310,000,000 shares, all with a par value of $0.0001 per share, of which 300,000,000 shares are designated as common stock and 10,000,000 shares are designated as preferred stock. There were no shares of preferred stock outstanding as of March 31, 2026.</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Equity Offerings</w:t>
      </w:r>
    </w:p>
    <w:p>
      <w:pPr>
        <w:spacing w:after="0" w:line="15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 October 2023, the Company completed a public sale of its common stock, receiving aggregate net proceeds of $95.8 million. In addition to the sale of common stock, the Company issued prefunded warrants to purchase 7,500,000 shares of the Company's common stock at $2.4999 per underlying share of common stock. The prefunded warrants have an exercise price of $0.0001 per underlying share of common stock, were fully exercisable upon issuance, and have no expiration date. In October 2025, certain prefunded warrants were exercised, resulting in the issuance of 2,285,000 shares. As of March 31, 2026, prefunded warrants to purchase 5,215,000 shares of the Company's common stock remained outstanding.</w:t>
      </w:r>
    </w:p>
    <w:p>
      <w:pPr>
        <w:spacing w:after="0" w:line="93" w:lineRule="exact"/>
        <w:rPr>
          <w:sz w:val="20"/>
          <w:szCs w:val="20"/>
          <w:color w:val="auto"/>
        </w:rPr>
      </w:pPr>
    </w:p>
    <w:p>
      <w:pPr>
        <w:ind w:left="620" w:right="780"/>
        <w:spacing w:after="0" w:line="427" w:lineRule="auto"/>
        <w:rPr>
          <w:sz w:val="20"/>
          <w:szCs w:val="20"/>
          <w:color w:val="auto"/>
        </w:rPr>
      </w:pPr>
      <w:r>
        <w:rPr>
          <w:rFonts w:ascii="Arial" w:cs="Arial" w:eastAsia="Arial" w:hAnsi="Arial"/>
          <w:sz w:val="17"/>
          <w:szCs w:val="17"/>
          <w:color w:val="auto"/>
        </w:rPr>
        <w:t xml:space="preserve">In February 2024, the Company completed a public sale of its common stock, receiving aggregate net proceeds of $161.7 million. </w:t>
      </w:r>
      <w:r>
        <w:rPr>
          <w:rFonts w:ascii="Arial" w:cs="Arial" w:eastAsia="Arial" w:hAnsi="Arial"/>
          <w:sz w:val="17"/>
          <w:szCs w:val="17"/>
          <w:b w:val="1"/>
          <w:bCs w:val="1"/>
          <w:i w:val="1"/>
          <w:iCs w:val="1"/>
          <w:color w:val="auto"/>
        </w:rPr>
        <w:t>At-the-Market (ATM) Offerings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May 6, 2021, the Company entered into a sales agreement (Sales Agreement) with Cowen and Company, LLC (Cowen), under which</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from time to time issue and sell shares of its common stock through ATM offerings for an aggregate offering price of up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$100.0 million. Cowen will act as the Company's sales agent for the ATM program and is entitled to compensation for its services up to 3% of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gross proceeds of any shares of common stock sold under the Sales Agreement.</w:t>
      </w:r>
    </w:p>
    <w:p>
      <w:pPr>
        <w:spacing w:after="0" w:line="124"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color w:val="auto"/>
        </w:rPr>
        <w:t>In January 2024, the Company amended and restated its Sales Agreement with Cowen to reset the ATM program and provide for the offer and sale of shares of common stock having an aggregate gross offering price of up to $100.0 million. All other terms of the amended and restated Sales Agreement are substantially the same as the original Sales Agreement. The Company has not yet issued or sold any common stock under the amended and restated Sales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27" w:lineRule="exact"/>
        <w:rPr>
          <w:sz w:val="20"/>
          <w:szCs w:val="20"/>
          <w:color w:val="auto"/>
        </w:rPr>
      </w:pPr>
    </w:p>
    <w:p>
      <w:pPr>
        <w:ind w:right="20" w:firstLine="619"/>
        <w:spacing w:after="0" w:line="246" w:lineRule="auto"/>
        <w:rPr>
          <w:sz w:val="20"/>
          <w:szCs w:val="20"/>
          <w:color w:val="auto"/>
        </w:rPr>
      </w:pPr>
      <w:r>
        <w:rPr>
          <w:rFonts w:ascii="Arial" w:cs="Arial" w:eastAsia="Arial" w:hAnsi="Arial"/>
          <w:sz w:val="17"/>
          <w:szCs w:val="17"/>
          <w:color w:val="auto"/>
        </w:rPr>
        <w:t>In December 2021, the Company’s board of directors approved the 2022 Employment Inducement Incentive Plan (2022 Plan). The 2022 Plan initially reserved 1,250,000 shares of common stock available for issuance pursuant to a variety of stock-based compensation awards, including stock options, stock appreciation rights, restricted stock awards, RSU awards, and other stock-based awards. In November 2022 and April 2026, the 2022 Plan reserve was increased by 1,500,000 and 1,200,000 shares, respectively. As of March 31, 2026, the Company had 112,325 shares available for future grant under the 2022 Plan, excluding the April 2026 increase.</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 Exchange Program</w:t>
      </w:r>
    </w:p>
    <w:p>
      <w:pPr>
        <w:spacing w:after="0" w:line="140"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On January 16, 2024, the Company commenced an offer to certain eligible employees and consultants to exchange certain outstanding eligible options to purchase shares of the Company’s common stock for a lesser number of restricted stock unit (RSU) awards pursuant to an option exchange program (the Option Exchange). The Option Exchange expired on February 12, 2024. Pursuant to the Option Exchange, eligible option holders elected to exchange, and the Company accepted for cancellation, eligible options to purchase an aggregate of 5,059,129 shares of the Company’s common stock, representing approximately 98% of the total shares of common stock underlying the eligible options. On February 13, 2024, immediately following the expiration of the Option Exchange, the Company granted 2,129,594 shares of Replacement RSU Awards, pursuant to the terms of the Option Exchange. The Replacement RSU Awards will vest based on continued service with the Company over a period of either 1, 2 or 3 years, depending on the grant date of the exchanged options.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exchange of stock options was treated as a modification for accounting purposes, which requires an incremental expense of</w:t>
      </w:r>
    </w:p>
    <w:p>
      <w:pPr>
        <w:spacing w:after="0" w:line="2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$8.6 million to be recognized for the Replacement RSU Awards over their new service periods (1 - 3 years). In addition, any unamortized expense remaining on the exchanged options as of the modification will be recognized over their original remaining service period.</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summarizes option activity: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Remaining</w:t>
            </w:r>
          </w:p>
        </w:tc>
        <w:tc>
          <w:tcPr>
            <w:tcW w:w="20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68"/>
        </w:trPr>
        <w:tc>
          <w:tcPr>
            <w:tcW w:w="5640" w:type="dxa"/>
            <w:vAlign w:val="bottom"/>
          </w:tcPr>
          <w:p>
            <w:pPr>
              <w:spacing w:after="0"/>
              <w:rPr>
                <w:sz w:val="14"/>
                <w:szCs w:val="14"/>
                <w:color w:val="auto"/>
              </w:rPr>
            </w:pPr>
          </w:p>
        </w:tc>
        <w:tc>
          <w:tcPr>
            <w:tcW w:w="132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Exercise</w:t>
            </w:r>
          </w:p>
        </w:tc>
        <w:tc>
          <w:tcPr>
            <w:tcW w:w="14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3"/>
                <w:szCs w:val="13"/>
                <w:color w:val="auto"/>
              </w:rPr>
            </w:pPr>
          </w:p>
        </w:tc>
        <w:tc>
          <w:tcPr>
            <w:tcW w:w="1120" w:type="dxa"/>
            <w:vAlign w:val="bottom"/>
          </w:tcPr>
          <w:p>
            <w:pPr>
              <w:jc w:val="center"/>
              <w:ind w:right="124"/>
              <w:spacing w:after="0" w:line="155" w:lineRule="exact"/>
              <w:rPr>
                <w:sz w:val="20"/>
                <w:szCs w:val="20"/>
                <w:color w:val="auto"/>
              </w:rPr>
            </w:pPr>
            <w:r>
              <w:rPr>
                <w:rFonts w:ascii="Arial" w:cs="Arial" w:eastAsia="Arial" w:hAnsi="Arial"/>
                <w:sz w:val="14"/>
                <w:szCs w:val="14"/>
                <w:b w:val="1"/>
                <w:bCs w:val="1"/>
                <w:color w:val="auto"/>
                <w:w w:val="97"/>
              </w:rPr>
              <w:t>Value ($, in</w:t>
            </w:r>
          </w:p>
        </w:tc>
        <w:tc>
          <w:tcPr>
            <w:tcW w:w="0" w:type="dxa"/>
            <w:vAlign w:val="bottom"/>
          </w:tcPr>
          <w:p>
            <w:pPr>
              <w:spacing w:after="0"/>
              <w:rPr>
                <w:sz w:val="1"/>
                <w:szCs w:val="1"/>
                <w:color w:val="auto"/>
              </w:rPr>
            </w:pPr>
          </w:p>
        </w:tc>
      </w:tr>
      <w:tr>
        <w:trPr>
          <w:trHeight w:val="202"/>
        </w:trPr>
        <w:tc>
          <w:tcPr>
            <w:tcW w:w="5640" w:type="dxa"/>
            <w:vAlign w:val="bottom"/>
          </w:tcPr>
          <w:p>
            <w:pPr>
              <w:spacing w:after="0"/>
              <w:rPr>
                <w:sz w:val="17"/>
                <w:szCs w:val="17"/>
                <w:color w:val="auto"/>
              </w:rPr>
            </w:pPr>
          </w:p>
        </w:tc>
        <w:tc>
          <w:tcPr>
            <w:tcW w:w="1320" w:type="dxa"/>
            <w:vAlign w:val="bottom"/>
          </w:tcPr>
          <w:p>
            <w:pPr>
              <w:jc w:val="right"/>
              <w:ind w:right="31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(Years)</w:t>
            </w:r>
          </w:p>
        </w:tc>
        <w:tc>
          <w:tcPr>
            <w:tcW w:w="200" w:type="dxa"/>
            <w:vAlign w:val="bottom"/>
          </w:tcPr>
          <w:p>
            <w:pPr>
              <w:spacing w:after="0"/>
              <w:rPr>
                <w:sz w:val="17"/>
                <w:szCs w:val="17"/>
                <w:color w:val="auto"/>
              </w:rPr>
            </w:pPr>
          </w:p>
        </w:tc>
        <w:tc>
          <w:tcPr>
            <w:tcW w:w="1120" w:type="dxa"/>
            <w:vAlign w:val="bottom"/>
          </w:tcPr>
          <w:p>
            <w:pPr>
              <w:jc w:val="center"/>
              <w:ind w:right="104"/>
              <w:spacing w:after="0"/>
              <w:rPr>
                <w:sz w:val="20"/>
                <w:szCs w:val="20"/>
                <w:color w:val="auto"/>
              </w:rPr>
            </w:pPr>
            <w:r>
              <w:rPr>
                <w:rFonts w:ascii="Arial" w:cs="Arial" w:eastAsia="Arial" w:hAnsi="Arial"/>
                <w:sz w:val="14"/>
                <w:szCs w:val="14"/>
                <w:b w:val="1"/>
                <w:bCs w:val="1"/>
                <w:color w:val="auto"/>
                <w:w w:val="98"/>
              </w:rPr>
              <w:t>thousands)</w:t>
            </w:r>
          </w:p>
        </w:tc>
        <w:tc>
          <w:tcPr>
            <w:tcW w:w="0" w:type="dxa"/>
            <w:vAlign w:val="bottom"/>
          </w:tcPr>
          <w:p>
            <w:pPr>
              <w:spacing w:after="0"/>
              <w:rPr>
                <w:sz w:val="1"/>
                <w:szCs w:val="1"/>
                <w:color w:val="auto"/>
              </w:rPr>
            </w:pPr>
          </w:p>
        </w:tc>
      </w:tr>
      <w:tr>
        <w:trPr>
          <w:trHeight w:val="21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Balance—December 31, 2025</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6,436,972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127,945</w:t>
            </w:r>
          </w:p>
        </w:tc>
        <w:tc>
          <w:tcPr>
            <w:tcW w:w="0" w:type="dxa"/>
            <w:vAlign w:val="bottom"/>
          </w:tcPr>
          <w:p>
            <w:pPr>
              <w:spacing w:after="0"/>
              <w:rPr>
                <w:sz w:val="1"/>
                <w:szCs w:val="1"/>
                <w:color w:val="auto"/>
              </w:rPr>
            </w:pPr>
          </w:p>
        </w:tc>
      </w:tr>
      <w:tr>
        <w:trPr>
          <w:trHeight w:val="219"/>
        </w:trPr>
        <w:tc>
          <w:tcPr>
            <w:tcW w:w="5640" w:type="dxa"/>
            <w:vAlign w:val="bottom"/>
          </w:tcPr>
          <w:p>
            <w:pPr>
              <w:ind w:left="3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1,367,785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26.94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4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1320" w:type="dxa"/>
            <w:vAlign w:val="bottom"/>
          </w:tcPr>
          <w:p>
            <w:pPr>
              <w:jc w:val="right"/>
              <w:spacing w:after="0"/>
              <w:rPr>
                <w:sz w:val="20"/>
                <w:szCs w:val="20"/>
                <w:color w:val="auto"/>
              </w:rPr>
            </w:pPr>
            <w:r>
              <w:rPr>
                <w:rFonts w:ascii="Arial" w:cs="Arial" w:eastAsia="Arial" w:hAnsi="Arial"/>
                <w:sz w:val="17"/>
                <w:szCs w:val="17"/>
                <w:color w:val="auto"/>
              </w:rPr>
              <w:t>(60,490)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40" w:type="dxa"/>
            <w:vAlign w:val="bottom"/>
          </w:tcPr>
          <w:p>
            <w:pPr>
              <w:ind w:left="20"/>
              <w:spacing w:after="0"/>
              <w:rPr>
                <w:sz w:val="20"/>
                <w:szCs w:val="20"/>
                <w:color w:val="auto"/>
              </w:rPr>
            </w:pPr>
            <w:r>
              <w:rPr>
                <w:rFonts w:ascii="Arial" w:cs="Arial" w:eastAsia="Arial" w:hAnsi="Arial"/>
                <w:sz w:val="17"/>
                <w:szCs w:val="17"/>
                <w:color w:val="auto"/>
              </w:rPr>
              <w:t>Balance—March 31, 2026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7,603,593</w:t>
            </w:r>
          </w:p>
        </w:tc>
        <w:tc>
          <w:tcPr>
            <w:tcW w:w="3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90,568</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3,090,137</w:t>
            </w:r>
          </w:p>
        </w:tc>
        <w:tc>
          <w:tcPr>
            <w:tcW w:w="3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47,502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aggregate intrinsic value is calculated as the difference between the exercise price of the options and the fair value of the Company’s common stock as of March 31, 2026. The intrinsic value of options exercised for the three months ended March 31, 2026 and 2025 was $2.5 million and $1.2 million, respectively.</w:t>
      </w:r>
    </w:p>
    <w:p>
      <w:pPr>
        <w:spacing w:after="0" w:line="86"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The total grant-date fair value of the options vested during the three months ended March 31, 2026 and 2025 was $1.9 million and $0.7 million, respectively. The weighted-average grant-date fair value of options granted during the three months ended March 31, 2026 and 2025 was $18.58 and $9.70,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 Activity</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information regarding the Company's RSUs: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right"/>
              <w:ind w:right="299"/>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70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Number of Units</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Grant Date Fair Value</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Balance—December 31, 2025</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6,007,515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r>
      <w:tr>
        <w:trPr>
          <w:trHeight w:val="219"/>
        </w:trPr>
        <w:tc>
          <w:tcPr>
            <w:tcW w:w="7020" w:type="dxa"/>
            <w:vAlign w:val="bottom"/>
          </w:tcPr>
          <w:p>
            <w:pPr>
              <w:ind w:left="320"/>
              <w:spacing w:after="0"/>
              <w:rPr>
                <w:sz w:val="20"/>
                <w:szCs w:val="20"/>
                <w:color w:val="auto"/>
              </w:rPr>
            </w:pPr>
            <w:r>
              <w:rPr>
                <w:rFonts w:ascii="Arial" w:cs="Arial" w:eastAsia="Arial" w:hAnsi="Arial"/>
                <w:sz w:val="17"/>
                <w:szCs w:val="17"/>
                <w:color w:val="auto"/>
              </w:rPr>
              <w:t>Granted</w:t>
            </w:r>
          </w:p>
        </w:tc>
        <w:tc>
          <w:tcPr>
            <w:tcW w:w="1960" w:type="dxa"/>
            <w:vAlign w:val="bottom"/>
          </w:tcPr>
          <w:p>
            <w:pPr>
              <w:jc w:val="right"/>
              <w:spacing w:after="0"/>
              <w:rPr>
                <w:sz w:val="20"/>
                <w:szCs w:val="20"/>
                <w:color w:val="auto"/>
              </w:rPr>
            </w:pPr>
            <w:r>
              <w:rPr>
                <w:rFonts w:ascii="Arial" w:cs="Arial" w:eastAsia="Arial" w:hAnsi="Arial"/>
                <w:sz w:val="17"/>
                <w:szCs w:val="17"/>
                <w:color w:val="auto"/>
              </w:rPr>
              <w:t>1,823,875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26.81</w:t>
            </w:r>
          </w:p>
        </w:tc>
      </w:tr>
      <w:tr>
        <w:trPr>
          <w:trHeight w:val="219"/>
        </w:trPr>
        <w:tc>
          <w:tcPr>
            <w:tcW w:w="7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(1,575,709)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r>
      <w:tr>
        <w:trPr>
          <w:trHeight w:val="219"/>
        </w:trPr>
        <w:tc>
          <w:tcPr>
            <w:tcW w:w="70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(123,437)</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11.19</w:t>
            </w: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Balance—March 31, 2026</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6,132,244</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300" w:firstLine="619"/>
        <w:spacing w:after="0" w:line="271" w:lineRule="auto"/>
        <w:rPr>
          <w:sz w:val="20"/>
          <w:szCs w:val="20"/>
          <w:color w:val="auto"/>
        </w:rPr>
      </w:pPr>
      <w:r>
        <w:rPr>
          <w:rFonts w:ascii="Arial" w:cs="Arial" w:eastAsia="Arial" w:hAnsi="Arial"/>
          <w:sz w:val="17"/>
          <w:szCs w:val="17"/>
          <w:color w:val="auto"/>
        </w:rPr>
        <w:t>The grant date fair value of an RSU equals the closing price of the Company's common stock on the grant date. The total grant-date fair value of the RSUs vested during the three months ended March 31, 2026 and 2025 was $16.5 million and $10.3 million, respectively. RSUs generally vest equally over four years, except for those issued in connection with the Option Exchange as previously described.</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53" w:lineRule="exact"/>
        <w:rPr>
          <w:sz w:val="20"/>
          <w:szCs w:val="20"/>
          <w:color w:val="auto"/>
        </w:rPr>
      </w:pPr>
    </w:p>
    <w:p>
      <w:pPr>
        <w:ind w:right="380" w:firstLine="619"/>
        <w:spacing w:after="0" w:line="281" w:lineRule="auto"/>
        <w:rPr>
          <w:sz w:val="20"/>
          <w:szCs w:val="20"/>
          <w:color w:val="auto"/>
        </w:rPr>
      </w:pPr>
      <w:r>
        <w:rPr>
          <w:rFonts w:ascii="Arial" w:cs="Arial" w:eastAsia="Arial" w:hAnsi="Arial"/>
          <w:sz w:val="17"/>
          <w:szCs w:val="17"/>
          <w:color w:val="auto"/>
        </w:rPr>
        <w:t>Stock-based compensation expense included in the condensed consolidated statements of operations and comprehensive loss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6"/>
        </w:trPr>
        <w:tc>
          <w:tcPr>
            <w:tcW w:w="79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23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3,020</w:t>
            </w:r>
          </w:p>
        </w:tc>
      </w:tr>
      <w:tr>
        <w:trPr>
          <w:trHeight w:val="25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6,758</w:t>
            </w:r>
          </w:p>
        </w:tc>
      </w:tr>
      <w:tr>
        <w:trPr>
          <w:trHeight w:val="237"/>
        </w:trPr>
        <w:tc>
          <w:tcPr>
            <w:tcW w:w="7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stock-based compensation expense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10,690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As of March 31, 2026, there was $46.7 million of total unrecognized compensation cost related to unvested options that are expected to vest, which is expected to be recognized over a weighted-average period of 3.25 years. As of March 31, 2026, there was $88.4 million of total unrecognized compensation cost related to RSUs that are expected to vest, which is expected to be recognized over a weighted-average period of 3.3 years.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 Net Loss Per Share</w:t>
      </w:r>
    </w:p>
    <w:p>
      <w:pPr>
        <w:spacing w:after="0" w:line="140"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Basic net loss per share is calculated by dividing the net loss by the weighted-average common shares outstanding. Pre-funded warrants to purchase 5,215,000 and 7,500,000 shares of the Company's common stock were included in the weighted-average common shares outstanding used in calculating net loss per share for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three months ended March 31, 2026 and 2025, respectively, as the exercise price of the pre-funded warrants is negligible and the pre-funded warrants are fully vested and exercisable.</w:t>
      </w:r>
    </w:p>
    <w:p>
      <w:pPr>
        <w:spacing w:after="0" w:line="69"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104"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Potential dilutive securities, which include unvested RSUs and unvested performance-based RSUs for which established performance criteria have been achieved as of the end of the respective periods, vested and unvested options to purchase common stock, and shares to be issued under the Company's employee stock purchase plan (ESPP), have been excluded from the calculation of diluted net loss per common share in each period in which the Company recorded a net loss, as the effect is antidilutive. The following outstanding potentially dilutive shares have been excluded from the calculation of diluted net loss per share for the periods presented due to their antidilutive effect: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2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As of March 31,</w:t>
            </w:r>
          </w:p>
        </w:tc>
        <w:tc>
          <w:tcPr>
            <w:tcW w:w="1040" w:type="dxa"/>
            <w:vAlign w:val="bottom"/>
            <w:tcBorders>
              <w:bottom w:val="single" w:sz="8" w:color="auto"/>
            </w:tcBorders>
          </w:tcPr>
          <w:p>
            <w:pPr>
              <w:spacing w:after="0"/>
              <w:rPr>
                <w:sz w:val="16"/>
                <w:szCs w:val="16"/>
                <w:color w:val="auto"/>
              </w:rPr>
            </w:pPr>
          </w:p>
        </w:tc>
      </w:tr>
      <w:tr>
        <w:trPr>
          <w:trHeight w:val="186"/>
        </w:trPr>
        <w:tc>
          <w:tcPr>
            <w:tcW w:w="79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2025</w:t>
            </w:r>
          </w:p>
        </w:tc>
      </w:tr>
      <w:tr>
        <w:trPr>
          <w:trHeight w:val="213"/>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 to purchase common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7,603,593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6,962,327</w:t>
            </w:r>
          </w:p>
        </w:tc>
      </w:tr>
      <w:tr>
        <w:trPr>
          <w:trHeight w:val="219"/>
        </w:trPr>
        <w:tc>
          <w:tcPr>
            <w:tcW w:w="7940" w:type="dxa"/>
            <w:vAlign w:val="bottom"/>
          </w:tcPr>
          <w:p>
            <w:pPr>
              <w:ind w:left="20"/>
              <w:spacing w:after="0"/>
              <w:rPr>
                <w:sz w:val="20"/>
                <w:szCs w:val="20"/>
                <w:color w:val="auto"/>
              </w:rPr>
            </w:pPr>
            <w:r>
              <w:rPr>
                <w:rFonts w:ascii="Arial" w:cs="Arial" w:eastAsia="Arial" w:hAnsi="Arial"/>
                <w:sz w:val="17"/>
                <w:szCs w:val="17"/>
                <w:color w:val="auto"/>
              </w:rPr>
              <w:t>RSUs subject to future vesting</w:t>
            </w:r>
          </w:p>
        </w:tc>
        <w:tc>
          <w:tcPr>
            <w:tcW w:w="1600" w:type="dxa"/>
            <w:vAlign w:val="bottom"/>
          </w:tcPr>
          <w:p>
            <w:pPr>
              <w:jc w:val="right"/>
              <w:spacing w:after="0"/>
              <w:rPr>
                <w:sz w:val="20"/>
                <w:szCs w:val="20"/>
                <w:color w:val="auto"/>
              </w:rPr>
            </w:pPr>
            <w:r>
              <w:rPr>
                <w:rFonts w:ascii="Arial" w:cs="Arial" w:eastAsia="Arial" w:hAnsi="Arial"/>
                <w:sz w:val="17"/>
                <w:szCs w:val="17"/>
                <w:color w:val="auto"/>
              </w:rPr>
              <w:t>6,132,244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7,192,947</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ESPP shares subject to future issuance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55,386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77,830</w:t>
            </w:r>
          </w:p>
        </w:tc>
      </w:tr>
      <w:tr>
        <w:trPr>
          <w:trHeight w:val="212"/>
        </w:trPr>
        <w:tc>
          <w:tcPr>
            <w:tcW w:w="7940" w:type="dxa"/>
            <w:vAlign w:val="bottom"/>
          </w:tcPr>
          <w:p>
            <w:pPr>
              <w:ind w:left="320"/>
              <w:spacing w:after="0"/>
              <w:rPr>
                <w:sz w:val="20"/>
                <w:szCs w:val="20"/>
                <w:color w:val="auto"/>
              </w:rPr>
            </w:pPr>
            <w:r>
              <w:rPr>
                <w:rFonts w:ascii="Arial" w:cs="Arial" w:eastAsia="Arial" w:hAnsi="Arial"/>
                <w:sz w:val="17"/>
                <w:szCs w:val="17"/>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13,791,223</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14,233,104</w:t>
            </w: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ARCUTIS BIOTHERAPEUTICS, INC.</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11. Segment Reporting</w:t>
      </w:r>
    </w:p>
    <w:p>
      <w:pPr>
        <w:spacing w:after="0" w:line="140"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Company has one reportable segment relating to the development and commercialization of treatments for dermatological diseases. The Company’s Chief Operating Decision Maker (the CODM) is its Chief Executive Officer. The CODM evaluates financial information on a consolidated basis for the purposes of allocating resources and assessing performance. Substantially all of the Company's assets are located in the United States.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is a summary of the segment profit or loss, including significant segment expenses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65,846</w:t>
            </w: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Less: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5,851</w:t>
            </w: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Topical roflumilast program costs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1,446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ARQ-234 program costs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Other program costs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1,182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compensation and personnel-related expenses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9,638</w:t>
            </w: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63,884</w:t>
            </w:r>
          </w:p>
        </w:tc>
      </w:tr>
      <w:tr>
        <w:trPr>
          <w:trHeight w:val="219"/>
        </w:trPr>
        <w:tc>
          <w:tcPr>
            <w:tcW w:w="79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Other segment expenses </w:t>
            </w:r>
            <w:r>
              <w:rPr>
                <w:rFonts w:ascii="Arial" w:cs="Arial" w:eastAsia="Arial" w:hAnsi="Arial"/>
                <w:sz w:val="22"/>
                <w:szCs w:val="22"/>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7,185</w:t>
            </w:r>
          </w:p>
        </w:tc>
      </w:tr>
      <w:tr>
        <w:trPr>
          <w:trHeight w:val="212"/>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90,375</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loss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(24,529)</w:t>
            </w:r>
          </w:p>
        </w:tc>
      </w:tr>
      <w:tr>
        <w:trPr>
          <w:trHeight w:val="238"/>
        </w:trPr>
        <w:tc>
          <w:tcPr>
            <w:tcW w:w="7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2,537</w:t>
            </w: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(2,982)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Segment and consolidated net loss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(25,060)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 Other segment expenses include professional services related to research and development, medical affairs, depreciation and amortization expenses.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1"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together with our unaudited condensed </w:t>
      </w:r>
      <w:r>
        <w:rPr>
          <w:rFonts w:ascii="Arial" w:cs="Arial" w:eastAsia="Arial" w:hAnsi="Arial"/>
          <w:sz w:val="17"/>
          <w:szCs w:val="17"/>
          <w:color w:val="auto"/>
        </w:rPr>
        <w:t>consolidated</w:t>
      </w:r>
      <w:r>
        <w:rPr>
          <w:rFonts w:ascii="Arial" w:cs="Arial" w:eastAsia="Arial" w:hAnsi="Arial"/>
          <w:sz w:val="17"/>
          <w:szCs w:val="17"/>
          <w:i w:val="1"/>
          <w:iCs w:val="1"/>
          <w:color w:val="auto"/>
        </w:rPr>
        <w:t xml:space="preserve"> financial statements and related notes appearing elsewhere in this Quarterly Report on Form 10-Q, and the audited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which has been filed with the Securities and Exchange Commission (SEC). 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our Annual Report on Form 10-K, our actual results and the timing of selected events could differ materially from the forward-looking statements contained in the following discussion and analysis.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Overview</w:t>
      </w:r>
    </w:p>
    <w:p>
      <w:pPr>
        <w:spacing w:after="0" w:line="142"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We are a commercial-stage biopharmaceutical company focused on developing and commercializing treatments for dermatological diseases with high unmet medical needs. Our current portfolio is comprised of highly differentiated topical and systemic treatments with significant potential to treat immune-mediated dermatological diseases and conditions. We believe we have built a leading platform for dermatologic product development and commercialization. Our strategy is to focus on validated biological targets and to use our drug development platform and deep dermatology expertise to develop and commercialize differentiated products that have the potential to address major shortcomings of existing therapies in our targeted indications. We believe this strategy uniquely positions us to rapidly advance our goal of bridging the treatment innovation gap in dermatology, while maximizing our probability of technical success and efficient use of financial resources.</w:t>
      </w:r>
    </w:p>
    <w:p>
      <w:pPr>
        <w:spacing w:after="0" w:line="105" w:lineRule="exact"/>
        <w:rPr>
          <w:sz w:val="20"/>
          <w:szCs w:val="20"/>
          <w:color w:val="auto"/>
        </w:rPr>
      </w:pPr>
    </w:p>
    <w:p>
      <w:pPr>
        <w:ind w:right="80" w:firstLine="619"/>
        <w:spacing w:after="0" w:line="250" w:lineRule="auto"/>
        <w:rPr>
          <w:sz w:val="20"/>
          <w:szCs w:val="20"/>
          <w:color w:val="auto"/>
        </w:rPr>
      </w:pPr>
      <w:r>
        <w:rPr>
          <w:rFonts w:ascii="Arial" w:cs="Arial" w:eastAsia="Arial" w:hAnsi="Arial"/>
          <w:sz w:val="17"/>
          <w:szCs w:val="17"/>
          <w:color w:val="auto"/>
        </w:rPr>
        <w:t>We launched our lead product, ZORYVE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(roflumilast) cream 0.3% (ZORYVE cream 0.3%), in August 2022 after obtaining our initial U.S. Food and Drug Administration (FDA) approval for the treatment of plaque psoriasis, including psoriasis in the intertriginous areas (e.g., groin or axillae), in individuals 12 years of age or older. ZORYVE cream 0.3% is a once-daily topical formulation of roflumilast, a highly potent and selective phosphodiesterase-4 (PDE4) inhibitor. ZORYVE cream 0.3% is approved for once-daily topical treatment of mild, moderate, and severe plaque psoriasis with no limitations on location or duration of use. In October 2023, we received FDA approval for an expanded indication in plaque psoriasis down to 6 years of age. In November 2025, our supplemental New Drug Application (sNDA) was accepted for filing by the FDA to potentially expand the indication of ZORYVE cream 0.3% for the treatment of plaque psoriasis in children down to the age of 2, with a Prescription Drug User Fee Act (PDUFA) target action date assigned for June 29, 2026. In June 2023, we achieved our first commercial launch outside of the United States following Health Canada approval of ZORYVE cream 0.3% for the treatment of plaque psoriasis in individuals 12 years of age or older. In February 2026, Health Canada accepted our Supplement to a New Drug Submission (SNDS) for ZORYVE cream 0.3% for individuals down to 2 years of age.</w:t>
      </w:r>
    </w:p>
    <w:p>
      <w:pPr>
        <w:spacing w:after="0" w:line="115"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In December 2023, we received FDA approval for ZORYVE foam 0.3% (ZORYVE foam) for the treatment of seborrheic dermatitis in individuals aged 9 years and older, with no limitation on severity, location, or duration of use. ZORYVE foam is a once-daily steroid-free foam and, as a PDE4 inhibitor, was the first drug approved for the treatment of seborrheic dermatitis with a new mechanism of action in over two decades. ZORYVE foam became commercially available in the United States in January 2024 and in Canada in November 2024. We also received FDA approval for ZORYVE foam for the treatment of plaque psoriasis of the scalp and body in adults and adolescents aged 12 and older in May 2025, followed by commercial launch in the United States in June 2025. ZORYVE foam for the treatment of plaque psoriasis of the scalp and body in adults and adolescents ages 12 and older was also approved by Health Canada in October 2025, followed by commercial launch in November 2025. We have completed enrollment in a Maximum Usage Systemic Exposure (MUSE) trial for ZORYVE foam in children with plaque psoriasis of the scalp and body 2 to 11 years old.</w:t>
      </w:r>
    </w:p>
    <w:p>
      <w:pPr>
        <w:spacing w:after="0" w:line="101" w:lineRule="exact"/>
        <w:rPr>
          <w:sz w:val="20"/>
          <w:szCs w:val="20"/>
          <w:color w:val="auto"/>
        </w:rPr>
      </w:pPr>
    </w:p>
    <w:p>
      <w:pPr>
        <w:ind w:right="320" w:firstLine="619"/>
        <w:spacing w:after="0" w:line="290" w:lineRule="auto"/>
        <w:rPr>
          <w:sz w:val="20"/>
          <w:szCs w:val="20"/>
          <w:color w:val="auto"/>
        </w:rPr>
      </w:pPr>
      <w:r>
        <w:rPr>
          <w:rFonts w:ascii="Arial" w:cs="Arial" w:eastAsia="Arial" w:hAnsi="Arial"/>
          <w:sz w:val="17"/>
          <w:szCs w:val="17"/>
          <w:color w:val="auto"/>
        </w:rPr>
        <w:t>We also received FDA approval for, and commercially launched, ZORYVE cream 0.15% in July 2024 for the topical treatment of mild to moderate atopic dermatitis in adults and pediatric patients 6 years and older, with no</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limitation on location, body surface area treated, concomitant use, or duration of use specified in the approved labeling. ZORYVE cream 0.15% was also approved by Health Canada in March 2025 and commercially launched in April 2025. We also received FDA approval for, and commercially launched, ZORYVE cream 0.05% for the topical treatment of mild to moderate atopic dermatitis in children 2 to 5 years of age in October 2025. In October 2025, Health Canada accepted our SNDS for ZORYVE cream 0.05% for the topical treatment of mild to moderate atopic dermatitis in children 2 to 5 years old. In February 2026, we announced positive topline data for INTEGUMENT-INFANT, a Phase 2 study evaluating the safety and efficacy of investigational ZORYVE cream 0.05% in infants as young as 3 months to less than 2 years of age with atopic dermatitis. We submitted an sNDA to the FDA in April 2026 based on the results of this trial to potentially expand the indication for ZORYVE cream 0.05% for the treatment of infants with atopic dermatitis down to the age of 3 months. ZORYVE cream 0.15% and ZORYVE cream 0.05% are once-daily, steroid-free creams that provide rapid disease clearance and significant reduction in itch and have been specifically developed to be treatment options for long-term disease control.</w:t>
      </w:r>
    </w:p>
    <w:p>
      <w:pPr>
        <w:spacing w:after="0" w:line="98"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In July 2024, we entered into a promotion agreement with Kowa Pharmaceuticals America, Inc. (Kowa) to leverage Kowa's primary care sales force to exclusively market and promote ZORYVE in the United States to primary care practitioners and pediatricians for all FDA-approved indications until at least July 2029. Under the terms of the agreement, Kowa received a commission from net sales attributed to Kowa. Promotion of ZORYVE in primary care and pediatrics under the Kowa agreement began in late September 2024. Effective January 23, 2026, we mutually agreed to terminate the promotion agreement. Following this termination, Kowa ceased all sales and promotions of ZORYVE, and we will not be required to make any further payments to Kowa.</w:t>
      </w:r>
    </w:p>
    <w:p>
      <w:pPr>
        <w:spacing w:after="0" w:line="186"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In August 2023, we entered into a strategic collaboration and licensing agreement (the Huadong Agreement) for topical roflumilast in Greater China and Southeast Asia with Hangzhou Zhongmei Huadong Pharmaceutical Co., Ltd. (Huadong), a wholly owned subsidiary of Huadong Medicine Co., Ltd. In February 2024, we entered into a strategic collaboration and licensing agreement (the Sato Agreement) for topical roflumilast in Japan with Sato Pharmaceutical Co., Ltd. (Sato).</w:t>
      </w:r>
    </w:p>
    <w:p>
      <w:pPr>
        <w:spacing w:after="0" w:line="117"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In September 2022, we acquired Ducentis BioTherapeutics LTD. (Ducentis) and its lead asset, DS-234 (now ARQ-234), a fusion protein that is a potent and highly selective checkpoint agonist of the CD200 receptor (CD200R). We are developing ARQ-234 for moderate to severe atopic dermatitis, where we believe it could be a highly complementary biologic treatment option to ZORYVE cream 0.15% in that indication, if approved. ARQ-234 could potentially be used to treat other inflammatory conditions as well. In March 2026, we announced that the first participant had been enrolled in a Phase 1a/1b clinical study evaluating the safety and tolerability of ARQ-234.</w:t>
      </w:r>
    </w:p>
    <w:p>
      <w:pPr>
        <w:spacing w:after="0" w:line="9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 July 2018, we executed a licensing agreement with AstraZeneca AB (AstraZeneca) for exclusive worldwide rights to roflumilast as a topical product for use in humans solely for dermatological indications. Moreover, we have our own intellectual property portfolio around topical uses of roflumilast, with issued and pending formulation, pharmacokinetic, and method-of-use patents in the United States and other jurisdictions from several distinct patent families, which provides us with exclusivity in the United States for our product cream formulation through 2037 and foam formulation through 2042.</w:t>
      </w:r>
    </w:p>
    <w:p>
      <w:pPr>
        <w:spacing w:after="0" w:line="106"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We have incurred annual net losses in each year since inception, including net losses of $11.3 million and $25.1 million for the three months ended March 31, 2026 and 2025, respectively. As of March 31, 2026, we had an accumulated deficit of $1,149.4 million and cash, cash equivalents, restricted cash, and marketable securities of $224.3 million. As of March 31, 2026, we had $100.0 million outstanding under a loan and security agreement, as amended, with SLR Investment Corp. (SLR) and the lenders party thereto.</w:t>
      </w:r>
    </w:p>
    <w:p>
      <w:pPr>
        <w:spacing w:after="0" w:line="104"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While we generated net income for the quarters ended September 30, 2025 and December 31, 2025, the extent of any net income or losses for future periods is uncertain, and we may continue to incur net losses in future periods. We expect to continue to incur significant expenses as we commercialize ZORYVE, and as we advance our product candidates and label extensions through clinical trials, regulatory submissions and potentially commercialization. We expect to incur commercialization expenses related to the sales, marketing, manufacturing, and distribution of ZORYVE, while we focus our clinical development spending on ARQ-234 and ZORYVE label expansions. While we do not anticipate the need to obtain funds through financings or other sources to support our current planned operations, if our available cash and marketable securities balances, amounts available under financing arrangements, and anticipated future cash flows from operations are insufficient to cover these expenses, we may need to fund our operations through equity or debt financings or other sources, such as potential future collaboration agreements. Adequate funding may not be available to us on acceptable terms, or at all. Any failure to obtain sufficient funds on acceptable terms if or when needed could have a material adverse effect on our business, results of operations, and financial condition.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80" w:firstLine="619"/>
        <w:spacing w:after="0" w:line="271"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third parties to conduct our nonclinical studies and clinical trials, as well as for the manufacturing and supply of our product candidates and for the commercial supply of our products. Many of these suppliers that we rely on are single-source suppliers.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Product Revenue, Net</w:t>
      </w:r>
    </w:p>
    <w:p>
      <w:pPr>
        <w:spacing w:after="0" w:line="140"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In August 2022, in conjunction with the launch of our first FDA-approved product, we began to recognize revenue from product sales, net of deductions. Below are the time periods that we began to recognize product revenue, net of deductions, related to the launches of each of our products and indications:</w:t>
      </w:r>
    </w:p>
    <w:p>
      <w:pPr>
        <w:spacing w:after="0" w:line="121" w:lineRule="exact"/>
        <w:rPr>
          <w:sz w:val="20"/>
          <w:szCs w:val="20"/>
          <w:color w:val="auto"/>
        </w:rPr>
      </w:pPr>
    </w:p>
    <w:tbl>
      <w:tblPr>
        <w:tblLayout w:type="fixed"/>
        <w:tblInd w:w="330" w:type="dxa"/>
        <w:tblCellMar>
          <w:top w:w="0" w:type="dxa"/>
          <w:left w:w="0" w:type="dxa"/>
          <w:bottom w:w="0" w:type="dxa"/>
          <w:right w:w="0" w:type="dxa"/>
        </w:tblCellMar>
      </w:tblPr>
      <w:tr>
        <w:trPr>
          <w:trHeight w:val="232"/>
        </w:trPr>
        <w:tc>
          <w:tcPr>
            <w:tcW w:w="2160" w:type="dxa"/>
            <w:vAlign w:val="bottom"/>
            <w:tcBorders>
              <w:top w:val="single" w:sz="8" w:color="auto"/>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Product/Indication</w:t>
            </w:r>
          </w:p>
        </w:tc>
        <w:tc>
          <w:tcPr>
            <w:tcW w:w="15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7"/>
                <w:szCs w:val="17"/>
                <w:b w:val="1"/>
                <w:bCs w:val="1"/>
                <w:color w:val="auto"/>
              </w:rPr>
              <w:t>Concentration</w:t>
            </w:r>
          </w:p>
        </w:tc>
        <w:tc>
          <w:tcPr>
            <w:tcW w:w="180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Region</w:t>
            </w:r>
          </w:p>
        </w:tc>
        <w:tc>
          <w:tcPr>
            <w:tcW w:w="600" w:type="dxa"/>
            <w:vAlign w:val="bottom"/>
            <w:tcBorders>
              <w:top w:val="single" w:sz="8" w:color="auto"/>
              <w:bottom w:val="single" w:sz="8" w:color="auto"/>
            </w:tcBorders>
            <w:shd w:val="clear" w:color="auto" w:fill="CCEEFF"/>
          </w:tcPr>
          <w:p>
            <w:pPr>
              <w:jc w:val="center"/>
              <w:ind w:right="194"/>
              <w:spacing w:after="0"/>
              <w:rPr>
                <w:sz w:val="20"/>
                <w:szCs w:val="20"/>
                <w:color w:val="auto"/>
              </w:rPr>
            </w:pPr>
            <w:r>
              <w:rPr>
                <w:rFonts w:ascii="Arial" w:cs="Arial" w:eastAsia="Arial" w:hAnsi="Arial"/>
                <w:sz w:val="17"/>
                <w:szCs w:val="17"/>
                <w:b w:val="1"/>
                <w:bCs w:val="1"/>
                <w:color w:val="auto"/>
                <w:w w:val="99"/>
              </w:rPr>
              <w:t>Age</w:t>
            </w:r>
          </w:p>
        </w:tc>
        <w:tc>
          <w:tcPr>
            <w:tcW w:w="8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2022</w:t>
            </w: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2023</w:t>
            </w: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2024</w:t>
            </w:r>
          </w:p>
        </w:tc>
        <w:tc>
          <w:tcPr>
            <w:tcW w:w="11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tcBorders>
          </w:tcPr>
          <w:p>
            <w:pPr>
              <w:spacing w:after="0"/>
              <w:rPr>
                <w:sz w:val="15"/>
                <w:szCs w:val="15"/>
                <w:color w:val="auto"/>
              </w:rPr>
            </w:pPr>
          </w:p>
        </w:tc>
        <w:tc>
          <w:tcPr>
            <w:tcW w:w="1580" w:type="dxa"/>
            <w:vAlign w:val="bottom"/>
          </w:tcPr>
          <w:p>
            <w:pPr>
              <w:jc w:val="center"/>
              <w:spacing w:after="0" w:line="173" w:lineRule="exact"/>
              <w:rPr>
                <w:sz w:val="20"/>
                <w:szCs w:val="20"/>
                <w:color w:val="auto"/>
              </w:rPr>
            </w:pPr>
            <w:r>
              <w:rPr>
                <w:rFonts w:ascii="Arial" w:cs="Arial" w:eastAsia="Arial" w:hAnsi="Arial"/>
                <w:sz w:val="17"/>
                <w:szCs w:val="17"/>
                <w:color w:val="auto"/>
              </w:rPr>
              <w:t>0.3%</w:t>
            </w:r>
          </w:p>
        </w:tc>
        <w:tc>
          <w:tcPr>
            <w:tcW w:w="1800" w:type="dxa"/>
            <w:vAlign w:val="bottom"/>
          </w:tcPr>
          <w:p>
            <w:pPr>
              <w:spacing w:after="0" w:line="173" w:lineRule="exact"/>
              <w:rPr>
                <w:sz w:val="20"/>
                <w:szCs w:val="20"/>
                <w:color w:val="auto"/>
              </w:rPr>
            </w:pPr>
            <w:r>
              <w:rPr>
                <w:rFonts w:ascii="Arial" w:cs="Arial" w:eastAsia="Arial" w:hAnsi="Arial"/>
                <w:sz w:val="17"/>
                <w:szCs w:val="17"/>
                <w:color w:val="auto"/>
              </w:rPr>
              <w:t>United States</w:t>
            </w:r>
          </w:p>
        </w:tc>
        <w:tc>
          <w:tcPr>
            <w:tcW w:w="600" w:type="dxa"/>
            <w:vAlign w:val="bottom"/>
          </w:tcPr>
          <w:p>
            <w:pPr>
              <w:jc w:val="center"/>
              <w:ind w:right="54"/>
              <w:spacing w:after="0" w:line="173" w:lineRule="exact"/>
              <w:rPr>
                <w:sz w:val="20"/>
                <w:szCs w:val="20"/>
                <w:color w:val="auto"/>
              </w:rPr>
            </w:pPr>
            <w:r>
              <w:rPr>
                <w:rFonts w:ascii="Arial" w:cs="Arial" w:eastAsia="Arial" w:hAnsi="Arial"/>
                <w:sz w:val="17"/>
                <w:szCs w:val="17"/>
                <w:color w:val="auto"/>
                <w:w w:val="75"/>
              </w:rPr>
              <w:t>&gt; 12 yrs</w:t>
            </w:r>
          </w:p>
        </w:tc>
        <w:tc>
          <w:tcPr>
            <w:tcW w:w="860" w:type="dxa"/>
            <w:vAlign w:val="bottom"/>
          </w:tcPr>
          <w:p>
            <w:pPr>
              <w:jc w:val="center"/>
              <w:spacing w:after="0" w:line="173" w:lineRule="exact"/>
              <w:rPr>
                <w:sz w:val="20"/>
                <w:szCs w:val="20"/>
                <w:color w:val="auto"/>
              </w:rPr>
            </w:pPr>
            <w:r>
              <w:rPr>
                <w:rFonts w:ascii="Arial" w:cs="Arial" w:eastAsia="Arial" w:hAnsi="Arial"/>
                <w:sz w:val="17"/>
                <w:szCs w:val="17"/>
                <w:color w:val="auto"/>
              </w:rPr>
              <w:t>August</w:t>
            </w: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left w:val="single" w:sz="8" w:color="auto"/>
            </w:tcBorders>
            <w:vMerge w:val="restart"/>
          </w:tcPr>
          <w:p>
            <w:pPr>
              <w:ind w:left="20"/>
              <w:spacing w:after="0"/>
              <w:rPr>
                <w:sz w:val="20"/>
                <w:szCs w:val="20"/>
                <w:color w:val="auto"/>
              </w:rPr>
            </w:pPr>
            <w:r>
              <w:rPr>
                <w:rFonts w:ascii="Arial" w:cs="Arial" w:eastAsia="Arial" w:hAnsi="Arial"/>
                <w:sz w:val="17"/>
                <w:szCs w:val="17"/>
                <w:color w:val="auto"/>
              </w:rPr>
              <w:t>ZORYVE cream for Plaque</w:t>
            </w:r>
          </w:p>
        </w:tc>
        <w:tc>
          <w:tcPr>
            <w:tcW w:w="1580" w:type="dxa"/>
            <w:vAlign w:val="bottom"/>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60" w:type="dxa"/>
            <w:vAlign w:val="bottom"/>
            <w:tcBorders>
              <w:left w:val="single" w:sz="8" w:color="auto"/>
            </w:tcBorders>
            <w:vMerge w:val="continue"/>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0.3%</w:t>
            </w:r>
          </w:p>
        </w:tc>
        <w:tc>
          <w:tcPr>
            <w:tcW w:w="1800" w:type="dxa"/>
            <w:vAlign w:val="bottom"/>
          </w:tcPr>
          <w:p>
            <w:pPr>
              <w:spacing w:after="0"/>
              <w:rPr>
                <w:sz w:val="20"/>
                <w:szCs w:val="20"/>
                <w:color w:val="auto"/>
              </w:rPr>
            </w:pPr>
            <w:r>
              <w:rPr>
                <w:rFonts w:ascii="Arial" w:cs="Arial" w:eastAsia="Arial" w:hAnsi="Arial"/>
                <w:sz w:val="17"/>
                <w:szCs w:val="17"/>
                <w:color w:val="auto"/>
              </w:rPr>
              <w:t>Canada</w:t>
            </w:r>
          </w:p>
        </w:tc>
        <w:tc>
          <w:tcPr>
            <w:tcW w:w="600" w:type="dxa"/>
            <w:vAlign w:val="bottom"/>
          </w:tcPr>
          <w:p>
            <w:pPr>
              <w:jc w:val="center"/>
              <w:ind w:right="54"/>
              <w:spacing w:after="0"/>
              <w:rPr>
                <w:sz w:val="20"/>
                <w:szCs w:val="20"/>
                <w:color w:val="auto"/>
              </w:rPr>
            </w:pPr>
            <w:r>
              <w:rPr>
                <w:rFonts w:ascii="Arial" w:cs="Arial" w:eastAsia="Arial" w:hAnsi="Arial"/>
                <w:sz w:val="17"/>
                <w:szCs w:val="17"/>
                <w:color w:val="auto"/>
                <w:w w:val="75"/>
              </w:rPr>
              <w:t>&gt; 12 yrs</w:t>
            </w:r>
          </w:p>
        </w:tc>
        <w:tc>
          <w:tcPr>
            <w:tcW w:w="8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7"/>
              </w:rPr>
              <w:t>June</w:t>
            </w:r>
          </w:p>
        </w:tc>
        <w:tc>
          <w:tcPr>
            <w:tcW w:w="11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160" w:type="dxa"/>
            <w:vAlign w:val="bottom"/>
            <w:tcBorders>
              <w:left w:val="single" w:sz="8" w:color="auto"/>
            </w:tcBorders>
            <w:vMerge w:val="restart"/>
          </w:tcPr>
          <w:p>
            <w:pPr>
              <w:ind w:left="20"/>
              <w:spacing w:after="0"/>
              <w:rPr>
                <w:sz w:val="20"/>
                <w:szCs w:val="20"/>
                <w:color w:val="auto"/>
              </w:rPr>
            </w:pPr>
            <w:r>
              <w:rPr>
                <w:rFonts w:ascii="Arial" w:cs="Arial" w:eastAsia="Arial" w:hAnsi="Arial"/>
                <w:sz w:val="17"/>
                <w:szCs w:val="17"/>
                <w:color w:val="auto"/>
              </w:rPr>
              <w:t>Psoriasis</w:t>
            </w:r>
          </w:p>
        </w:tc>
        <w:tc>
          <w:tcPr>
            <w:tcW w:w="158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160" w:type="dxa"/>
            <w:vAlign w:val="bottom"/>
            <w:tcBorders>
              <w:left w:val="single" w:sz="8" w:color="auto"/>
            </w:tcBorders>
            <w:vMerge w:val="continue"/>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Arial" w:cs="Arial" w:eastAsia="Arial" w:hAnsi="Arial"/>
                <w:sz w:val="17"/>
                <w:szCs w:val="17"/>
                <w:color w:val="auto"/>
              </w:rPr>
              <w:t>0.3%</w:t>
            </w:r>
          </w:p>
        </w:tc>
        <w:tc>
          <w:tcPr>
            <w:tcW w:w="1800" w:type="dxa"/>
            <w:vAlign w:val="bottom"/>
            <w:vMerge w:val="restart"/>
          </w:tcPr>
          <w:p>
            <w:pPr>
              <w:spacing w:after="0"/>
              <w:rPr>
                <w:sz w:val="20"/>
                <w:szCs w:val="20"/>
                <w:color w:val="auto"/>
              </w:rPr>
            </w:pPr>
            <w:r>
              <w:rPr>
                <w:rFonts w:ascii="Arial" w:cs="Arial" w:eastAsia="Arial" w:hAnsi="Arial"/>
                <w:sz w:val="17"/>
                <w:szCs w:val="17"/>
                <w:color w:val="auto"/>
              </w:rPr>
              <w:t>United States</w:t>
            </w:r>
          </w:p>
        </w:tc>
        <w:tc>
          <w:tcPr>
            <w:tcW w:w="600" w:type="dxa"/>
            <w:vAlign w:val="bottom"/>
            <w:vMerge w:val="restart"/>
          </w:tcPr>
          <w:p>
            <w:pPr>
              <w:jc w:val="center"/>
              <w:ind w:right="54"/>
              <w:spacing w:after="0"/>
              <w:rPr>
                <w:sz w:val="20"/>
                <w:szCs w:val="20"/>
                <w:color w:val="auto"/>
              </w:rPr>
            </w:pPr>
            <w:r>
              <w:rPr>
                <w:rFonts w:ascii="Arial" w:cs="Arial" w:eastAsia="Arial" w:hAnsi="Arial"/>
                <w:sz w:val="17"/>
                <w:szCs w:val="17"/>
                <w:color w:val="auto"/>
                <w:w w:val="74"/>
              </w:rPr>
              <w:t>6-11 yrs</w:t>
            </w:r>
          </w:p>
        </w:tc>
        <w:tc>
          <w:tcPr>
            <w:tcW w:w="86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9"/>
              </w:rPr>
              <w:t>October</w:t>
            </w:r>
          </w:p>
        </w:tc>
        <w:tc>
          <w:tcPr>
            <w:tcW w:w="11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2160" w:type="dxa"/>
            <w:vAlign w:val="bottom"/>
            <w:tcBorders>
              <w:lef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160" w:type="dxa"/>
            <w:vAlign w:val="bottom"/>
            <w:tcBorders>
              <w:left w:val="single" w:sz="8" w:color="auto"/>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160" w:type="dxa"/>
            <w:vAlign w:val="bottom"/>
            <w:tcBorders>
              <w:left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ZORYVE foam for</w:t>
            </w:r>
          </w:p>
        </w:tc>
        <w:tc>
          <w:tcPr>
            <w:tcW w:w="158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rPr>
              <w:t>0.3%</w:t>
            </w:r>
          </w:p>
        </w:tc>
        <w:tc>
          <w:tcPr>
            <w:tcW w:w="1800" w:type="dxa"/>
            <w:vAlign w:val="bottom"/>
            <w:tcBorders>
              <w:right w:val="single" w:sz="8" w:color="CCEEFF"/>
            </w:tcBorders>
            <w:shd w:val="clear" w:color="auto" w:fill="CCEEFF"/>
          </w:tcPr>
          <w:p>
            <w:pPr>
              <w:spacing w:after="0" w:line="161" w:lineRule="exact"/>
              <w:rPr>
                <w:sz w:val="20"/>
                <w:szCs w:val="20"/>
                <w:color w:val="auto"/>
              </w:rPr>
            </w:pPr>
            <w:r>
              <w:rPr>
                <w:rFonts w:ascii="Arial" w:cs="Arial" w:eastAsia="Arial" w:hAnsi="Arial"/>
                <w:sz w:val="17"/>
                <w:szCs w:val="17"/>
                <w:color w:val="auto"/>
              </w:rPr>
              <w:t>United States</w:t>
            </w:r>
          </w:p>
        </w:tc>
        <w:tc>
          <w:tcPr>
            <w:tcW w:w="600" w:type="dxa"/>
            <w:vAlign w:val="bottom"/>
            <w:shd w:val="clear" w:color="auto" w:fill="CCEEFF"/>
          </w:tcPr>
          <w:p>
            <w:pPr>
              <w:jc w:val="center"/>
              <w:ind w:right="94"/>
              <w:spacing w:after="0" w:line="161" w:lineRule="exact"/>
              <w:rPr>
                <w:sz w:val="20"/>
                <w:szCs w:val="20"/>
                <w:color w:val="auto"/>
              </w:rPr>
            </w:pPr>
            <w:r>
              <w:rPr>
                <w:rFonts w:ascii="Arial" w:cs="Arial" w:eastAsia="Arial" w:hAnsi="Arial"/>
                <w:sz w:val="17"/>
                <w:szCs w:val="17"/>
                <w:color w:val="auto"/>
                <w:w w:val="81"/>
              </w:rPr>
              <w:t>&gt; 9 yrs</w:t>
            </w:r>
          </w:p>
        </w:tc>
        <w:tc>
          <w:tcPr>
            <w:tcW w:w="8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99"/>
              </w:rPr>
              <w:t>January</w:t>
            </w:r>
          </w:p>
        </w:tc>
        <w:tc>
          <w:tcPr>
            <w:tcW w:w="116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160" w:type="dxa"/>
            <w:vAlign w:val="bottom"/>
            <w:tcBorders>
              <w:left w:val="single" w:sz="8" w:color="auto"/>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Seborrheic Dermatitis</w:t>
            </w:r>
          </w:p>
        </w:tc>
        <w:tc>
          <w:tcPr>
            <w:tcW w:w="1580" w:type="dxa"/>
            <w:vAlign w:val="bottom"/>
            <w:shd w:val="clear" w:color="auto" w:fill="CCEEFF"/>
          </w:tcPr>
          <w:p>
            <w:pPr>
              <w:spacing w:after="0"/>
              <w:rPr>
                <w:sz w:val="2"/>
                <w:szCs w:val="2"/>
                <w:color w:val="auto"/>
              </w:rPr>
            </w:pPr>
          </w:p>
        </w:tc>
        <w:tc>
          <w:tcPr>
            <w:tcW w:w="1800" w:type="dxa"/>
            <w:vAlign w:val="bottom"/>
            <w:tcBorders>
              <w:right w:val="single" w:sz="8" w:color="auto"/>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6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160" w:type="dxa"/>
            <w:vAlign w:val="bottom"/>
            <w:tcBorders>
              <w:left w:val="single" w:sz="8" w:color="auto"/>
            </w:tcBorders>
            <w:vMerge w:val="continue"/>
            <w:shd w:val="clear" w:color="auto" w:fill="CCEEFF"/>
          </w:tcPr>
          <w:p>
            <w:pPr>
              <w:spacing w:after="0"/>
              <w:rPr>
                <w:sz w:val="17"/>
                <w:szCs w:val="17"/>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0.3%</w:t>
            </w:r>
          </w:p>
        </w:tc>
        <w:tc>
          <w:tcPr>
            <w:tcW w:w="18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Canada</w:t>
            </w:r>
          </w:p>
        </w:tc>
        <w:tc>
          <w:tcPr>
            <w:tcW w:w="600" w:type="dxa"/>
            <w:vAlign w:val="bottom"/>
            <w:vMerge w:val="restart"/>
            <w:shd w:val="clear" w:color="auto" w:fill="CCEEFF"/>
          </w:tcPr>
          <w:p>
            <w:pPr>
              <w:jc w:val="center"/>
              <w:ind w:right="94"/>
              <w:spacing w:after="0"/>
              <w:rPr>
                <w:sz w:val="20"/>
                <w:szCs w:val="20"/>
                <w:color w:val="auto"/>
              </w:rPr>
            </w:pPr>
            <w:r>
              <w:rPr>
                <w:rFonts w:ascii="Arial" w:cs="Arial" w:eastAsia="Arial" w:hAnsi="Arial"/>
                <w:sz w:val="17"/>
                <w:szCs w:val="17"/>
                <w:color w:val="auto"/>
                <w:w w:val="81"/>
              </w:rPr>
              <w:t>&gt; 9 yrs</w:t>
            </w: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November</w:t>
            </w:r>
          </w:p>
        </w:tc>
        <w:tc>
          <w:tcPr>
            <w:tcW w:w="11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160" w:type="dxa"/>
            <w:vAlign w:val="bottom"/>
            <w:tcBorders>
              <w:left w:val="single" w:sz="8" w:color="auto"/>
              <w:bottom w:val="single" w:sz="8" w:color="auto"/>
            </w:tcBorders>
            <w:shd w:val="clear" w:color="auto" w:fill="CCEEFF"/>
          </w:tcPr>
          <w:p>
            <w:pPr>
              <w:spacing w:after="0"/>
              <w:rPr>
                <w:sz w:val="9"/>
                <w:szCs w:val="9"/>
                <w:color w:val="auto"/>
              </w:rPr>
            </w:pPr>
          </w:p>
        </w:tc>
        <w:tc>
          <w:tcPr>
            <w:tcW w:w="1580" w:type="dxa"/>
            <w:vAlign w:val="bottom"/>
            <w:tcBorders>
              <w:bottom w:val="single" w:sz="8" w:color="auto"/>
            </w:tcBorders>
            <w:vMerge w:val="continue"/>
            <w:shd w:val="clear" w:color="auto" w:fill="CCEEFF"/>
          </w:tcPr>
          <w:p>
            <w:pPr>
              <w:spacing w:after="0"/>
              <w:rPr>
                <w:sz w:val="9"/>
                <w:szCs w:val="9"/>
                <w:color w:val="auto"/>
              </w:rPr>
            </w:pPr>
          </w:p>
        </w:tc>
        <w:tc>
          <w:tcPr>
            <w:tcW w:w="1800" w:type="dxa"/>
            <w:vAlign w:val="bottom"/>
            <w:tcBorders>
              <w:bottom w:val="single" w:sz="8" w:color="auto"/>
              <w:right w:val="single" w:sz="8" w:color="CCEEFF"/>
            </w:tcBorders>
            <w:vMerge w:val="continue"/>
            <w:shd w:val="clear" w:color="auto" w:fill="CCEEFF"/>
          </w:tcPr>
          <w:p>
            <w:pPr>
              <w:spacing w:after="0"/>
              <w:rPr>
                <w:sz w:val="9"/>
                <w:szCs w:val="9"/>
                <w:color w:val="auto"/>
              </w:rPr>
            </w:pPr>
          </w:p>
        </w:tc>
        <w:tc>
          <w:tcPr>
            <w:tcW w:w="600" w:type="dxa"/>
            <w:vAlign w:val="bottom"/>
            <w:tcBorders>
              <w:bottom w:val="single" w:sz="8" w:color="auto"/>
            </w:tcBorders>
            <w:vMerge w:val="continue"/>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vMerge w:val="continue"/>
            <w:shd w:val="clear" w:color="auto" w:fill="CCEEFF"/>
          </w:tcPr>
          <w:p>
            <w:pPr>
              <w:spacing w:after="0"/>
              <w:rPr>
                <w:sz w:val="9"/>
                <w:szCs w:val="9"/>
                <w:color w:val="auto"/>
              </w:rPr>
            </w:pPr>
          </w:p>
        </w:tc>
        <w:tc>
          <w:tcPr>
            <w:tcW w:w="116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tcBorders>
          </w:tcPr>
          <w:p>
            <w:pPr>
              <w:spacing w:after="0"/>
              <w:rPr>
                <w:sz w:val="15"/>
                <w:szCs w:val="15"/>
                <w:color w:val="auto"/>
              </w:rPr>
            </w:pPr>
          </w:p>
        </w:tc>
        <w:tc>
          <w:tcPr>
            <w:tcW w:w="1580" w:type="dxa"/>
            <w:vAlign w:val="bottom"/>
          </w:tcPr>
          <w:p>
            <w:pPr>
              <w:jc w:val="center"/>
              <w:spacing w:after="0" w:line="173" w:lineRule="exact"/>
              <w:rPr>
                <w:sz w:val="20"/>
                <w:szCs w:val="20"/>
                <w:color w:val="auto"/>
              </w:rPr>
            </w:pPr>
            <w:r>
              <w:rPr>
                <w:rFonts w:ascii="Arial" w:cs="Arial" w:eastAsia="Arial" w:hAnsi="Arial"/>
                <w:sz w:val="17"/>
                <w:szCs w:val="17"/>
                <w:color w:val="auto"/>
                <w:w w:val="99"/>
              </w:rPr>
              <w:t>0.15%</w:t>
            </w:r>
          </w:p>
        </w:tc>
        <w:tc>
          <w:tcPr>
            <w:tcW w:w="1800" w:type="dxa"/>
            <w:vAlign w:val="bottom"/>
          </w:tcPr>
          <w:p>
            <w:pPr>
              <w:spacing w:after="0" w:line="173" w:lineRule="exact"/>
              <w:rPr>
                <w:sz w:val="20"/>
                <w:szCs w:val="20"/>
                <w:color w:val="auto"/>
              </w:rPr>
            </w:pPr>
            <w:r>
              <w:rPr>
                <w:rFonts w:ascii="Arial" w:cs="Arial" w:eastAsia="Arial" w:hAnsi="Arial"/>
                <w:sz w:val="17"/>
                <w:szCs w:val="17"/>
                <w:color w:val="auto"/>
              </w:rPr>
              <w:t>United States</w:t>
            </w:r>
          </w:p>
        </w:tc>
        <w:tc>
          <w:tcPr>
            <w:tcW w:w="600" w:type="dxa"/>
            <w:vAlign w:val="bottom"/>
          </w:tcPr>
          <w:p>
            <w:pPr>
              <w:jc w:val="center"/>
              <w:ind w:right="94"/>
              <w:spacing w:after="0" w:line="173" w:lineRule="exact"/>
              <w:rPr>
                <w:sz w:val="20"/>
                <w:szCs w:val="20"/>
                <w:color w:val="auto"/>
              </w:rPr>
            </w:pPr>
            <w:r>
              <w:rPr>
                <w:rFonts w:ascii="Arial" w:cs="Arial" w:eastAsia="Arial" w:hAnsi="Arial"/>
                <w:sz w:val="17"/>
                <w:szCs w:val="17"/>
                <w:color w:val="auto"/>
                <w:w w:val="81"/>
              </w:rPr>
              <w:t>&gt; 6 yrs</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jc w:val="center"/>
              <w:spacing w:after="0" w:line="173" w:lineRule="exact"/>
              <w:rPr>
                <w:sz w:val="20"/>
                <w:szCs w:val="20"/>
                <w:color w:val="auto"/>
              </w:rPr>
            </w:pPr>
            <w:r>
              <w:rPr>
                <w:rFonts w:ascii="Arial" w:cs="Arial" w:eastAsia="Arial" w:hAnsi="Arial"/>
                <w:sz w:val="17"/>
                <w:szCs w:val="17"/>
                <w:color w:val="auto"/>
                <w:w w:val="99"/>
              </w:rPr>
              <w:t>July</w:t>
            </w: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left w:val="single" w:sz="8" w:color="auto"/>
            </w:tcBorders>
            <w:vMerge w:val="restart"/>
          </w:tcPr>
          <w:p>
            <w:pPr>
              <w:ind w:left="20"/>
              <w:spacing w:after="0"/>
              <w:rPr>
                <w:sz w:val="20"/>
                <w:szCs w:val="20"/>
                <w:color w:val="auto"/>
              </w:rPr>
            </w:pPr>
            <w:r>
              <w:rPr>
                <w:rFonts w:ascii="Arial" w:cs="Arial" w:eastAsia="Arial" w:hAnsi="Arial"/>
                <w:sz w:val="17"/>
                <w:szCs w:val="17"/>
                <w:color w:val="auto"/>
              </w:rPr>
              <w:t>ZORYVE cream for Atopic</w:t>
            </w:r>
          </w:p>
        </w:tc>
        <w:tc>
          <w:tcPr>
            <w:tcW w:w="1580" w:type="dxa"/>
            <w:vAlign w:val="bottom"/>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60" w:type="dxa"/>
            <w:vAlign w:val="bottom"/>
            <w:tcBorders>
              <w:left w:val="single" w:sz="8" w:color="auto"/>
            </w:tcBorders>
            <w:vMerge w:val="continue"/>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9"/>
              </w:rPr>
              <w:t>0.15%</w:t>
            </w:r>
          </w:p>
        </w:tc>
        <w:tc>
          <w:tcPr>
            <w:tcW w:w="1800" w:type="dxa"/>
            <w:vAlign w:val="bottom"/>
          </w:tcPr>
          <w:p>
            <w:pPr>
              <w:spacing w:after="0"/>
              <w:rPr>
                <w:sz w:val="20"/>
                <w:szCs w:val="20"/>
                <w:color w:val="auto"/>
              </w:rPr>
            </w:pPr>
            <w:r>
              <w:rPr>
                <w:rFonts w:ascii="Arial" w:cs="Arial" w:eastAsia="Arial" w:hAnsi="Arial"/>
                <w:sz w:val="17"/>
                <w:szCs w:val="17"/>
                <w:color w:val="auto"/>
              </w:rPr>
              <w:t>Canada</w:t>
            </w:r>
          </w:p>
        </w:tc>
        <w:tc>
          <w:tcPr>
            <w:tcW w:w="600" w:type="dxa"/>
            <w:vAlign w:val="bottom"/>
          </w:tcPr>
          <w:p>
            <w:pPr>
              <w:jc w:val="center"/>
              <w:ind w:right="94"/>
              <w:spacing w:after="0"/>
              <w:rPr>
                <w:sz w:val="20"/>
                <w:szCs w:val="20"/>
                <w:color w:val="auto"/>
              </w:rPr>
            </w:pPr>
            <w:r>
              <w:rPr>
                <w:rFonts w:ascii="Arial" w:cs="Arial" w:eastAsia="Arial" w:hAnsi="Arial"/>
                <w:sz w:val="17"/>
                <w:szCs w:val="17"/>
                <w:color w:val="auto"/>
                <w:w w:val="81"/>
              </w:rPr>
              <w:t>&gt; 6 yrs</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April</w:t>
            </w:r>
          </w:p>
        </w:tc>
        <w:tc>
          <w:tcPr>
            <w:tcW w:w="0" w:type="dxa"/>
            <w:vAlign w:val="bottom"/>
          </w:tcPr>
          <w:p>
            <w:pPr>
              <w:spacing w:after="0"/>
              <w:rPr>
                <w:sz w:val="1"/>
                <w:szCs w:val="1"/>
                <w:color w:val="auto"/>
              </w:rPr>
            </w:pPr>
          </w:p>
        </w:tc>
      </w:tr>
      <w:tr>
        <w:trPr>
          <w:trHeight w:val="26"/>
        </w:trPr>
        <w:tc>
          <w:tcPr>
            <w:tcW w:w="2160" w:type="dxa"/>
            <w:vAlign w:val="bottom"/>
            <w:tcBorders>
              <w:left w:val="single" w:sz="8" w:color="auto"/>
            </w:tcBorders>
            <w:vMerge w:val="restart"/>
          </w:tcPr>
          <w:p>
            <w:pPr>
              <w:ind w:left="20"/>
              <w:spacing w:after="0"/>
              <w:rPr>
                <w:sz w:val="20"/>
                <w:szCs w:val="20"/>
                <w:color w:val="auto"/>
              </w:rPr>
            </w:pPr>
            <w:r>
              <w:rPr>
                <w:rFonts w:ascii="Arial" w:cs="Arial" w:eastAsia="Arial" w:hAnsi="Arial"/>
                <w:sz w:val="17"/>
                <w:szCs w:val="17"/>
                <w:color w:val="auto"/>
              </w:rPr>
              <w:t>Dermatitis</w:t>
            </w:r>
          </w:p>
        </w:tc>
        <w:tc>
          <w:tcPr>
            <w:tcW w:w="158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160" w:type="dxa"/>
            <w:vAlign w:val="bottom"/>
            <w:tcBorders>
              <w:left w:val="single" w:sz="8" w:color="auto"/>
            </w:tcBorders>
            <w:vMerge w:val="continue"/>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Arial" w:cs="Arial" w:eastAsia="Arial" w:hAnsi="Arial"/>
                <w:sz w:val="17"/>
                <w:szCs w:val="17"/>
                <w:color w:val="auto"/>
                <w:w w:val="99"/>
              </w:rPr>
              <w:t>0.05%</w:t>
            </w:r>
          </w:p>
        </w:tc>
        <w:tc>
          <w:tcPr>
            <w:tcW w:w="1800" w:type="dxa"/>
            <w:vAlign w:val="bottom"/>
            <w:vMerge w:val="restart"/>
          </w:tcPr>
          <w:p>
            <w:pPr>
              <w:spacing w:after="0"/>
              <w:rPr>
                <w:sz w:val="20"/>
                <w:szCs w:val="20"/>
                <w:color w:val="auto"/>
              </w:rPr>
            </w:pPr>
            <w:r>
              <w:rPr>
                <w:rFonts w:ascii="Arial" w:cs="Arial" w:eastAsia="Arial" w:hAnsi="Arial"/>
                <w:sz w:val="17"/>
                <w:szCs w:val="17"/>
                <w:color w:val="auto"/>
              </w:rPr>
              <w:t>United States</w:t>
            </w:r>
          </w:p>
        </w:tc>
        <w:tc>
          <w:tcPr>
            <w:tcW w:w="600" w:type="dxa"/>
            <w:vAlign w:val="bottom"/>
            <w:vMerge w:val="restart"/>
          </w:tcPr>
          <w:p>
            <w:pPr>
              <w:jc w:val="center"/>
              <w:ind w:right="94"/>
              <w:spacing w:after="0"/>
              <w:rPr>
                <w:sz w:val="20"/>
                <w:szCs w:val="20"/>
                <w:color w:val="auto"/>
              </w:rPr>
            </w:pPr>
            <w:r>
              <w:rPr>
                <w:rFonts w:ascii="Arial" w:cs="Arial" w:eastAsia="Arial" w:hAnsi="Arial"/>
                <w:sz w:val="17"/>
                <w:szCs w:val="17"/>
                <w:color w:val="auto"/>
                <w:w w:val="80"/>
              </w:rPr>
              <w:t>2-5 yrs</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October</w:t>
            </w:r>
          </w:p>
        </w:tc>
        <w:tc>
          <w:tcPr>
            <w:tcW w:w="0" w:type="dxa"/>
            <w:vAlign w:val="bottom"/>
          </w:tcPr>
          <w:p>
            <w:pPr>
              <w:spacing w:after="0"/>
              <w:rPr>
                <w:sz w:val="1"/>
                <w:szCs w:val="1"/>
                <w:color w:val="auto"/>
              </w:rPr>
            </w:pPr>
          </w:p>
        </w:tc>
      </w:tr>
      <w:tr>
        <w:trPr>
          <w:trHeight w:val="86"/>
        </w:trPr>
        <w:tc>
          <w:tcPr>
            <w:tcW w:w="2160" w:type="dxa"/>
            <w:vAlign w:val="bottom"/>
            <w:tcBorders>
              <w:lef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160" w:type="dxa"/>
            <w:vAlign w:val="bottom"/>
            <w:tcBorders>
              <w:left w:val="single" w:sz="8" w:color="auto"/>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160" w:type="dxa"/>
            <w:vAlign w:val="bottom"/>
            <w:tcBorders>
              <w:left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ZORYVE foam for Scalp &amp;</w:t>
            </w:r>
          </w:p>
        </w:tc>
        <w:tc>
          <w:tcPr>
            <w:tcW w:w="158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rPr>
              <w:t>0.3%</w:t>
            </w:r>
          </w:p>
        </w:tc>
        <w:tc>
          <w:tcPr>
            <w:tcW w:w="1800" w:type="dxa"/>
            <w:vAlign w:val="bottom"/>
            <w:tcBorders>
              <w:right w:val="single" w:sz="8" w:color="CCEEFF"/>
            </w:tcBorders>
            <w:shd w:val="clear" w:color="auto" w:fill="CCEEFF"/>
          </w:tcPr>
          <w:p>
            <w:pPr>
              <w:spacing w:after="0" w:line="161" w:lineRule="exact"/>
              <w:rPr>
                <w:sz w:val="20"/>
                <w:szCs w:val="20"/>
                <w:color w:val="auto"/>
              </w:rPr>
            </w:pPr>
            <w:r>
              <w:rPr>
                <w:rFonts w:ascii="Arial" w:cs="Arial" w:eastAsia="Arial" w:hAnsi="Arial"/>
                <w:sz w:val="17"/>
                <w:szCs w:val="17"/>
                <w:color w:val="auto"/>
              </w:rPr>
              <w:t>United States</w:t>
            </w:r>
          </w:p>
        </w:tc>
        <w:tc>
          <w:tcPr>
            <w:tcW w:w="600" w:type="dxa"/>
            <w:vAlign w:val="bottom"/>
            <w:shd w:val="clear" w:color="auto" w:fill="CCEEFF"/>
          </w:tcPr>
          <w:p>
            <w:pPr>
              <w:jc w:val="center"/>
              <w:ind w:right="54"/>
              <w:spacing w:after="0" w:line="161" w:lineRule="exact"/>
              <w:rPr>
                <w:sz w:val="20"/>
                <w:szCs w:val="20"/>
                <w:color w:val="auto"/>
              </w:rPr>
            </w:pPr>
            <w:r>
              <w:rPr>
                <w:rFonts w:ascii="Arial" w:cs="Arial" w:eastAsia="Arial" w:hAnsi="Arial"/>
                <w:sz w:val="17"/>
                <w:szCs w:val="17"/>
                <w:color w:val="auto"/>
                <w:w w:val="75"/>
              </w:rPr>
              <w:t>&gt; 12 yrs</w:t>
            </w:r>
          </w:p>
        </w:tc>
        <w:tc>
          <w:tcPr>
            <w:tcW w:w="8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60" w:type="dxa"/>
            <w:vAlign w:val="bottom"/>
            <w:tcBorders>
              <w:right w:val="single" w:sz="8" w:color="auto"/>
            </w:tcBorders>
            <w:shd w:val="clear" w:color="auto" w:fill="CCEEFF"/>
          </w:tcPr>
          <w:p>
            <w:pPr>
              <w:jc w:val="center"/>
              <w:spacing w:after="0" w:line="161" w:lineRule="exact"/>
              <w:rPr>
                <w:sz w:val="20"/>
                <w:szCs w:val="20"/>
                <w:color w:val="auto"/>
              </w:rPr>
            </w:pPr>
            <w:r>
              <w:rPr>
                <w:rFonts w:ascii="Arial" w:cs="Arial" w:eastAsia="Arial" w:hAnsi="Arial"/>
                <w:sz w:val="17"/>
                <w:szCs w:val="17"/>
                <w:color w:val="auto"/>
                <w:w w:val="97"/>
              </w:rPr>
              <w:t>June</w:t>
            </w:r>
          </w:p>
        </w:tc>
        <w:tc>
          <w:tcPr>
            <w:tcW w:w="0" w:type="dxa"/>
            <w:vAlign w:val="bottom"/>
          </w:tcPr>
          <w:p>
            <w:pPr>
              <w:spacing w:after="0"/>
              <w:rPr>
                <w:sz w:val="1"/>
                <w:szCs w:val="1"/>
                <w:color w:val="auto"/>
              </w:rPr>
            </w:pPr>
          </w:p>
        </w:tc>
      </w:tr>
      <w:tr>
        <w:trPr>
          <w:trHeight w:val="26"/>
        </w:trPr>
        <w:tc>
          <w:tcPr>
            <w:tcW w:w="2160" w:type="dxa"/>
            <w:vAlign w:val="bottom"/>
            <w:tcBorders>
              <w:left w:val="single" w:sz="8" w:color="auto"/>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Body Psoriasis</w:t>
            </w:r>
          </w:p>
        </w:tc>
        <w:tc>
          <w:tcPr>
            <w:tcW w:w="1580" w:type="dxa"/>
            <w:vAlign w:val="bottom"/>
            <w:shd w:val="clear" w:color="auto" w:fill="CCEEFF"/>
          </w:tcPr>
          <w:p>
            <w:pPr>
              <w:spacing w:after="0"/>
              <w:rPr>
                <w:sz w:val="2"/>
                <w:szCs w:val="2"/>
                <w:color w:val="auto"/>
              </w:rPr>
            </w:pPr>
          </w:p>
        </w:tc>
        <w:tc>
          <w:tcPr>
            <w:tcW w:w="1800" w:type="dxa"/>
            <w:vAlign w:val="bottom"/>
            <w:tcBorders>
              <w:right w:val="single" w:sz="8" w:color="auto"/>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6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160" w:type="dxa"/>
            <w:vAlign w:val="bottom"/>
            <w:tcBorders>
              <w:left w:val="single" w:sz="8" w:color="auto"/>
            </w:tcBorders>
            <w:vMerge w:val="continue"/>
            <w:shd w:val="clear" w:color="auto" w:fill="CCEEFF"/>
          </w:tcPr>
          <w:p>
            <w:pPr>
              <w:spacing w:after="0"/>
              <w:rPr>
                <w:sz w:val="17"/>
                <w:szCs w:val="17"/>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0.3%</w:t>
            </w:r>
          </w:p>
        </w:tc>
        <w:tc>
          <w:tcPr>
            <w:tcW w:w="18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Canada</w:t>
            </w:r>
          </w:p>
        </w:tc>
        <w:tc>
          <w:tcPr>
            <w:tcW w:w="600" w:type="dxa"/>
            <w:vAlign w:val="bottom"/>
            <w:vMerge w:val="restart"/>
            <w:shd w:val="clear" w:color="auto" w:fill="CCEEFF"/>
          </w:tcPr>
          <w:p>
            <w:pPr>
              <w:jc w:val="center"/>
              <w:ind w:right="54"/>
              <w:spacing w:after="0"/>
              <w:rPr>
                <w:sz w:val="20"/>
                <w:szCs w:val="20"/>
                <w:color w:val="auto"/>
              </w:rPr>
            </w:pPr>
            <w:r>
              <w:rPr>
                <w:rFonts w:ascii="Arial" w:cs="Arial" w:eastAsia="Arial" w:hAnsi="Arial"/>
                <w:sz w:val="17"/>
                <w:szCs w:val="17"/>
                <w:color w:val="auto"/>
                <w:w w:val="75"/>
              </w:rPr>
              <w:t>&gt; 12 yrs</w:t>
            </w: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November</w:t>
            </w:r>
          </w:p>
        </w:tc>
        <w:tc>
          <w:tcPr>
            <w:tcW w:w="0" w:type="dxa"/>
            <w:vAlign w:val="bottom"/>
          </w:tcPr>
          <w:p>
            <w:pPr>
              <w:spacing w:after="0"/>
              <w:rPr>
                <w:sz w:val="1"/>
                <w:szCs w:val="1"/>
                <w:color w:val="auto"/>
              </w:rPr>
            </w:pPr>
          </w:p>
        </w:tc>
      </w:tr>
      <w:tr>
        <w:trPr>
          <w:trHeight w:val="84"/>
        </w:trPr>
        <w:tc>
          <w:tcPr>
            <w:tcW w:w="2160" w:type="dxa"/>
            <w:vAlign w:val="bottom"/>
            <w:tcBorders>
              <w:left w:val="single" w:sz="8" w:color="auto"/>
            </w:tcBorders>
            <w:shd w:val="clear" w:color="auto" w:fill="CCEEFF"/>
          </w:tcPr>
          <w:p>
            <w:pPr>
              <w:spacing w:after="0"/>
              <w:rPr>
                <w:sz w:val="7"/>
                <w:szCs w:val="7"/>
                <w:color w:val="auto"/>
              </w:rPr>
            </w:pPr>
          </w:p>
        </w:tc>
        <w:tc>
          <w:tcPr>
            <w:tcW w:w="1580" w:type="dxa"/>
            <w:vAlign w:val="bottom"/>
            <w:vMerge w:val="continue"/>
            <w:shd w:val="clear" w:color="auto" w:fill="CCEEFF"/>
          </w:tcPr>
          <w:p>
            <w:pPr>
              <w:spacing w:after="0"/>
              <w:rPr>
                <w:sz w:val="7"/>
                <w:szCs w:val="7"/>
                <w:color w:val="auto"/>
              </w:rPr>
            </w:pPr>
          </w:p>
        </w:tc>
        <w:tc>
          <w:tcPr>
            <w:tcW w:w="1800" w:type="dxa"/>
            <w:vAlign w:val="bottom"/>
            <w:tcBorders>
              <w:right w:val="single" w:sz="8" w:color="CCEEFF"/>
            </w:tcBorders>
            <w:vMerge w:val="continue"/>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1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160" w:type="dxa"/>
            <w:vAlign w:val="bottom"/>
            <w:tcBorders>
              <w:top w:val="single" w:sz="8" w:color="CCEEFF"/>
              <w:left w:val="single" w:sz="8" w:color="auto"/>
              <w:bottom w:val="single" w:sz="8" w:color="auto"/>
            </w:tcBorders>
            <w:shd w:val="clear" w:color="auto" w:fill="CCEEFF"/>
          </w:tcPr>
          <w:p>
            <w:pPr>
              <w:spacing w:after="0"/>
              <w:rPr>
                <w:sz w:val="9"/>
                <w:szCs w:val="9"/>
                <w:color w:val="auto"/>
              </w:rPr>
            </w:pPr>
          </w:p>
        </w:tc>
        <w:tc>
          <w:tcPr>
            <w:tcW w:w="1580" w:type="dxa"/>
            <w:vAlign w:val="bottom"/>
            <w:tcBorders>
              <w:top w:val="single" w:sz="8" w:color="CCEEFF"/>
              <w:bottom w:val="single" w:sz="8" w:color="auto"/>
            </w:tcBorders>
            <w:shd w:val="clear" w:color="auto" w:fill="CCEEFF"/>
          </w:tcPr>
          <w:p>
            <w:pPr>
              <w:spacing w:after="0"/>
              <w:rPr>
                <w:sz w:val="9"/>
                <w:szCs w:val="9"/>
                <w:color w:val="auto"/>
              </w:rPr>
            </w:pPr>
          </w:p>
        </w:tc>
        <w:tc>
          <w:tcPr>
            <w:tcW w:w="1800" w:type="dxa"/>
            <w:vAlign w:val="bottom"/>
            <w:tcBorders>
              <w:top w:val="single" w:sz="8" w:color="CCEEFF"/>
              <w:bottom w:val="single" w:sz="8" w:color="auto"/>
              <w:right w:val="single" w:sz="8" w:color="CCEEFF"/>
            </w:tcBorders>
            <w:shd w:val="clear" w:color="auto" w:fill="CCEEFF"/>
          </w:tcPr>
          <w:p>
            <w:pPr>
              <w:spacing w:after="0"/>
              <w:rPr>
                <w:sz w:val="9"/>
                <w:szCs w:val="9"/>
                <w:color w:val="auto"/>
              </w:rPr>
            </w:pPr>
          </w:p>
        </w:tc>
        <w:tc>
          <w:tcPr>
            <w:tcW w:w="600" w:type="dxa"/>
            <w:vAlign w:val="bottom"/>
            <w:tcBorders>
              <w:top w:val="single" w:sz="8" w:color="CCEEFF"/>
              <w:bottom w:val="single" w:sz="8" w:color="auto"/>
            </w:tcBorders>
            <w:shd w:val="clear" w:color="auto" w:fill="CCEEFF"/>
          </w:tcPr>
          <w:p>
            <w:pPr>
              <w:spacing w:after="0"/>
              <w:rPr>
                <w:sz w:val="9"/>
                <w:szCs w:val="9"/>
                <w:color w:val="auto"/>
              </w:rPr>
            </w:pPr>
          </w:p>
        </w:tc>
        <w:tc>
          <w:tcPr>
            <w:tcW w:w="860" w:type="dxa"/>
            <w:vAlign w:val="bottom"/>
            <w:tcBorders>
              <w:top w:val="single" w:sz="8" w:color="CCEEFF"/>
              <w:bottom w:val="single" w:sz="8" w:color="auto"/>
            </w:tcBorders>
            <w:shd w:val="clear" w:color="auto" w:fill="CCEEFF"/>
          </w:tcPr>
          <w:p>
            <w:pPr>
              <w:spacing w:after="0"/>
              <w:rPr>
                <w:sz w:val="9"/>
                <w:szCs w:val="9"/>
                <w:color w:val="auto"/>
              </w:rPr>
            </w:pPr>
          </w:p>
        </w:tc>
        <w:tc>
          <w:tcPr>
            <w:tcW w:w="920" w:type="dxa"/>
            <w:vAlign w:val="bottom"/>
            <w:tcBorders>
              <w:top w:val="single" w:sz="8" w:color="CCEEFF"/>
              <w:bottom w:val="single" w:sz="8" w:color="auto"/>
            </w:tcBorders>
            <w:shd w:val="clear" w:color="auto" w:fill="CCEEFF"/>
          </w:tcPr>
          <w:p>
            <w:pPr>
              <w:spacing w:after="0"/>
              <w:rPr>
                <w:sz w:val="9"/>
                <w:szCs w:val="9"/>
                <w:color w:val="auto"/>
              </w:rPr>
            </w:pPr>
          </w:p>
        </w:tc>
        <w:tc>
          <w:tcPr>
            <w:tcW w:w="1100" w:type="dxa"/>
            <w:vAlign w:val="bottom"/>
            <w:tcBorders>
              <w:top w:val="single" w:sz="8" w:color="CCEEFF"/>
              <w:bottom w:val="single" w:sz="8" w:color="auto"/>
            </w:tcBorders>
            <w:shd w:val="clear" w:color="auto" w:fill="CCEEFF"/>
          </w:tcPr>
          <w:p>
            <w:pPr>
              <w:spacing w:after="0"/>
              <w:rPr>
                <w:sz w:val="9"/>
                <w:szCs w:val="9"/>
                <w:color w:val="auto"/>
              </w:rPr>
            </w:pPr>
          </w:p>
        </w:tc>
        <w:tc>
          <w:tcPr>
            <w:tcW w:w="1160" w:type="dxa"/>
            <w:vAlign w:val="bottom"/>
            <w:tcBorders>
              <w:top w:val="single" w:sz="8" w:color="CCEEFF"/>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Revenue</w:t>
      </w:r>
    </w:p>
    <w:p>
      <w:pPr>
        <w:spacing w:after="0" w:line="153"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color w:val="auto"/>
        </w:rPr>
        <w:t>Other revenue recognized to date is derived primarily from upfront license fees and milestone payments received pursuant to the Sato Agreement and Huadong Agreement. We expect that any other revenue we generate pursuant to these agreements will fluctuate from period to period as a result of the timing of potential milestone achievements and any potential regulatory approvals within the respective Sato Territory and Huadong Territory.</w:t>
      </w:r>
    </w:p>
    <w:p>
      <w:pPr>
        <w:spacing w:after="0" w:line="104" w:lineRule="exact"/>
        <w:rPr>
          <w:sz w:val="20"/>
          <w:szCs w:val="20"/>
          <w:color w:val="auto"/>
        </w:rPr>
      </w:pPr>
    </w:p>
    <w:p>
      <w:pPr>
        <w:jc w:val="right"/>
        <w:ind w:right="95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40" w:lineRule="exact"/>
        <w:rPr>
          <w:sz w:val="20"/>
          <w:szCs w:val="20"/>
          <w:color w:val="auto"/>
        </w:rPr>
      </w:pPr>
    </w:p>
    <w:p>
      <w:pPr>
        <w:jc w:val="right"/>
        <w:ind w:right="9480"/>
        <w:spacing w:after="0"/>
        <w:rPr>
          <w:sz w:val="20"/>
          <w:szCs w:val="20"/>
          <w:color w:val="auto"/>
        </w:rPr>
      </w:pPr>
      <w:r>
        <w:rPr>
          <w:rFonts w:ascii="Arial" w:cs="Arial" w:eastAsia="Arial" w:hAnsi="Arial"/>
          <w:sz w:val="17"/>
          <w:szCs w:val="17"/>
          <w:b w:val="1"/>
          <w:bCs w:val="1"/>
          <w:i w:val="1"/>
          <w:iCs w:val="1"/>
          <w:color w:val="auto"/>
        </w:rPr>
        <w:t>Cost of Sales</w:t>
      </w:r>
    </w:p>
    <w:p>
      <w:pPr>
        <w:spacing w:after="0" w:line="153"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Cost of sales includes direct and indirect costs related to the manufacturing and distribution of ZORYVE, including raw materials, third-party manufacturing costs, packaging services, and freight-in, as well as third-party royalties payable on our net product sales and amortization of intangible assets associated with ZORYVE.</w:t>
      </w:r>
    </w:p>
    <w:p>
      <w:pPr>
        <w:spacing w:after="0" w:line="98"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Prior to the date on which the initial regulatory approval was received for each product, costs of inventory production were recorded as research and development expense. As of March 31, 2026 and December 31, 2025, the value of this expensed inventory on hand was approximately $1.7 million and $2.6 million, respectively. Subsequent to initial regulatory approval, costs of production are capitalized into inventory, and as that inventory is sold and revenue is recognized, the cost of the inventory is recognized in cost of sales.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40"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Since our inception, we have focused significant resources on our research and development activities, including conducting nonclinical studies and clinical trials, manufacturing development efforts, activities related to regulatory filings for our product candidates, and medical affairs activities related to ZORYVE. Research and development costs are expensed as incurred. These costs include direct program expenses, which are third-party expenses incurred related to our research and development programs, including for clinical research organizations, clinical investigators, the manufacturing of clinical material, nonclinical testing and consultants. In addition, employee costs, including salaries, payroll taxes, benefits, stock-based compensation, and travel for employees contributing to research and development activities are classified as research and development costs. Direct external costs relate to a specific program. Our internal costs are primarily related to personnel or professional services, apply across programs, and, thus, are not allocable to a specific program.</w:t>
      </w:r>
    </w:p>
    <w:p>
      <w:pPr>
        <w:spacing w:after="0" w:line="111" w:lineRule="exact"/>
        <w:rPr>
          <w:sz w:val="20"/>
          <w:szCs w:val="20"/>
          <w:color w:val="auto"/>
        </w:rPr>
      </w:pPr>
    </w:p>
    <w:p>
      <w:pPr>
        <w:jc w:val="both"/>
        <w:ind w:right="180" w:firstLine="619"/>
        <w:spacing w:after="0" w:line="271" w:lineRule="auto"/>
        <w:rPr>
          <w:sz w:val="20"/>
          <w:szCs w:val="20"/>
          <w:color w:val="auto"/>
        </w:rPr>
      </w:pPr>
      <w:r>
        <w:rPr>
          <w:rFonts w:ascii="Arial" w:cs="Arial" w:eastAsia="Arial" w:hAnsi="Arial"/>
          <w:sz w:val="17"/>
          <w:szCs w:val="17"/>
          <w:color w:val="auto"/>
        </w:rPr>
        <w:t>We expect to continue to incur research and development expenses in the future as we develop our product candidates. In particular, we expect to incur research and development expenses for the development of ARQ-234 for atopic dermatitis and for ZORYVE label expansions and lifecycle management.</w:t>
      </w:r>
    </w:p>
    <w:p>
      <w:pPr>
        <w:spacing w:after="0" w:line="98"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We have entered, and may continue to enter, into in-license agreements to access and utilize certain molecules for the treatment of dermatological diseases and disorders. We evaluate whether an in-license agreement is an acquisition of an asset or a business. To date, none of our in-license agreements have been considered to be an acquisition of a business. For asset acquisitions, the upfront payments, as well as any milestone payments made before regulatory approval, are immediately recognized as research and development expense, provided there is no alternative future use of the rights in other research and development projects.</w:t>
      </w:r>
    </w:p>
    <w:p>
      <w:pPr>
        <w:spacing w:after="0" w:line="9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The successful development of our product candidates is highly uncertain. At this time, we cannot reasonably estimate the nature, timing, or costs required to complete the remaining development of ZORYVE cream and ZORYVE foam, ARQ-234, or any other product candidates. This is due to the numerous risks and uncertainties associated with the development of product candidates. See “Risk Factors” for a discussion of the risks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uncertainties associated with the development of our product candidates.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3"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Our selling, general and administrative expenses consist primarily of salaries and related costs, including payroll taxes, benefits, stock-based compensation, and travel, for sales, commercial operations, human resources, information technology, legal and finance employees. Other selling, general and administrative expenses include costs related to sales and marketing of ZORYVE; commissions earned by Kowa under our promotion agreement, which was terminated effective January 23, 2026; professional services costs for patent protection, accounting, auditing, tax, and general legal services; other outside services and consulting costs; information technology; and other overhead.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Interest income consists of interest earned on our cash, cash equivalents, and marketable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Interest expense is related to interest incurred on our debt.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53" w:lineRule="exact"/>
        <w:rPr>
          <w:sz w:val="20"/>
          <w:szCs w:val="20"/>
          <w:color w:val="auto"/>
        </w:rPr>
      </w:pPr>
    </w:p>
    <w:p>
      <w:pPr>
        <w:ind w:right="380" w:firstLine="619"/>
        <w:spacing w:after="0" w:line="271" w:lineRule="auto"/>
        <w:rPr>
          <w:sz w:val="20"/>
          <w:szCs w:val="20"/>
          <w:color w:val="auto"/>
        </w:rPr>
      </w:pPr>
      <w:r>
        <w:rPr>
          <w:rFonts w:ascii="Arial" w:cs="Arial" w:eastAsia="Arial" w:hAnsi="Arial"/>
          <w:sz w:val="17"/>
          <w:szCs w:val="17"/>
          <w:color w:val="auto"/>
        </w:rPr>
        <w:t>Provision for income taxes is primarily related to foreign income tax expense, foreign withholding taxes incurred in relation to payments received pursuant to our in-license agreements and state income tax expense related to jurisdictions with minimum taxes or taxes based 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2026 and 2025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7"/>
                <w:szCs w:val="17"/>
                <w:color w:val="auto"/>
              </w:rPr>
            </w:pPr>
          </w:p>
        </w:tc>
      </w:tr>
      <w:tr>
        <w:trPr>
          <w:trHeight w:val="186"/>
        </w:trPr>
        <w:tc>
          <w:tcPr>
            <w:tcW w:w="4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w:t>
            </w:r>
          </w:p>
        </w:tc>
      </w:tr>
      <w:tr>
        <w:trPr>
          <w:trHeight w:val="206"/>
        </w:trPr>
        <w:tc>
          <w:tcPr>
            <w:tcW w:w="4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920" w:type="dxa"/>
            <w:vAlign w:val="bottom"/>
          </w:tcPr>
          <w:p>
            <w:pPr>
              <w:ind w:left="320"/>
              <w:spacing w:after="0"/>
              <w:rPr>
                <w:sz w:val="20"/>
                <w:szCs w:val="20"/>
                <w:color w:val="auto"/>
              </w:rPr>
            </w:pPr>
            <w:r>
              <w:rPr>
                <w:rFonts w:ascii="Arial" w:cs="Arial" w:eastAsia="Arial" w:hAnsi="Arial"/>
                <w:sz w:val="17"/>
                <w:szCs w:val="17"/>
                <w:color w:val="auto"/>
              </w:rPr>
              <w:t>ZORYVE cream 0.3%</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32,670</w:t>
            </w:r>
          </w:p>
        </w:tc>
        <w:tc>
          <w:tcPr>
            <w:tcW w:w="100" w:type="dxa"/>
            <w:vAlign w:val="bottom"/>
          </w:tcPr>
          <w:p>
            <w:pPr>
              <w:spacing w:after="0"/>
              <w:rPr>
                <w:sz w:val="19"/>
                <w:szCs w:val="19"/>
                <w:color w:val="auto"/>
              </w:rPr>
            </w:pPr>
          </w:p>
        </w:tc>
        <w:tc>
          <w:tcPr>
            <w:tcW w:w="1020" w:type="dxa"/>
            <w:vAlign w:val="bottom"/>
          </w:tcPr>
          <w:p>
            <w:pPr>
              <w:jc w:val="right"/>
              <w:ind w:right="8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23,387</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9,283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40 %</w:t>
            </w:r>
          </w:p>
        </w:tc>
      </w:tr>
      <w:tr>
        <w:trPr>
          <w:trHeight w:val="219"/>
        </w:trPr>
        <w:tc>
          <w:tcPr>
            <w:tcW w:w="4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ZORYVE foam</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49,627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64 %</w:t>
            </w:r>
          </w:p>
        </w:tc>
      </w:tr>
      <w:tr>
        <w:trPr>
          <w:trHeight w:val="219"/>
        </w:trPr>
        <w:tc>
          <w:tcPr>
            <w:tcW w:w="4920" w:type="dxa"/>
            <w:vAlign w:val="bottom"/>
          </w:tcPr>
          <w:p>
            <w:pPr>
              <w:ind w:left="320"/>
              <w:spacing w:after="0"/>
              <w:rPr>
                <w:sz w:val="20"/>
                <w:szCs w:val="20"/>
                <w:color w:val="auto"/>
              </w:rPr>
            </w:pPr>
            <w:r>
              <w:rPr>
                <w:rFonts w:ascii="Arial" w:cs="Arial" w:eastAsia="Arial" w:hAnsi="Arial"/>
                <w:sz w:val="17"/>
                <w:szCs w:val="17"/>
                <w:color w:val="auto"/>
              </w:rPr>
              <w:t>ZORYVE cream 0.15%</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21,741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113 %</w:t>
            </w:r>
          </w:p>
        </w:tc>
      </w:tr>
      <w:tr>
        <w:trPr>
          <w:trHeight w:val="219"/>
        </w:trPr>
        <w:tc>
          <w:tcPr>
            <w:tcW w:w="4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ZORYVE cream 0.05%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920" w:type="dxa"/>
            <w:vAlign w:val="bottom"/>
          </w:tcPr>
          <w:p>
            <w:pPr>
              <w:ind w:left="540"/>
              <w:spacing w:after="0"/>
              <w:rPr>
                <w:sz w:val="20"/>
                <w:szCs w:val="20"/>
                <w:color w:val="auto"/>
              </w:rPr>
            </w:pPr>
            <w:r>
              <w:rPr>
                <w:rFonts w:ascii="Arial" w:cs="Arial" w:eastAsia="Arial" w:hAnsi="Arial"/>
                <w:sz w:val="17"/>
                <w:szCs w:val="17"/>
                <w:color w:val="auto"/>
              </w:rPr>
              <w:t>Total product revenue, net</w:t>
            </w: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105,398</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63,846</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41,552</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65 %</w:t>
            </w: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26" w:lineRule="exact"/>
        <w:rPr>
          <w:sz w:val="20"/>
          <w:szCs w:val="20"/>
          <w:color w:val="auto"/>
        </w:rPr>
      </w:pPr>
    </w:p>
    <w:p>
      <w:pPr>
        <w:ind w:right="80" w:firstLine="188"/>
        <w:spacing w:after="0" w:line="290" w:lineRule="auto"/>
        <w:rPr>
          <w:sz w:val="20"/>
          <w:szCs w:val="20"/>
          <w:color w:val="auto"/>
        </w:rPr>
      </w:pPr>
      <w:r>
        <w:rPr>
          <w:rFonts w:ascii="Arial" w:cs="Arial" w:eastAsia="Arial" w:hAnsi="Arial"/>
          <w:sz w:val="17"/>
          <w:szCs w:val="17"/>
          <w:color w:val="auto"/>
        </w:rPr>
        <w:t>The increase in product revenue, net, for ZORYVE cream 0.3% was primarily driven by greater patient demand for ZORYVE cream in the United States and Canada.</w:t>
      </w:r>
    </w:p>
    <w:p>
      <w:pPr>
        <w:spacing w:after="0" w:line="82"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The increase in product revenue, net, for ZORYVE foam was primarily driven by greater patient demand for ZORYVE foam for the treatment of seborrheic dermatitis in the United States and Canada,and the commercial launch of ZORYVE foam for plaque psoriasis of the scalp and body in the United States in June 2025 and Canada in November 2025.</w:t>
      </w:r>
    </w:p>
    <w:p>
      <w:pPr>
        <w:spacing w:after="0" w:line="98"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The increase in product revenue, net, for ZORYVE cream 0.15% was primarily driven by greater patient demand in the United States, as well as its commercial launch in Canada in April 2025.</w:t>
      </w:r>
    </w:p>
    <w:p>
      <w:pPr>
        <w:spacing w:after="0" w:line="69" w:lineRule="exact"/>
        <w:rPr>
          <w:sz w:val="20"/>
          <w:szCs w:val="20"/>
          <w:color w:val="auto"/>
        </w:rPr>
      </w:pPr>
    </w:p>
    <w:p>
      <w:pPr>
        <w:ind w:left="620" w:right="260"/>
        <w:spacing w:after="0" w:line="427" w:lineRule="auto"/>
        <w:rPr>
          <w:sz w:val="20"/>
          <w:szCs w:val="20"/>
          <w:color w:val="auto"/>
        </w:rPr>
      </w:pPr>
      <w:r>
        <w:rPr>
          <w:rFonts w:ascii="Arial" w:cs="Arial" w:eastAsia="Arial" w:hAnsi="Arial"/>
          <w:sz w:val="17"/>
          <w:szCs w:val="17"/>
          <w:color w:val="auto"/>
        </w:rPr>
        <w:t xml:space="preserve">The increase in product revenue, net, for ZORYVE cream 0.05% was due to its commercial launch in the United States in October 2025. </w:t>
      </w:r>
      <w:r>
        <w:rPr>
          <w:rFonts w:ascii="Arial" w:cs="Arial" w:eastAsia="Arial" w:hAnsi="Arial"/>
          <w:sz w:val="17"/>
          <w:szCs w:val="17"/>
          <w:b w:val="1"/>
          <w:bCs w:val="1"/>
          <w:i w:val="1"/>
          <w:iCs w:val="1"/>
          <w:color w:val="auto"/>
        </w:rPr>
        <w:t>Cost of Sales</w:t>
      </w:r>
    </w:p>
    <w:p>
      <w:pPr>
        <w:spacing w:after="0" w:line="1" w:lineRule="exact"/>
        <w:rPr>
          <w:sz w:val="20"/>
          <w:szCs w:val="20"/>
          <w:color w:val="auto"/>
        </w:rPr>
      </w:pPr>
    </w:p>
    <w:p>
      <w:pPr>
        <w:ind w:right="140" w:firstLine="619"/>
        <w:spacing w:after="0" w:line="271" w:lineRule="auto"/>
        <w:rPr>
          <w:sz w:val="20"/>
          <w:szCs w:val="20"/>
          <w:color w:val="auto"/>
        </w:rPr>
      </w:pPr>
      <w:r>
        <w:rPr>
          <w:rFonts w:ascii="Arial" w:cs="Arial" w:eastAsia="Arial" w:hAnsi="Arial"/>
          <w:sz w:val="17"/>
          <w:szCs w:val="17"/>
          <w:color w:val="auto"/>
        </w:rPr>
        <w:t>Cost of sales increased by $ 1.0 million for the three months ended March 31, 2026, compared to the three months ended March 31, 2025, due to higher sales volumes and the associated increase in expenses recognized for product sold and royalties, partially offset by $2.4 million of catch-up amortization expense recognized in the comparative period for an AstraZeneca milestone achieved.</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8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12"/>
        </w:trPr>
        <w:tc>
          <w:tcPr>
            <w:tcW w:w="48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06"/>
        </w:trPr>
        <w:tc>
          <w:tcPr>
            <w:tcW w:w="4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6"/>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 external costs: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4880" w:type="dxa"/>
            <w:vAlign w:val="bottom"/>
          </w:tcPr>
          <w:p>
            <w:pPr>
              <w:ind w:left="320"/>
              <w:spacing w:after="0"/>
              <w:rPr>
                <w:sz w:val="20"/>
                <w:szCs w:val="20"/>
                <w:color w:val="auto"/>
              </w:rPr>
            </w:pPr>
            <w:r>
              <w:rPr>
                <w:rFonts w:ascii="Arial" w:cs="Arial" w:eastAsia="Arial" w:hAnsi="Arial"/>
                <w:sz w:val="17"/>
                <w:szCs w:val="17"/>
                <w:color w:val="auto"/>
              </w:rPr>
              <w:t>ARQ-234 program</w:t>
            </w:r>
          </w:p>
        </w:tc>
        <w:tc>
          <w:tcPr>
            <w:tcW w:w="1020" w:type="dxa"/>
            <w:vAlign w:val="bottom"/>
          </w:tcPr>
          <w:p>
            <w:pPr>
              <w:jc w:val="right"/>
              <w:ind w:right="82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11,003</w:t>
            </w:r>
          </w:p>
        </w:tc>
        <w:tc>
          <w:tcPr>
            <w:tcW w:w="100" w:type="dxa"/>
            <w:vAlign w:val="bottom"/>
          </w:tcPr>
          <w:p>
            <w:pPr>
              <w:spacing w:after="0"/>
              <w:rPr>
                <w:sz w:val="19"/>
                <w:szCs w:val="19"/>
                <w:color w:val="auto"/>
              </w:rPr>
            </w:pPr>
          </w:p>
        </w:tc>
        <w:tc>
          <w:tcPr>
            <w:tcW w:w="1020" w:type="dxa"/>
            <w:vAlign w:val="bottom"/>
          </w:tcPr>
          <w:p>
            <w:pPr>
              <w:jc w:val="right"/>
              <w:ind w:right="8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1,189</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9,814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825 %</w:t>
            </w:r>
          </w:p>
        </w:tc>
      </w:tr>
      <w:tr>
        <w:trPr>
          <w:trHeight w:val="219"/>
        </w:trPr>
        <w:tc>
          <w:tcPr>
            <w:tcW w:w="4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Topical roflumilast program</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r>
      <w:tr>
        <w:trPr>
          <w:trHeight w:val="219"/>
        </w:trPr>
        <w:tc>
          <w:tcPr>
            <w:tcW w:w="4880" w:type="dxa"/>
            <w:vAlign w:val="bottom"/>
          </w:tcPr>
          <w:p>
            <w:pPr>
              <w:ind w:left="320"/>
              <w:spacing w:after="0"/>
              <w:rPr>
                <w:sz w:val="20"/>
                <w:szCs w:val="20"/>
                <w:color w:val="auto"/>
              </w:rPr>
            </w:pPr>
            <w:r>
              <w:rPr>
                <w:rFonts w:ascii="Arial" w:cs="Arial" w:eastAsia="Arial" w:hAnsi="Arial"/>
                <w:sz w:val="17"/>
                <w:szCs w:val="17"/>
                <w:color w:val="auto"/>
              </w:rPr>
              <w:t>Other programs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Indirect costs: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4880" w:type="dxa"/>
            <w:vAlign w:val="bottom"/>
          </w:tcPr>
          <w:p>
            <w:pPr>
              <w:ind w:left="320"/>
              <w:spacing w:after="0"/>
              <w:rPr>
                <w:sz w:val="20"/>
                <w:szCs w:val="20"/>
                <w:color w:val="auto"/>
              </w:rPr>
            </w:pPr>
            <w:r>
              <w:rPr>
                <w:rFonts w:ascii="Arial" w:cs="Arial" w:eastAsia="Arial" w:hAnsi="Arial"/>
                <w:sz w:val="17"/>
                <w:szCs w:val="17"/>
                <w:color w:val="auto"/>
              </w:rPr>
              <w:t>Compensation and personnel-related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11,045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15 %</w:t>
            </w:r>
          </w:p>
        </w:tc>
      </w:tr>
      <w:tr>
        <w:trPr>
          <w:trHeight w:val="219"/>
        </w:trPr>
        <w:tc>
          <w:tcPr>
            <w:tcW w:w="4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12"/>
        </w:trPr>
        <w:tc>
          <w:tcPr>
            <w:tcW w:w="4880" w:type="dxa"/>
            <w:vAlign w:val="bottom"/>
          </w:tcPr>
          <w:p>
            <w:pPr>
              <w:ind w:left="20"/>
              <w:spacing w:after="0"/>
              <w:rPr>
                <w:sz w:val="20"/>
                <w:szCs w:val="20"/>
                <w:color w:val="auto"/>
              </w:rPr>
            </w:pPr>
            <w:r>
              <w:rPr>
                <w:rFonts w:ascii="Arial" w:cs="Arial" w:eastAsia="Arial" w:hAnsi="Arial"/>
                <w:sz w:val="17"/>
                <w:szCs w:val="17"/>
                <w:color w:val="auto"/>
              </w:rPr>
              <w:t>Total research and development expense</w:t>
            </w: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30,627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2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75 %</w:t>
            </w:r>
          </w:p>
        </w:tc>
      </w:tr>
      <w:tr>
        <w:trPr>
          <w:trHeight w:val="20"/>
        </w:trPr>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619"/>
        <w:spacing w:after="0" w:line="265" w:lineRule="auto"/>
        <w:rPr>
          <w:sz w:val="20"/>
          <w:szCs w:val="20"/>
          <w:color w:val="auto"/>
        </w:rPr>
      </w:pPr>
      <w:r>
        <w:rPr>
          <w:rFonts w:ascii="Arial" w:cs="Arial" w:eastAsia="Arial" w:hAnsi="Arial"/>
          <w:sz w:val="17"/>
          <w:szCs w:val="17"/>
          <w:color w:val="auto"/>
        </w:rPr>
        <w:t>For research and development expense, the increase in the ARQ-234 direct program costs was primarily due to the $ 10.0 million milestone that became payable to certain former Ducentis stockholders upon the dosing of the first patient in the ARQ-234 Phase 1a/1b trial. The increase in the topical roflumilast direct program costs was primarily due to the completion of enrollment and related higher patient costs in our ZORYVE foam MUSE trial for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treatment of scalp and body psoriasis in children aged 2 to 11 years. The increase in indirect costs was primarily driven by increased headcount and related compensation costs.</w:t>
      </w:r>
    </w:p>
    <w:p>
      <w:pPr>
        <w:spacing w:after="0" w:line="69"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We expect research and development expenses to continue to increase in 2026, primarily due to our clinical development program for ARQ-234, as well as the development costs associated with ZORYVE label expansions and lifecycle management efforts.</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3"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Selling, general, and administrative expenses increased by $ 10.1 million, or 16%, for the three months ended March 31, 2026, compared to the three months ended March 31, 2025. The increase was primarily due to an increase in sales and marketing expenses of $5.9 million and an increase in compensation and employee benefit related expenses of $4.4 million. These increases were primarily due to our continued commercialization efforts for ZORYVE.</w:t>
      </w:r>
    </w:p>
    <w:p>
      <w:pPr>
        <w:spacing w:after="0" w:line="91" w:lineRule="exact"/>
        <w:rPr>
          <w:sz w:val="20"/>
          <w:szCs w:val="20"/>
          <w:color w:val="auto"/>
        </w:rPr>
      </w:pPr>
    </w:p>
    <w:p>
      <w:pPr>
        <w:ind w:right="460" w:firstLine="619"/>
        <w:spacing w:after="0" w:line="290" w:lineRule="auto"/>
        <w:rPr>
          <w:sz w:val="20"/>
          <w:szCs w:val="20"/>
          <w:color w:val="auto"/>
        </w:rPr>
      </w:pPr>
      <w:r>
        <w:rPr>
          <w:rFonts w:ascii="Arial" w:cs="Arial" w:eastAsia="Arial" w:hAnsi="Arial"/>
          <w:sz w:val="17"/>
          <w:szCs w:val="17"/>
          <w:color w:val="auto"/>
        </w:rPr>
        <w:t>We expect our selling, general and administrative expenses to continue to increase in future periods as we continue to commercialize ZORYVE and potentially other product candidates, as well as support our operations.</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53"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Interest expense increased by $1.4 million for the three months ended March 31, 2026 compared to the three months ended March 31, 2025, primarily due to fees incurred to maintain the availability of the tranche C-1 and tranche C-2 term loans through March 31, 2026 and June 30, 2026, respectively.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Liquidity, Capital Resources, and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53"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Our primary sources of capital to date have been private placements of preferred stock, our IPO completed in January 2020, our follow-on financings in October 2020, February 2021, August 2022, October 2023, and March 2024, our Loan Agreement, our ATM program, and revenue from the sale of ZORYVE products. We have incurred annual operating losses since our inception and have an accumulated deficit as a result of ongoing efforts to develop and commercialize our products and product candidates, including conducting nonclinical and clinical trials and providing selling, general and administrative support for these operations. As of March 31, 2026, we had cash, cash equivalents, restricted cash, and marketable securities of $224.3 million, and an accumulated deficit of $1,149.4 million. As of March 31, 2026, we had $100.0 million outstanding under the Loan Agreement.</w:t>
      </w:r>
    </w:p>
    <w:p>
      <w:pPr>
        <w:spacing w:after="0" w:line="96" w:lineRule="exact"/>
        <w:rPr>
          <w:sz w:val="20"/>
          <w:szCs w:val="20"/>
          <w:color w:val="auto"/>
        </w:rPr>
      </w:pPr>
    </w:p>
    <w:p>
      <w:pPr>
        <w:ind w:right="20" w:firstLine="619"/>
        <w:spacing w:after="0" w:line="290" w:lineRule="auto"/>
        <w:rPr>
          <w:sz w:val="20"/>
          <w:szCs w:val="20"/>
          <w:color w:val="auto"/>
        </w:rPr>
      </w:pPr>
      <w:r>
        <w:rPr>
          <w:rFonts w:ascii="Arial" w:cs="Arial" w:eastAsia="Arial" w:hAnsi="Arial"/>
          <w:sz w:val="17"/>
          <w:szCs w:val="17"/>
          <w:color w:val="auto"/>
        </w:rPr>
        <w:t>We believe that our existing capital resources will be sufficient to meet the projected operating requirements for at least 12 months from the date of issuance of our financial statements.</w:t>
      </w:r>
    </w:p>
    <w:p>
      <w:pPr>
        <w:spacing w:after="0" w:line="82"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If our capital resources are insufficient to satisfy our requirements, we may need to fund our operations through the sale of our equity securities, accessing or incurring additional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if or when needed it may be necessary to significantly reduce our current rate of spending through, among other things, reductions in staff and delaying, scaling back, or stopping certain research and development programs, nonclinical studies, clinical trials or other development activities, and commercialization efforts. In addition, market conditions impacting financial institutions could impact our ability to access some or all of our cash, cash equivalents and marketable securities, and we may be unable to obtain alternative funding when and as needed on acceptable terms, if at all.</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80" w:firstLine="619"/>
        <w:spacing w:after="0" w:line="265" w:lineRule="auto"/>
        <w:rPr>
          <w:sz w:val="20"/>
          <w:szCs w:val="20"/>
          <w:color w:val="auto"/>
        </w:rPr>
      </w:pPr>
      <w:r>
        <w:rPr>
          <w:rFonts w:ascii="Arial" w:cs="Arial" w:eastAsia="Arial" w:hAnsi="Arial"/>
          <w:sz w:val="17"/>
          <w:szCs w:val="17"/>
          <w:color w:val="auto"/>
        </w:rPr>
        <w:t>We have based our projected operating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Any future funding requirements will depend on many factors, including, but not limited to:</w:t>
      </w:r>
    </w:p>
    <w:p>
      <w:pPr>
        <w:spacing w:after="0" w:line="91" w:lineRule="exact"/>
        <w:rPr>
          <w:sz w:val="20"/>
          <w:szCs w:val="20"/>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receipt, and amount of sales of any current and future products;</w:t>
      </w:r>
    </w:p>
    <w:p>
      <w:pPr>
        <w:spacing w:after="0" w:line="152" w:lineRule="exact"/>
        <w:rPr>
          <w:rFonts w:ascii="Arial" w:cs="Arial" w:eastAsia="Arial" w:hAnsi="Arial"/>
          <w:sz w:val="17"/>
          <w:szCs w:val="17"/>
          <w:color w:val="auto"/>
        </w:rPr>
      </w:pPr>
    </w:p>
    <w:p>
      <w:pPr>
        <w:jc w:val="both"/>
        <w:ind w:left="780" w:right="420" w:hanging="158"/>
        <w:spacing w:after="0" w:line="271"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or any future product candidates, and conducting nonclinical studies and clinical trials, in particular our planned or ongoing development activities and our formulation and nonclinical efforts;</w:t>
      </w:r>
    </w:p>
    <w:p>
      <w:pPr>
        <w:spacing w:after="0" w:line="98" w:lineRule="exact"/>
        <w:rPr>
          <w:rFonts w:ascii="Arial" w:cs="Arial" w:eastAsia="Arial" w:hAnsi="Arial"/>
          <w:sz w:val="17"/>
          <w:szCs w:val="17"/>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suspensions or delays in the enrollment or changes to the number of subjects we decide to enroll in our ongoing clinical trials;</w:t>
      </w:r>
    </w:p>
    <w:p>
      <w:pPr>
        <w:spacing w:after="0" w:line="139" w:lineRule="exact"/>
        <w:rPr>
          <w:rFonts w:ascii="Arial" w:cs="Arial" w:eastAsia="Arial" w:hAnsi="Arial"/>
          <w:sz w:val="17"/>
          <w:szCs w:val="17"/>
          <w:color w:val="auto"/>
        </w:rPr>
      </w:pPr>
    </w:p>
    <w:p>
      <w:pPr>
        <w:ind w:left="780" w:right="520" w:hanging="158"/>
        <w:spacing w:after="0" w:line="290"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number and scope of clinical programs we decide to pursue, and the number and characteristics of any product candidates we develop or acquire;</w:t>
      </w:r>
    </w:p>
    <w:p>
      <w:pPr>
        <w:spacing w:after="0" w:line="81" w:lineRule="exact"/>
        <w:rPr>
          <w:rFonts w:ascii="Arial" w:cs="Arial" w:eastAsia="Arial" w:hAnsi="Arial"/>
          <w:sz w:val="17"/>
          <w:szCs w:val="17"/>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w:t>
      </w:r>
    </w:p>
    <w:p>
      <w:pPr>
        <w:spacing w:after="0" w:line="152" w:lineRule="exact"/>
        <w:rPr>
          <w:rFonts w:ascii="Arial" w:cs="Arial" w:eastAsia="Arial" w:hAnsi="Arial"/>
          <w:sz w:val="17"/>
          <w:szCs w:val="17"/>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number and characteristics of any additional product candidates we develop or acquire;</w:t>
      </w:r>
    </w:p>
    <w:p>
      <w:pPr>
        <w:spacing w:after="0" w:line="139" w:lineRule="exact"/>
        <w:rPr>
          <w:rFonts w:ascii="Arial" w:cs="Arial" w:eastAsia="Arial" w:hAnsi="Arial"/>
          <w:sz w:val="17"/>
          <w:szCs w:val="17"/>
          <w:color w:val="auto"/>
        </w:rPr>
      </w:pPr>
    </w:p>
    <w:p>
      <w:pPr>
        <w:ind w:left="780" w:right="240" w:hanging="158"/>
        <w:spacing w:after="0" w:line="290"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 of manufacturing ZORYVE or any future product candidates and any products we successfully commercialize, including costs associated with building out our supply chain;</w:t>
      </w:r>
    </w:p>
    <w:p>
      <w:pPr>
        <w:spacing w:after="0" w:line="81" w:lineRule="exact"/>
        <w:rPr>
          <w:rFonts w:ascii="Arial" w:cs="Arial" w:eastAsia="Arial" w:hAnsi="Arial"/>
          <w:sz w:val="17"/>
          <w:szCs w:val="17"/>
          <w:color w:val="auto"/>
        </w:rPr>
      </w:pPr>
    </w:p>
    <w:p>
      <w:pPr>
        <w:ind w:left="780" w:right="340" w:hanging="158"/>
        <w:spacing w:after="0" w:line="290"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 of commercialization activities for ZORYVE or any future product candidates that are approved for sale, including marketing, sales and distribution costs, and any discounts or rebates to obtain access;</w:t>
      </w:r>
    </w:p>
    <w:p>
      <w:pPr>
        <w:spacing w:after="0" w:line="81" w:lineRule="exact"/>
        <w:rPr>
          <w:rFonts w:ascii="Arial" w:cs="Arial" w:eastAsia="Arial" w:hAnsi="Arial"/>
          <w:sz w:val="17"/>
          <w:szCs w:val="17"/>
          <w:color w:val="auto"/>
        </w:rPr>
      </w:pPr>
    </w:p>
    <w:p>
      <w:pPr>
        <w:ind w:left="780" w:hanging="158"/>
        <w:spacing w:after="0" w:line="290"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acquire attractive assets or businesses or to establish and maintain strategic collaborations, licensing or other arrangements and the financial terms of any such agreements that we may enter into;</w:t>
      </w:r>
    </w:p>
    <w:p>
      <w:pPr>
        <w:spacing w:after="0" w:line="69" w:lineRule="exact"/>
        <w:rPr>
          <w:rFonts w:ascii="Arial" w:cs="Arial" w:eastAsia="Arial" w:hAnsi="Arial"/>
          <w:sz w:val="17"/>
          <w:szCs w:val="17"/>
          <w:color w:val="auto"/>
        </w:rPr>
      </w:pPr>
    </w:p>
    <w:p>
      <w:pPr>
        <w:ind w:left="780" w:right="740" w:hanging="158"/>
        <w:spacing w:after="0" w:line="290" w:lineRule="auto"/>
        <w:tabs>
          <w:tab w:leader="none" w:pos="77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related to milestone payments to AstraZeneca or any future collaborator or licensing partner, upon the achievement of predetermined milestones;</w:t>
      </w:r>
    </w:p>
    <w:p>
      <w:pPr>
        <w:spacing w:after="0" w:line="81" w:lineRule="exact"/>
        <w:rPr>
          <w:rFonts w:ascii="Arial" w:cs="Arial" w:eastAsia="Arial" w:hAnsi="Arial"/>
          <w:sz w:val="17"/>
          <w:szCs w:val="17"/>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product liability or other lawsuits related to our products;</w:t>
      </w:r>
    </w:p>
    <w:p>
      <w:pPr>
        <w:spacing w:after="0" w:line="152" w:lineRule="exact"/>
        <w:rPr>
          <w:rFonts w:ascii="Arial" w:cs="Arial" w:eastAsia="Arial" w:hAnsi="Arial"/>
          <w:sz w:val="17"/>
          <w:szCs w:val="17"/>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expenses needed to attract and retain skilled personnel;</w:t>
      </w:r>
    </w:p>
    <w:p>
      <w:pPr>
        <w:spacing w:after="0" w:line="139" w:lineRule="exact"/>
        <w:rPr>
          <w:rFonts w:ascii="Arial" w:cs="Arial" w:eastAsia="Arial" w:hAnsi="Arial"/>
          <w:sz w:val="17"/>
          <w:szCs w:val="17"/>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disputes, lawsuits, or other legal proceedings related to contracts or employment matters;</w:t>
      </w:r>
    </w:p>
    <w:p>
      <w:pPr>
        <w:spacing w:after="0" w:line="152" w:lineRule="exact"/>
        <w:rPr>
          <w:rFonts w:ascii="Arial" w:cs="Arial" w:eastAsia="Arial" w:hAnsi="Arial"/>
          <w:sz w:val="17"/>
          <w:szCs w:val="17"/>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our intellectual property portfolio; and</w:t>
      </w:r>
    </w:p>
    <w:p>
      <w:pPr>
        <w:spacing w:after="0" w:line="152" w:lineRule="exact"/>
        <w:rPr>
          <w:rFonts w:ascii="Arial" w:cs="Arial" w:eastAsia="Arial" w:hAnsi="Arial"/>
          <w:sz w:val="17"/>
          <w:szCs w:val="17"/>
          <w:color w:val="auto"/>
        </w:rPr>
      </w:pPr>
    </w:p>
    <w:p>
      <w:pPr>
        <w:ind w:left="780" w:hanging="15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associated with any adverse market conditions or other macroeconomic factors.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40"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On December 22, 2021, we entered into a loan and security agreement (the Prior Loan Agreement) with SLR Investment Corp (SLR) and the lenders party thereto. The Prior Loan Agreement was amended and restated on January 10, 2023 (the AR Loan Agreement) to include Arcutis Canada, Inc., a corporation incorporated under the laws of the Province of Ontario, as a borrower and party. On November 1, 2023, we entered into an amendment to the AR Loan Agreement to, among others, (i) modify the financial covenant relating to minimum net product revenue, and (ii) include an additional minimum financing covenant. On August 9, 2024, we entered into a second amendment to the AR Loan Agreement (the AR Loan Agreement, as amended by the first and second amendments, the Loan Agreement) to, among others, (i) permit, during the period commencing on October 7, 2024 and ending on December 15, 2024, an optional partial prepayment of term loans outstanding, subject to a 1.0% prepayment penalty (the 2024 Partial Prepayment), (ii) add the tranche C-1 and tranche C-2 term loans, and (iii) facilitate certain other changes, including with respect to the applicable interest rate and maturity date in the event of a 2024 Partial Prepayment. The term loan facility is comprised of (i) a tranche A term loan of $75.0 million, (ii) a tranche B-1 term loan of $50.0 million, (iii) a tranche B-2 term loan of up to $75.0 million, (iv) a tranche C-1 term loan of up to $50.0 million, and (v) a tranche C-2 term loan of up to $50.0 million (collectively, the Term Loans). The tranche A term loan was funded in December 2021. With the approval of ZORYVE cream 0.3% on July 29, 2022, the tranche B term loans were funded in August 2022. As of March 31, 2026 and December 31, 2025, the aggregate principal amount outstanding under the Loan Agreement was $100.0 million.</w:t>
      </w:r>
    </w:p>
    <w:p>
      <w:pPr>
        <w:spacing w:after="0" w:line="113"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In October 2024, we made a 2024 Partial Prepayment of $ 100.0 million, which reduced the aggregate principal amount outstanding under the Loan Agreement to $100.0 million. In connection with the 2024 Partial Prepayment, we are obligated to pay a prepayment penalty of $1.0 million by June 30, 2026 and a final fee of $6.95 million, representing the final fee applicable to the amount of the 2024 Partial Prepayment, on January 1, 2027. As a result of such 2024 Partial Prepayment, subject to us generating a minimum net product revenue for the trailing six (6) month period ending as of the month prior to the borrowing date equal to 80% of our projected net product revenue as set forth in its annual plan for the respective period, we obtained the ability to draw down the tranche C-1 and tranche C-2 term loans. The tranche C-1 term loan availability expired on March 31, 2026 and the tranche C-2 term loan availability will expire on June 30, 2026. In addition, as a result of the 2024 Partial Prepayment, (i) the maturity date of the Loan Agreement is August 1, 2029 (such date, the Maturity Date), (ii) the applicable per annum interest rate is equal to</w:t>
      </w:r>
    </w:p>
    <w:p>
      <w:pPr>
        <w:spacing w:after="0" w:line="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5.95% plus the greater of (a) 2.50% per annum and (b) the one-month Secured Overnight Financing Rate (SOFR), (iii) we are no longer subject to certain cost and purchase price restrictions regarding acquisitions, and (iv) we may prepay principal amounts outstanding under the Term Loans in minimum increments of $25.0 million, subject to a prepayment premium of (a) 3.0% for any prepayment made prior to the first anniversary of the second amendment, (b) 2.0% for any prepayment made after the first anniversary of the second amendment and prior to the second anniversary of the second amendment, or (c) 1.0% for any prepayment made after the second anniversary of the second amendment and prior to the Maturity Date.</w:t>
      </w:r>
    </w:p>
    <w:p>
      <w:pPr>
        <w:spacing w:after="0" w:line="112"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Principal amounts outstanding under the Term Loans will generally accrue interest at a floating rate equal to the applicable rate in effect from time to time, as determined by SLR on the third business day prior to the funding date of the applicable Term Loan and on the first business day of the month prior to each payment date of each Term Loan. Prior to the 2024 Partial Prepayment, the applicable rate was a per annum interest rate equal to 7.45% plus the greater of (a) 0.10% and (b) the one-month SOFR. As a result of such 2024 Partial Prepayment, the applicable interest rate will be a per annum interest rate equal to 5.95% plus the greater of (a) 2.50% and (b) the one-month SOFR. On March 31, 2026, the rate was 9.61%. The benchmark SOFR is subject to change in the event of certain events with respect to the benchmark rate. Interest payments are payable monthly following the funding of any Term Loan. Any principal amounts outstanding under the Term Loans, if not repaid or prepaid, are due and payable on August 1, 2029.</w:t>
      </w:r>
    </w:p>
    <w:p>
      <w:pPr>
        <w:spacing w:after="0" w:line="98"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As security for the obligations under the Loan Agreement, we granted SLR, for the benefit of the lenders, a continuing security interest in substantially all of our assets, including our intellectual property, subject to certain exceptions.</w:t>
      </w:r>
    </w:p>
    <w:p>
      <w:pPr>
        <w:spacing w:after="0" w:line="82"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If the Term Loans are accelerated due to, among others, the occurrence of a bankruptcy or insolvency event, we are required to make certain mandatory prepayments of (i) all principal amounts outstanding under the Term Loans, plus accrued and unpaid interest thereon through the prepayment date, (ii) any fees applicable by reason of such prepayment, (iii) the prepayment premiums set forth in the paragraph above, plus (iv) all other obligations that are due and payable, including expenses and interest at the Default Rate (as defined below) with respect to any past due amounts.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also agreed to a financial covenant whereby we must generate a minimum net product revenue equal to 75% of our projected net product revenue as set forth in our annual plan for the respective period, tested on a trailing six-month basis as of the end of each month. Each annual plan shall be approved by our board of directors and SLR, in its capacity as collateral agent, in its reasonable discretion. Any failure by us to deliver such annual plan on or before December 15 of the prior year shall be an immediate event of default.</w:t>
      </w:r>
    </w:p>
    <w:p>
      <w:pPr>
        <w:spacing w:after="0" w:line="101"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In addition, the Loan Agreement contains customary events of default that entitle the lenders to cause any indebtedness under the Loan Agreement to become immediately due and payable, and to exercise remedies against us and the collateral securing the Term Loans. Upon the occurrence and for the duration of an event of default, an additional default interest rate (the Default Rate) equal to 4.0% per annum will apply to all obligations owed under the Loan Agreement.</w:t>
      </w:r>
    </w:p>
    <w:p>
      <w:pPr>
        <w:spacing w:after="0" w:line="104" w:lineRule="exact"/>
        <w:rPr>
          <w:sz w:val="20"/>
          <w:szCs w:val="20"/>
          <w:color w:val="auto"/>
        </w:rPr>
      </w:pPr>
    </w:p>
    <w:p>
      <w:pPr>
        <w:ind w:right="60" w:firstLine="619"/>
        <w:spacing w:after="0" w:line="263" w:lineRule="auto"/>
        <w:rPr>
          <w:sz w:val="20"/>
          <w:szCs w:val="20"/>
          <w:color w:val="auto"/>
        </w:rPr>
      </w:pPr>
      <w:r>
        <w:rPr>
          <w:rFonts w:ascii="Arial" w:cs="Arial" w:eastAsia="Arial" w:hAnsi="Arial"/>
          <w:sz w:val="17"/>
          <w:szCs w:val="17"/>
          <w:color w:val="auto"/>
        </w:rPr>
        <w:t>In connection with the Loan Agreement, we are obligated to pay (i) a final fee equal to 6.95% of the aggregate original principal amount of the Term Loans outstanding as of the date of the second amendment, (x) with respect to any 2024 Partial Prepayment, upon the earliest to occur of</w:t>
      </w:r>
    </w:p>
    <w:p>
      <w:pPr>
        <w:ind w:firstLine="3"/>
        <w:spacing w:after="0" w:line="254" w:lineRule="auto"/>
        <w:tabs>
          <w:tab w:leader="none" w:pos="277" w:val="left"/>
        </w:tabs>
        <w:numPr>
          <w:ilvl w:val="0"/>
          <w:numId w:val="7"/>
        </w:numPr>
        <w:rPr>
          <w:rFonts w:ascii="Arial" w:cs="Arial" w:eastAsia="Arial" w:hAnsi="Arial"/>
          <w:sz w:val="17"/>
          <w:szCs w:val="17"/>
          <w:color w:val="auto"/>
        </w:rPr>
      </w:pPr>
      <w:r>
        <w:rPr>
          <w:rFonts w:ascii="Arial" w:cs="Arial" w:eastAsia="Arial" w:hAnsi="Arial"/>
          <w:sz w:val="17"/>
          <w:szCs w:val="17"/>
          <w:color w:val="auto"/>
        </w:rPr>
        <w:t>January 1, 2027, (B) the acceleration of all outstanding Term Loans and (C) the prepayment, or refinancing, substitution or replacement of all outstanding Term Loans, and (y) with respect to the Term Loans outstanding as of the date of the second amendment (other than 2024 Partial Prepayment), upon the earliest to occur of (A) the Maturity Date, (B) the acceleration of all outstanding Term Loans and (C) the prepayment, or refinancing, substitution or replacement of all outstanding Term Loans, (ii) a 2.00% fee with respect to tranche C term loans, due and payable on the earliest to occur of (A) the Maturity Date, (B) the acceleration of all outstanding Term Loans and (C) the prepayment, or refinancing, substitution or replacement of all outstanding Term Loans, (iii) a 2.00% extension fee with respect to tranche C term loans which remain unfunded after December 31, 2025 which shall accrue during the period commencing January 1, 2026, and ending on the earliest to occur of (A) the expiration of the tranche C term loan availability, and (B) the date on which tranche C term loan is fully drawn, and (iv) a certain amount of lenders’ expenses incurred in connection with the execution of the Loan Agreement. Additionally, in connection with the original Prior Loan Agreement, we previously had entered into an Exit Fee Agreement, whereby we agreed to pay an exit fee in the amount of 3.0% of each Term Loan funded upon (i) any change of control transaction or (ii) a revenue milestone, calculated on a trailing six-month basis. Notwithstanding the prepayment or termination of the Term Loan, the exit fee will expire 10 years from the date of the Loan Agreement.</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were in compliance with all covenants under the Loan Agreement as of March 31, 2026.</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cash flows for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186"/>
        </w:trPr>
        <w:tc>
          <w:tcPr>
            <w:tcW w:w="7180" w:type="dxa"/>
            <w:vAlign w:val="bottom"/>
          </w:tcPr>
          <w:p>
            <w:pPr>
              <w:spacing w:after="0"/>
              <w:rPr>
                <w:sz w:val="16"/>
                <w:szCs w:val="16"/>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2026</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r>
      <w:tr>
        <w:trPr>
          <w:trHeight w:val="244"/>
        </w:trPr>
        <w:tc>
          <w:tcPr>
            <w:tcW w:w="7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1280" w:type="dxa"/>
            <w:vAlign w:val="bottom"/>
            <w:shd w:val="clear" w:color="auto" w:fill="CCEEFF"/>
          </w:tcPr>
          <w:p>
            <w:pPr>
              <w:jc w:val="right"/>
              <w:ind w:right="108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(30,380)</w:t>
            </w:r>
          </w:p>
        </w:tc>
      </w:tr>
      <w:tr>
        <w:trPr>
          <w:trHeight w:val="219"/>
        </w:trPr>
        <w:tc>
          <w:tcPr>
            <w:tcW w:w="718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(11,332)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11,750</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r>
      <w:tr>
        <w:trPr>
          <w:trHeight w:val="21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3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1280" w:type="dxa"/>
            <w:vAlign w:val="bottom"/>
            <w:tcBorders>
              <w:bottom w:val="single" w:sz="8" w:color="auto"/>
            </w:tcBorders>
            <w:shd w:val="clear" w:color="auto" w:fill="CCEEFF"/>
          </w:tcPr>
          <w:p>
            <w:pPr>
              <w:jc w:val="right"/>
              <w:ind w:right="108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(18,231)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Cash Provided by (Used in) Operating Activities</w:t>
      </w:r>
    </w:p>
    <w:p>
      <w:pPr>
        <w:spacing w:after="0" w:line="153" w:lineRule="exact"/>
        <w:rPr>
          <w:sz w:val="20"/>
          <w:szCs w:val="20"/>
          <w:color w:val="auto"/>
        </w:rPr>
      </w:pPr>
    </w:p>
    <w:p>
      <w:pPr>
        <w:jc w:val="both"/>
        <w:ind w:right="180" w:firstLine="619"/>
        <w:spacing w:after="0" w:line="265" w:lineRule="auto"/>
        <w:rPr>
          <w:sz w:val="20"/>
          <w:szCs w:val="20"/>
          <w:color w:val="auto"/>
        </w:rPr>
      </w:pPr>
      <w:r>
        <w:rPr>
          <w:rFonts w:ascii="Arial" w:cs="Arial" w:eastAsia="Arial" w:hAnsi="Arial"/>
          <w:sz w:val="17"/>
          <w:szCs w:val="17"/>
          <w:color w:val="auto"/>
        </w:rPr>
        <w:t>During the three months ended March 31, 2026, net cash provided by operating activities consisted of a net loss of $11.3 million, adjusted for certain non-cash charges of $11.7 million and net changes in operating assets and liabilities of $1.8 million. Non-cash items primarily related to stock-based compensation expense of $10.7 million. The overall increase in cash from changes in our net operating assets and liabilities was the result of increasing collections of our accounts receivable and an increase in accrued liabilities, in part due to the $10.0 million Ducentis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milestone liability recorded and payable as of March 31, 2026, partially offset by a reduction in accrued compensation as a result of paying our prior year annual bonus for employees in the first quarter of the current year. Other fluctuations in our operating assets and liabilities were due to the timing of payments made to third parties.</w:t>
      </w:r>
    </w:p>
    <w:p>
      <w:pPr>
        <w:spacing w:after="0" w:line="86" w:lineRule="exact"/>
        <w:rPr>
          <w:sz w:val="20"/>
          <w:szCs w:val="20"/>
          <w:color w:val="auto"/>
        </w:rPr>
      </w:pPr>
    </w:p>
    <w:p>
      <w:pPr>
        <w:jc w:val="both"/>
        <w:ind w:right="140" w:firstLine="619"/>
        <w:spacing w:after="0" w:line="263" w:lineRule="auto"/>
        <w:rPr>
          <w:sz w:val="20"/>
          <w:szCs w:val="20"/>
          <w:color w:val="auto"/>
        </w:rPr>
      </w:pPr>
      <w:r>
        <w:rPr>
          <w:rFonts w:ascii="Arial" w:cs="Arial" w:eastAsia="Arial" w:hAnsi="Arial"/>
          <w:sz w:val="17"/>
          <w:szCs w:val="17"/>
          <w:color w:val="auto"/>
        </w:rPr>
        <w:t>During the three months ended March 31, 2025, net cash used by operating activities consisted of a net loss of $25.1 million, adjusted for certain non-cash charges of $12.4 million and offset by a decrease in net working capital of $17.7 million. Non-cash items primarily included stock-based compensation expense of $9.8 million and amortization of intangible assets of $3.0 million.</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Cash Provided by (Used in) Investing Activities</w:t>
      </w:r>
    </w:p>
    <w:p>
      <w:pPr>
        <w:spacing w:after="0" w:line="153"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During the three months ended March 31, 2026, net cash used by investing activities was comprised primarily of purchases of marketable securities of $62.2 million, partially offset by maturities of marketable securities of $50.8 million.</w:t>
      </w:r>
    </w:p>
    <w:p>
      <w:pPr>
        <w:spacing w:after="0" w:line="69" w:lineRule="exact"/>
        <w:rPr>
          <w:sz w:val="20"/>
          <w:szCs w:val="20"/>
          <w:color w:val="auto"/>
        </w:rPr>
      </w:pPr>
    </w:p>
    <w:p>
      <w:pPr>
        <w:ind w:right="660" w:firstLine="619"/>
        <w:spacing w:after="0" w:line="290" w:lineRule="auto"/>
        <w:rPr>
          <w:sz w:val="20"/>
          <w:szCs w:val="20"/>
          <w:color w:val="auto"/>
        </w:rPr>
      </w:pPr>
      <w:r>
        <w:rPr>
          <w:rFonts w:ascii="Arial" w:cs="Arial" w:eastAsia="Arial" w:hAnsi="Arial"/>
          <w:sz w:val="17"/>
          <w:szCs w:val="17"/>
          <w:color w:val="auto"/>
        </w:rPr>
        <w:t>During the three months ended March 31, 2025, net cash provided by investing activities was comprised primarily of proceeds from maturities of marketable securities of $68.5 million, partially offset by purchases of marketable securities of $56.1 million.</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153"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During the three months ended March 31, 2026 and March 31, 2025, net cash provided by financing activities was comprised of proceeds from the issuance of our common stock upon exercise of stock options.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Contractual Obligations and Contingent Liabilities</w:t>
      </w:r>
    </w:p>
    <w:p>
      <w:pPr>
        <w:spacing w:after="0" w:line="142" w:lineRule="exact"/>
        <w:rPr>
          <w:sz w:val="20"/>
          <w:szCs w:val="20"/>
          <w:color w:val="auto"/>
        </w:rPr>
      </w:pPr>
    </w:p>
    <w:p>
      <w:pPr>
        <w:ind w:right="140" w:firstLine="619"/>
        <w:spacing w:after="0" w:line="249" w:lineRule="auto"/>
        <w:rPr>
          <w:sz w:val="20"/>
          <w:szCs w:val="20"/>
          <w:color w:val="auto"/>
        </w:rPr>
      </w:pPr>
      <w:r>
        <w:rPr>
          <w:rFonts w:ascii="Arial" w:cs="Arial" w:eastAsia="Arial" w:hAnsi="Arial"/>
          <w:sz w:val="17"/>
          <w:szCs w:val="17"/>
          <w:color w:val="auto"/>
        </w:rPr>
        <w:t>Other than the change related to Ducentis described in Note 6 to the condensed consolidated financial statements in Item 1, there have been no material changes to our contractual obligations and commitments outside the ordinary course of business as described in “Management’s Discussion and Analysis of Financial Condition and Results of Operations” in our Annual Report on Form 10-K for the year ended December 31, 2025.</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5" w:lineRule="exact"/>
        <w:rPr>
          <w:sz w:val="20"/>
          <w:szCs w:val="20"/>
          <w:color w:val="auto"/>
        </w:rPr>
      </w:pPr>
    </w:p>
    <w:p>
      <w:pPr>
        <w:ind w:right="200" w:firstLine="619"/>
        <w:spacing w:after="0" w:line="260"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March 31, 2026, we had cash and cash equivalents of $34.8 million, restricted cash of $0.3 million, and marketable securities of $189.2 million; which consist of bank deposits, money market funds, commercial paper, government securities, and corporate debt securities. The primary objective of our investment activities is to preserve capital to fund our operations. We also seek to maximize income from our investments without assuming significant risk. Because our investments are primarily short-term in duration, we believe that this exposure to interest rate risk is not significant, and a 1% movement in market interest rates would not have a significant impact on the total value of our portfolio.</w:t>
      </w:r>
    </w:p>
    <w:p>
      <w:pPr>
        <w:spacing w:after="0" w:line="109"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In addition, as of March 31, 2026, we had $100.0 million outstanding under our Loan Agreement. Amounts outstanding under our Loan Agreement bear interest at a floating rate equal to a per annum interest rate equal to 5.95% plus the greater of (a) 2.50% and (b) the one-month Secured Overnight Financing Rate (SOFR). The benchmark SOFR is subject to change in the event of certain events with respect to the benchmark rate. As a result, we are exposed to risks related to our indebtedness from changes in interest rates. Based on the amount outstanding under our Loan Agreement as of March 31, 2026, for every 100 basis point increase in the interest rates, we would incur approximately $1.0 million of additional annual interest expense. We do not currently engage in hedging transactions to manage our exposure to interest rate risk, but higher interest expense would be offset in part by higher earnings on our cash and marketable securities. We may in the future use swaps, caps, collars, structured collars or other common derivative financial instruments to reduce interest rate risk. It is difficult to predict the effect that future hedging activities would have on our operating results.</w:t>
      </w:r>
    </w:p>
    <w:p>
      <w:pPr>
        <w:spacing w:after="0" w:line="101"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The majority of our transactions occur in U.S. dollars, however, we are exposed to foreign currency exchange risk as our Canadian subsidiary operates with the Canadian dollar as its functional currency. The fluctuation in the value of the U.S. dollar against the Canadian dollar affects the reported amounts of expenses, assets and liabilities. If we would expand our international operations our exposure to exchange rate fluctuations will increase. At March 31, 2026 we had cash balances denominated in Canadian dollars of $6.4 million. We currently do not hedge any foreign currency exposure. A hypothetical 10% change in foreign exchange rates during any of the periods presented would not have a material impact on our condensed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40" w:lineRule="exact"/>
        <w:rPr>
          <w:sz w:val="20"/>
          <w:szCs w:val="20"/>
          <w:color w:val="auto"/>
        </w:rPr>
      </w:pPr>
    </w:p>
    <w:p>
      <w:pPr>
        <w:ind w:right="120" w:firstLine="619"/>
        <w:spacing w:after="0" w:line="244" w:lineRule="auto"/>
        <w:rPr>
          <w:sz w:val="20"/>
          <w:szCs w:val="20"/>
          <w:color w:val="auto"/>
        </w:rPr>
      </w:pPr>
      <w:r>
        <w:rPr>
          <w:rFonts w:ascii="Arial" w:cs="Arial" w:eastAsia="Arial" w:hAnsi="Arial"/>
          <w:sz w:val="17"/>
          <w:szCs w:val="17"/>
          <w:color w:val="auto"/>
        </w:rPr>
        <w:t>Based on an evaluation under the supervision of and with the participation of our management, our Chief Executive Officer and Chief Financial Officer have concluded that our disclosure controls and procedures (as defined in Rules 13a-15(e) and 15d-15(e) under the Exchange Act) were effective as of March 31, 2026, to provide reasonable assurance that information required to be disclosed by us in reports that we file or submit under the Exchange Act is recorded, processed, summarized, and reported within the time periods specified in the rules and forms of the SEC, and that such required information is accumulated and communicated to our management, including our Chief Executive Officer and Chief Financial Officer, as appropriate to allow timely decisions regarding required disclosures.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53"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There were no changes in our internal control over financial reporting during the three months ended March 31,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5" w:lineRule="exact"/>
        <w:rPr>
          <w:sz w:val="20"/>
          <w:szCs w:val="20"/>
          <w:color w:val="auto"/>
        </w:rPr>
      </w:pPr>
    </w:p>
    <w:p>
      <w:pPr>
        <w:ind w:right="40" w:firstLine="619"/>
        <w:spacing w:after="0"/>
        <w:rPr>
          <w:sz w:val="20"/>
          <w:szCs w:val="20"/>
          <w:color w:val="auto"/>
        </w:rPr>
      </w:pPr>
      <w:r>
        <w:rPr>
          <w:rFonts w:ascii="Arial" w:cs="Arial" w:eastAsia="Arial" w:hAnsi="Arial"/>
          <w:sz w:val="17"/>
          <w:szCs w:val="17"/>
          <w:color w:val="auto"/>
        </w:rPr>
        <w:t>Arcutis Biotherapeutics, Inc. filed a lawsuit against Padagis Israel Pharmaceuticals Ltd., Padagis US LLC, and Padagis LLC (collectively, Padagis) in the U.S. District Court for the District of Delaware on March 27, 2024, based on the submission to the FDA of an Abbreviated New Drug Application (ANDA) seeking approval to market and sell a generic version of Arcutis’ ZORYVE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0.3% cream for the treatment of plaque psoriasis. The Company asserts infringement of the following eleven patents, which are listed in the FDA’s Orange Book for Arcutis’ ZORYVE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0.3% cream: 9,884,050; 9,907,788; 10,940,142; 11,129,818; 11,793,796; 11,819,496; 11,992,480; 12,005,051; 12,005,052; 12,011,437; and 12,016,848 (collectively, Asserted Patents). Arcutis seeks a judgment that Padagis has infringed or will infringe one or more claims of each of the Asserted Patents and based on that judgment, a permanent injunction prohibiting the commercial manufacture, use, offer to sell, or sale within the United States or importation into the United States of Padagis’s proposed generic product before expiration of each of the Asserted Patents found to be infringed.</w:t>
      </w:r>
    </w:p>
    <w:p>
      <w:pPr>
        <w:spacing w:after="0" w:line="124" w:lineRule="exact"/>
        <w:rPr>
          <w:sz w:val="20"/>
          <w:szCs w:val="20"/>
          <w:color w:val="auto"/>
        </w:rPr>
      </w:pPr>
    </w:p>
    <w:p>
      <w:pPr>
        <w:ind w:firstLine="619"/>
        <w:spacing w:after="0" w:line="242" w:lineRule="auto"/>
        <w:rPr>
          <w:sz w:val="20"/>
          <w:szCs w:val="20"/>
          <w:color w:val="auto"/>
        </w:rPr>
      </w:pPr>
      <w:r>
        <w:rPr>
          <w:rFonts w:ascii="Arial" w:cs="Arial" w:eastAsia="Arial" w:hAnsi="Arial"/>
          <w:sz w:val="17"/>
          <w:szCs w:val="17"/>
          <w:color w:val="auto"/>
        </w:rPr>
        <w:t>In March 2025, Arcutis agreed to file a joint stipulation to stay the ongoing patent litigation with Padagis at the request of Padagis. On April 3, 2025, the court stayed the case and cancelled all case deadlines, including the trial. The automatic 30-month stay of FDA approval of Padagis’s ANDA seeking approval for Arcutis’s ZORYVE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0.3% cream was set to expire on August 14, 2026. The 30-month stay will be extended for each day the stay is in place, starting March 24, 2025, until the stay is lifted.</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may from time to time be involved in various legal proceedings of a character normally incident to the ordinary course of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We are not currently a defendant in any material litigation or other material legal proceedings.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For a discussion of our potential risks and uncertainties, see the information in Part I, "Part I, Item 1A. Risk Factors” in our Annual Report on Form 10-K for the year ended December 31, 2025. There have been no material changes to the risk factors disclosed in our Annual Report on Form 10-K for the year ended December 31, 2025.</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Trading Plans</w:t>
      </w:r>
    </w:p>
    <w:p>
      <w:pPr>
        <w:spacing w:after="0" w:line="140" w:lineRule="exact"/>
        <w:rPr>
          <w:sz w:val="20"/>
          <w:szCs w:val="20"/>
          <w:color w:val="auto"/>
        </w:rPr>
      </w:pPr>
    </w:p>
    <w:p>
      <w:pPr>
        <w:jc w:val="both"/>
        <w:ind w:right="340" w:firstLine="619"/>
        <w:spacing w:after="0" w:line="271" w:lineRule="auto"/>
        <w:rPr>
          <w:sz w:val="20"/>
          <w:szCs w:val="20"/>
          <w:color w:val="auto"/>
        </w:rPr>
      </w:pPr>
      <w:r>
        <w:rPr>
          <w:rFonts w:ascii="Arial" w:cs="Arial" w:eastAsia="Arial" w:hAnsi="Arial"/>
          <w:sz w:val="17"/>
          <w:szCs w:val="17"/>
          <w:color w:val="auto"/>
        </w:rPr>
        <w:t>On March 13, 2026, Howard G. Welgus, M.D., a member of our Board of Directors, entered into a Rule 10b5-1 trading plan, intended to satisfy the affirmative defense of Rule 10b5-1(c) under the Exchange Act. The plan provided for the potential exercise and sale of up to 49,134 options, as well as the potential sale of 7,609 shares resulting from RSUs vesting between June 15, 2026 and June 15, 2027.</w:t>
      </w:r>
    </w:p>
    <w:p>
      <w:pPr>
        <w:spacing w:after="0" w:line="98" w:lineRule="exact"/>
        <w:rPr>
          <w:sz w:val="20"/>
          <w:szCs w:val="20"/>
          <w:color w:val="auto"/>
        </w:rPr>
      </w:pPr>
    </w:p>
    <w:p>
      <w:pPr>
        <w:jc w:val="both"/>
        <w:ind w:right="220" w:firstLine="619"/>
        <w:spacing w:after="0" w:line="271" w:lineRule="auto"/>
        <w:rPr>
          <w:sz w:val="20"/>
          <w:szCs w:val="20"/>
          <w:color w:val="auto"/>
        </w:rPr>
      </w:pPr>
      <w:r>
        <w:rPr>
          <w:rFonts w:ascii="Arial" w:cs="Arial" w:eastAsia="Arial" w:hAnsi="Arial"/>
          <w:sz w:val="17"/>
          <w:szCs w:val="17"/>
          <w:color w:val="auto"/>
        </w:rPr>
        <w:t>On March 13, 2026, Todd Franklin Watanabe, our Chief Executive Officer, entered into a Rule 10b5-1 trading plan, intended to satisfy the affirmative defense of Rule 10b5-1(c) under the Exchange Act. The plan provided for the potential sale of up to 325,000 shares of common stock held by Mr. Watanabe between June 12, 2026 and June 11, 2027.</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r>
        <w:rPr>
          <w:rFonts w:ascii="Times New Roman" w:cs="Times New Roman" w:eastAsia="Times New Roman" w:hAnsi="Times New Roman"/>
          <w:sz w:val="17"/>
          <w:szCs w:val="17"/>
          <w:color w:val="000000"/>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6.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60" w:type="dxa"/>
            <w:vAlign w:val="bottom"/>
            <w:gridSpan w:val="7"/>
            <w:vMerge w:val="restart"/>
          </w:tcPr>
          <w:p>
            <w:pPr>
              <w:ind w:left="640"/>
              <w:spacing w:after="0"/>
              <w:rPr>
                <w:sz w:val="20"/>
                <w:szCs w:val="20"/>
                <w:color w:val="auto"/>
              </w:rPr>
            </w:pPr>
            <w:r>
              <w:rPr>
                <w:rFonts w:ascii="Arial" w:cs="Arial" w:eastAsia="Arial" w:hAnsi="Arial"/>
                <w:sz w:val="14"/>
                <w:szCs w:val="14"/>
                <w:b w:val="1"/>
                <w:bCs w:val="1"/>
                <w:color w:val="auto"/>
              </w:rPr>
              <w:t>Description of Document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Incorporated by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8"/>
              </w:rPr>
              <w:t>Number</w:t>
            </w:r>
          </w:p>
        </w:tc>
        <w:tc>
          <w:tcPr>
            <w:tcW w:w="1160" w:type="dxa"/>
            <w:vAlign w:val="bottom"/>
          </w:tcPr>
          <w:p>
            <w:pPr>
              <w:jc w:val="center"/>
              <w:ind w:left="31"/>
              <w:spacing w:after="0"/>
              <w:rPr>
                <w:sz w:val="20"/>
                <w:szCs w:val="20"/>
                <w:color w:val="auto"/>
              </w:rPr>
            </w:pPr>
            <w:r>
              <w:rPr>
                <w:rFonts w:ascii="Arial" w:cs="Arial" w:eastAsia="Arial" w:hAnsi="Arial"/>
                <w:sz w:val="14"/>
                <w:szCs w:val="14"/>
                <w:b w:val="1"/>
                <w:bCs w:val="1"/>
                <w:color w:val="auto"/>
                <w:w w:val="97"/>
              </w:rPr>
              <w:t>Filed/Furnished</w:t>
            </w:r>
          </w:p>
        </w:tc>
        <w:tc>
          <w:tcPr>
            <w:tcW w:w="0" w:type="dxa"/>
            <w:vAlign w:val="bottom"/>
          </w:tcPr>
          <w:p>
            <w:pPr>
              <w:spacing w:after="0"/>
              <w:rPr>
                <w:sz w:val="1"/>
                <w:szCs w:val="1"/>
                <w:color w:val="auto"/>
              </w:rPr>
            </w:pPr>
          </w:p>
        </w:tc>
      </w:tr>
      <w:tr>
        <w:trPr>
          <w:trHeight w:val="177"/>
        </w:trPr>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60" w:type="dxa"/>
            <w:vAlign w:val="bottom"/>
            <w:gridSpan w:val="7"/>
            <w:vMerge w:val="continue"/>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Reference Form</w:t>
            </w:r>
          </w:p>
        </w:tc>
        <w:tc>
          <w:tcPr>
            <w:tcW w:w="9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6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73"/>
        </w:trPr>
        <w:tc>
          <w:tcPr>
            <w:tcW w:w="108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0" w:type="dxa"/>
            <w:vAlign w:val="bottom"/>
            <w:tcBorders>
              <w:top w:val="single" w:sz="8" w:color="auto"/>
            </w:tcBorders>
            <w:gridSpan w:val="8"/>
          </w:tcPr>
          <w:p>
            <w:pPr>
              <w:spacing w:after="0" w:line="173" w:lineRule="exact"/>
              <w:rPr>
                <w:rFonts w:ascii="Arial" w:cs="Arial" w:eastAsia="Arial" w:hAnsi="Arial"/>
                <w:sz w:val="17"/>
                <w:szCs w:val="17"/>
                <w:color w:val="0000FF"/>
              </w:rPr>
            </w:pPr>
            <w:hyperlink r:id="rId48">
              <w:r>
                <w:rPr>
                  <w:rFonts w:ascii="Arial" w:cs="Arial" w:eastAsia="Arial" w:hAnsi="Arial"/>
                  <w:sz w:val="17"/>
                  <w:szCs w:val="17"/>
                  <w:color w:val="0000FF"/>
                </w:rPr>
                <w:t>Restated Certificate of Incorporation.</w:t>
              </w:r>
            </w:hyperlink>
          </w:p>
        </w:tc>
        <w:tc>
          <w:tcPr>
            <w:tcW w:w="14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7"/>
                <w:szCs w:val="17"/>
                <w:color w:val="auto"/>
              </w:rPr>
              <w:t>10-Q</w:t>
            </w:r>
          </w:p>
        </w:tc>
        <w:tc>
          <w:tcPr>
            <w:tcW w:w="9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7"/>
                <w:szCs w:val="17"/>
                <w:color w:val="auto"/>
              </w:rPr>
              <w:t>5/12/20</w:t>
            </w:r>
          </w:p>
        </w:tc>
        <w:tc>
          <w:tcPr>
            <w:tcW w:w="860" w:type="dxa"/>
            <w:vAlign w:val="bottom"/>
            <w:tcBorders>
              <w:top w:val="single" w:sz="8" w:color="auto"/>
            </w:tcBorders>
          </w:tcPr>
          <w:p>
            <w:pPr>
              <w:jc w:val="center"/>
              <w:ind w:left="17"/>
              <w:spacing w:after="0" w:line="173" w:lineRule="exact"/>
              <w:rPr>
                <w:sz w:val="20"/>
                <w:szCs w:val="20"/>
                <w:color w:val="auto"/>
              </w:rPr>
            </w:pPr>
            <w:r>
              <w:rPr>
                <w:rFonts w:ascii="Arial" w:cs="Arial" w:eastAsia="Arial" w:hAnsi="Arial"/>
                <w:sz w:val="17"/>
                <w:szCs w:val="17"/>
                <w:color w:val="auto"/>
              </w:rPr>
              <w:t>3.1</w:t>
            </w: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rPr>
                <w:rFonts w:ascii="Arial" w:cs="Arial" w:eastAsia="Arial" w:hAnsi="Arial"/>
                <w:sz w:val="17"/>
                <w:szCs w:val="17"/>
                <w:color w:val="0000FF"/>
              </w:rPr>
            </w:pPr>
            <w:hyperlink r:id="rId49">
              <w:r>
                <w:rPr>
                  <w:rFonts w:ascii="Arial" w:cs="Arial" w:eastAsia="Arial" w:hAnsi="Arial"/>
                  <w:sz w:val="17"/>
                  <w:szCs w:val="17"/>
                  <w:color w:val="0000FF"/>
                </w:rPr>
                <w:t>Restated Bylaws.</w:t>
              </w:r>
            </w:hyperlink>
          </w:p>
        </w:tc>
        <w:tc>
          <w:tcPr>
            <w:tcW w:w="1460" w:type="dxa"/>
            <w:vAlign w:val="bottom"/>
            <w:tcBorders>
              <w:top w:val="single" w:sz="8" w:color="0000FF"/>
            </w:tcBorders>
            <w:gridSpan w:val="3"/>
          </w:tcPr>
          <w:p>
            <w:pPr>
              <w:spacing w:after="0"/>
              <w:rPr>
                <w:sz w:val="17"/>
                <w:szCs w:val="17"/>
                <w:color w:val="auto"/>
              </w:rPr>
            </w:pPr>
          </w:p>
        </w:tc>
        <w:tc>
          <w:tcPr>
            <w:tcW w:w="2800" w:type="dxa"/>
            <w:vAlign w:val="bottom"/>
            <w:gridSpan w:val="4"/>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10-Q</w:t>
            </w:r>
          </w:p>
        </w:tc>
        <w:tc>
          <w:tcPr>
            <w:tcW w:w="980" w:type="dxa"/>
            <w:vAlign w:val="bottom"/>
          </w:tcPr>
          <w:p>
            <w:pPr>
              <w:jc w:val="center"/>
              <w:spacing w:after="0"/>
              <w:rPr>
                <w:sz w:val="20"/>
                <w:szCs w:val="20"/>
                <w:color w:val="auto"/>
              </w:rPr>
            </w:pPr>
            <w:r>
              <w:rPr>
                <w:rFonts w:ascii="Arial" w:cs="Arial" w:eastAsia="Arial" w:hAnsi="Arial"/>
                <w:sz w:val="17"/>
                <w:szCs w:val="17"/>
                <w:color w:val="auto"/>
              </w:rPr>
              <w:t>5/12/20</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rPr>
              <w:t>3.2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8"/>
          </w:tcPr>
          <w:p>
            <w:pPr>
              <w:spacing w:after="0"/>
              <w:rPr>
                <w:rFonts w:ascii="Arial" w:cs="Arial" w:eastAsia="Arial" w:hAnsi="Arial"/>
                <w:sz w:val="17"/>
                <w:szCs w:val="17"/>
                <w:color w:val="0000FF"/>
              </w:rPr>
            </w:pPr>
            <w:hyperlink r:id="rId50">
              <w:r>
                <w:rPr>
                  <w:rFonts w:ascii="Arial" w:cs="Arial" w:eastAsia="Arial" w:hAnsi="Arial"/>
                  <w:sz w:val="17"/>
                  <w:szCs w:val="17"/>
                  <w:color w:val="0000FF"/>
                </w:rPr>
                <w:t>Form of Common Stock Certificate.</w:t>
              </w:r>
            </w:hyperlink>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980" w:type="dxa"/>
            <w:vAlign w:val="bottom"/>
          </w:tcPr>
          <w:p>
            <w:pPr>
              <w:jc w:val="center"/>
              <w:spacing w:after="0"/>
              <w:rPr>
                <w:sz w:val="20"/>
                <w:szCs w:val="20"/>
                <w:color w:val="auto"/>
              </w:rPr>
            </w:pPr>
            <w:r>
              <w:rPr>
                <w:rFonts w:ascii="Arial" w:cs="Arial" w:eastAsia="Arial" w:hAnsi="Arial"/>
                <w:sz w:val="17"/>
                <w:szCs w:val="17"/>
                <w:color w:val="auto"/>
              </w:rPr>
              <w:t>1/21/20</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rPr>
              <w:t>4.1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ind w:lef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8"/>
          </w:tcPr>
          <w:p>
            <w:pPr>
              <w:spacing w:after="0"/>
              <w:rPr>
                <w:rFonts w:ascii="Arial" w:cs="Arial" w:eastAsia="Arial" w:hAnsi="Arial"/>
                <w:sz w:val="17"/>
                <w:szCs w:val="17"/>
                <w:color w:val="0000FF"/>
              </w:rPr>
            </w:pPr>
            <w:hyperlink r:id="rId51">
              <w:r>
                <w:rPr>
                  <w:rFonts w:ascii="Arial" w:cs="Arial" w:eastAsia="Arial" w:hAnsi="Arial"/>
                  <w:sz w:val="17"/>
                  <w:szCs w:val="17"/>
                  <w:color w:val="0000FF"/>
                </w:rPr>
                <w:t>Amended and Restated Investors’ Rights Agreement, dated October 8,</w:t>
              </w:r>
            </w:hyperlink>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980" w:type="dxa"/>
            <w:vAlign w:val="bottom"/>
          </w:tcPr>
          <w:p>
            <w:pPr>
              <w:jc w:val="center"/>
              <w:spacing w:after="0"/>
              <w:rPr>
                <w:sz w:val="20"/>
                <w:szCs w:val="20"/>
                <w:color w:val="auto"/>
              </w:rPr>
            </w:pPr>
            <w:r>
              <w:rPr>
                <w:rFonts w:ascii="Arial" w:cs="Arial" w:eastAsia="Arial" w:hAnsi="Arial"/>
                <w:sz w:val="17"/>
                <w:szCs w:val="17"/>
                <w:color w:val="auto"/>
              </w:rPr>
              <w:t>1/21/20</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rPr>
              <w:t>4.2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rPr>
            </w:pPr>
            <w:hyperlink r:id="rId51">
              <w:r>
                <w:rPr>
                  <w:rFonts w:ascii="Arial" w:cs="Arial" w:eastAsia="Arial" w:hAnsi="Arial"/>
                  <w:sz w:val="17"/>
                  <w:szCs w:val="17"/>
                  <w:color w:val="0000FF"/>
                </w:rPr>
                <w:t>2019, by and among the Registrant and certain of its stockholders.</w:t>
              </w:r>
            </w:hyperlink>
          </w:p>
        </w:tc>
        <w:tc>
          <w:tcPr>
            <w:tcW w:w="3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08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0" w:type="dxa"/>
            <w:vAlign w:val="bottom"/>
            <w:gridSpan w:val="8"/>
          </w:tcPr>
          <w:p>
            <w:pPr>
              <w:spacing w:after="0"/>
              <w:rPr>
                <w:rFonts w:ascii="Arial" w:cs="Arial" w:eastAsia="Arial" w:hAnsi="Arial"/>
                <w:sz w:val="17"/>
                <w:szCs w:val="17"/>
                <w:color w:val="0000FF"/>
              </w:rPr>
            </w:pPr>
            <w:hyperlink r:id="rId52">
              <w:r>
                <w:rPr>
                  <w:rFonts w:ascii="Arial" w:cs="Arial" w:eastAsia="Arial" w:hAnsi="Arial"/>
                  <w:sz w:val="17"/>
                  <w:szCs w:val="17"/>
                  <w:color w:val="0000FF"/>
                </w:rPr>
                <w:t>Arcutis Biotherapeutics, Inc. Amended and Restated 2022 Employment</w:t>
              </w:r>
            </w:hyperlink>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S-8</w:t>
            </w:r>
          </w:p>
        </w:tc>
        <w:tc>
          <w:tcPr>
            <w:tcW w:w="980" w:type="dxa"/>
            <w:vAlign w:val="bottom"/>
          </w:tcPr>
          <w:p>
            <w:pPr>
              <w:jc w:val="center"/>
              <w:spacing w:after="0"/>
              <w:rPr>
                <w:sz w:val="20"/>
                <w:szCs w:val="20"/>
                <w:color w:val="auto"/>
              </w:rPr>
            </w:pPr>
            <w:r>
              <w:rPr>
                <w:rFonts w:ascii="Arial" w:cs="Arial" w:eastAsia="Arial" w:hAnsi="Arial"/>
                <w:sz w:val="17"/>
                <w:szCs w:val="17"/>
                <w:color w:val="auto"/>
              </w:rPr>
              <w:t>4/21/26</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rPr>
              <w:t>4.3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2"/>
          </w:tcPr>
          <w:p>
            <w:pPr>
              <w:spacing w:after="0" w:line="173" w:lineRule="exact"/>
              <w:rPr>
                <w:rFonts w:ascii="Arial" w:cs="Arial" w:eastAsia="Arial" w:hAnsi="Arial"/>
                <w:sz w:val="17"/>
                <w:szCs w:val="17"/>
                <w:color w:val="0000FF"/>
              </w:rPr>
            </w:pPr>
            <w:hyperlink r:id="rId52">
              <w:r>
                <w:rPr>
                  <w:rFonts w:ascii="Arial" w:cs="Arial" w:eastAsia="Arial" w:hAnsi="Arial"/>
                  <w:sz w:val="17"/>
                  <w:szCs w:val="17"/>
                  <w:color w:val="0000FF"/>
                </w:rPr>
                <w:t>Inducement Incentive Plan.</w:t>
              </w:r>
            </w:hyperlink>
          </w:p>
        </w:tc>
        <w:tc>
          <w:tcPr>
            <w:tcW w:w="3340" w:type="dxa"/>
            <w:vAlign w:val="bottom"/>
            <w:tcBorders>
              <w:top w:val="single" w:sz="8" w:color="0000FF"/>
            </w:tcBorders>
            <w:gridSpan w:val="5"/>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sectPr>
          <w:pgSz w:w="11900" w:h="16838" w:orient="portrait"/>
          <w:cols w:equalWidth="0" w:num="1">
            <w:col w:w="11220"/>
          </w:cols>
          <w:pgMar w:left="320" w:top="123" w:right="359" w:bottom="1440" w:gutter="0" w:footer="0" w:header="0"/>
        </w:sectPr>
      </w:pPr>
    </w:p>
    <w:tbl>
      <w:tblPr>
        <w:tblLayout w:type="fixed"/>
        <w:tblInd w:w="20" w:type="dxa"/>
        <w:tblCellMar>
          <w:top w:w="0" w:type="dxa"/>
          <w:left w:w="0" w:type="dxa"/>
          <w:bottom w:w="0" w:type="dxa"/>
          <w:right w:w="0" w:type="dxa"/>
        </w:tblCellMar>
      </w:tblP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31.1</w:t>
            </w:r>
          </w:p>
        </w:tc>
        <w:tc>
          <w:tcPr>
            <w:tcW w:w="5540" w:type="dxa"/>
            <w:vAlign w:val="bottom"/>
            <w:gridSpan w:val="7"/>
          </w:tcPr>
          <w:p>
            <w:pPr>
              <w:spacing w:after="0"/>
              <w:rPr>
                <w:sz w:val="20"/>
                <w:szCs w:val="20"/>
                <w:color w:val="auto"/>
              </w:rPr>
            </w:pPr>
            <w:r>
              <w:rPr>
                <w:rFonts w:ascii="Arial" w:cs="Arial" w:eastAsia="Arial" w:hAnsi="Arial"/>
                <w:sz w:val="17"/>
                <w:szCs w:val="17"/>
                <w:color w:val="0000FF"/>
              </w:rPr>
              <w:t>Certification of Principal Executive Officer Pursuant to Rules 13a-14(a)</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360" w:type="dxa"/>
            <w:vAlign w:val="bottom"/>
            <w:tcBorders>
              <w:top w:val="single" w:sz="8" w:color="0000FF"/>
            </w:tcBorders>
            <w:gridSpan w:val="5"/>
          </w:tcPr>
          <w:p>
            <w:pPr>
              <w:spacing w:after="0" w:line="173" w:lineRule="exact"/>
              <w:rPr>
                <w:sz w:val="20"/>
                <w:szCs w:val="20"/>
                <w:color w:val="auto"/>
              </w:rPr>
            </w:pPr>
            <w:r>
              <w:rPr>
                <w:rFonts w:ascii="Arial" w:cs="Arial" w:eastAsia="Arial" w:hAnsi="Arial"/>
                <w:sz w:val="17"/>
                <w:szCs w:val="17"/>
                <w:color w:val="0000FF"/>
              </w:rPr>
              <w:t>and 15d-14(a) under the Securities and Exchange Act of 1934, as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spacing w:after="0"/>
              <w:rPr>
                <w:sz w:val="16"/>
                <w:szCs w:val="16"/>
                <w:color w:val="auto"/>
              </w:rPr>
            </w:pPr>
          </w:p>
        </w:tc>
        <w:tc>
          <w:tcPr>
            <w:tcW w:w="5220" w:type="dxa"/>
            <w:vAlign w:val="bottom"/>
            <w:tcBorders>
              <w:bottom w:val="single" w:sz="8" w:color="0000FF"/>
            </w:tcBorders>
            <w:gridSpan w:val="3"/>
          </w:tcPr>
          <w:p>
            <w:pPr>
              <w:spacing w:after="0" w:line="186" w:lineRule="exact"/>
              <w:rPr>
                <w:sz w:val="20"/>
                <w:szCs w:val="20"/>
                <w:color w:val="auto"/>
              </w:rPr>
            </w:pPr>
            <w:r>
              <w:rPr>
                <w:rFonts w:ascii="Arial" w:cs="Arial" w:eastAsia="Arial" w:hAnsi="Arial"/>
                <w:sz w:val="17"/>
                <w:szCs w:val="17"/>
                <w:color w:val="0000FF"/>
              </w:rPr>
              <w:t>adopted pursuant to Section 302 of the Sarbanes-Oxley Act of 2002.</w:t>
            </w:r>
          </w:p>
        </w:tc>
        <w:tc>
          <w:tcPr>
            <w:tcW w:w="3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7"/>
                <w:szCs w:val="17"/>
                <w:color w:val="auto"/>
              </w:rPr>
              <w:t>31.2</w:t>
            </w:r>
          </w:p>
        </w:tc>
        <w:tc>
          <w:tcPr>
            <w:tcW w:w="5540" w:type="dxa"/>
            <w:vAlign w:val="bottom"/>
            <w:gridSpan w:val="7"/>
          </w:tcPr>
          <w:p>
            <w:pPr>
              <w:spacing w:after="0"/>
              <w:rPr>
                <w:sz w:val="20"/>
                <w:szCs w:val="20"/>
                <w:color w:val="auto"/>
              </w:rPr>
            </w:pPr>
            <w:r>
              <w:rPr>
                <w:rFonts w:ascii="Arial" w:cs="Arial" w:eastAsia="Arial" w:hAnsi="Arial"/>
                <w:sz w:val="17"/>
                <w:szCs w:val="17"/>
                <w:color w:val="0000FF"/>
              </w:rPr>
              <w:t>Certification of Principal Financial Officer Pursuant to Rules 13a-14(a)</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300" w:type="dxa"/>
            <w:vAlign w:val="bottom"/>
            <w:tcBorders>
              <w:top w:val="single" w:sz="8" w:color="0000FF"/>
            </w:tcBorders>
            <w:gridSpan w:val="4"/>
          </w:tcPr>
          <w:p>
            <w:pPr>
              <w:spacing w:after="0" w:line="173" w:lineRule="exact"/>
              <w:rPr>
                <w:sz w:val="20"/>
                <w:szCs w:val="20"/>
                <w:color w:val="auto"/>
              </w:rPr>
            </w:pPr>
            <w:r>
              <w:rPr>
                <w:rFonts w:ascii="Arial" w:cs="Arial" w:eastAsia="Arial" w:hAnsi="Arial"/>
                <w:sz w:val="17"/>
                <w:szCs w:val="17"/>
                <w:color w:val="0000FF"/>
              </w:rPr>
              <w:t>and 15d-14(a) under the Securities and Exchange Act of 1934, as</w:t>
            </w: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spacing w:after="0"/>
              <w:rPr>
                <w:sz w:val="16"/>
                <w:szCs w:val="16"/>
                <w:color w:val="auto"/>
              </w:rPr>
            </w:pPr>
          </w:p>
        </w:tc>
        <w:tc>
          <w:tcPr>
            <w:tcW w:w="5220" w:type="dxa"/>
            <w:vAlign w:val="bottom"/>
            <w:tcBorders>
              <w:bottom w:val="single" w:sz="8" w:color="0000FF"/>
            </w:tcBorders>
            <w:gridSpan w:val="3"/>
          </w:tcPr>
          <w:p>
            <w:pPr>
              <w:spacing w:after="0" w:line="186" w:lineRule="exact"/>
              <w:rPr>
                <w:sz w:val="20"/>
                <w:szCs w:val="20"/>
                <w:color w:val="auto"/>
              </w:rPr>
            </w:pPr>
            <w:r>
              <w:rPr>
                <w:rFonts w:ascii="Arial" w:cs="Arial" w:eastAsia="Arial" w:hAnsi="Arial"/>
                <w:sz w:val="17"/>
                <w:szCs w:val="17"/>
                <w:color w:val="0000FF"/>
              </w:rPr>
              <w:t>adopted pursuant to Section 302 of the Sarbanes-Oxley Act of 2002.</w:t>
            </w:r>
          </w:p>
        </w:tc>
        <w:tc>
          <w:tcPr>
            <w:tcW w:w="3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7"/>
                <w:szCs w:val="17"/>
                <w:color w:val="auto"/>
              </w:rPr>
              <w:t>32.1*</w:t>
            </w:r>
          </w:p>
        </w:tc>
        <w:tc>
          <w:tcPr>
            <w:tcW w:w="5540" w:type="dxa"/>
            <w:vAlign w:val="bottom"/>
            <w:gridSpan w:val="7"/>
          </w:tcPr>
          <w:p>
            <w:pPr>
              <w:spacing w:after="0"/>
              <w:rPr>
                <w:sz w:val="20"/>
                <w:szCs w:val="20"/>
                <w:color w:val="auto"/>
              </w:rPr>
            </w:pPr>
            <w:r>
              <w:rPr>
                <w:rFonts w:ascii="Arial" w:cs="Arial" w:eastAsia="Arial" w:hAnsi="Arial"/>
                <w:sz w:val="17"/>
                <w:szCs w:val="17"/>
                <w:color w:val="0000FF"/>
              </w:rPr>
              <w:t>Certification of Principal Executive Officer and Principal Financial Officer</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480" w:type="dxa"/>
            <w:vAlign w:val="bottom"/>
            <w:tcBorders>
              <w:top w:val="single" w:sz="8" w:color="0000FF"/>
              <w:bottom w:val="single" w:sz="8" w:color="0000FF"/>
            </w:tcBorders>
            <w:gridSpan w:val="6"/>
          </w:tcPr>
          <w:p>
            <w:pPr>
              <w:spacing w:after="0" w:line="173" w:lineRule="exact"/>
              <w:rPr>
                <w:sz w:val="20"/>
                <w:szCs w:val="20"/>
                <w:color w:val="auto"/>
              </w:rPr>
            </w:pPr>
            <w:r>
              <w:rPr>
                <w:rFonts w:ascii="Arial" w:cs="Arial" w:eastAsia="Arial" w:hAnsi="Arial"/>
                <w:sz w:val="17"/>
                <w:szCs w:val="17"/>
                <w:color w:val="0000FF"/>
                <w:w w:val="99"/>
              </w:rPr>
              <w:t>Pursuant to 18 U.S.C. Section 1350, as adopted pursuant to Section 906</w:t>
            </w:r>
          </w:p>
        </w:tc>
        <w:tc>
          <w:tcPr>
            <w:tcW w:w="6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5540" w:type="dxa"/>
            <w:vAlign w:val="bottom"/>
            <w:gridSpan w:val="7"/>
          </w:tcPr>
          <w:p>
            <w:pPr>
              <w:spacing w:after="0" w:line="186" w:lineRule="exact"/>
              <w:rPr>
                <w:sz w:val="20"/>
                <w:szCs w:val="20"/>
                <w:color w:val="auto"/>
              </w:rPr>
            </w:pPr>
            <w:r>
              <w:rPr>
                <w:rFonts w:ascii="Arial" w:cs="Arial" w:eastAsia="Arial" w:hAnsi="Arial"/>
                <w:sz w:val="17"/>
                <w:szCs w:val="17"/>
                <w:color w:val="0000FF"/>
              </w:rPr>
              <w:t>of the Sarbanes-Oxley Act of 2002.</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2680" w:type="dxa"/>
            <w:vAlign w:val="bottom"/>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180" w:type="dxa"/>
            <w:vAlign w:val="bottom"/>
            <w:vMerge w:val="continue"/>
          </w:tcPr>
          <w:p>
            <w:pPr>
              <w:spacing w:after="0"/>
              <w:rPr>
                <w:sz w:val="20"/>
                <w:szCs w:val="20"/>
                <w:color w:val="auto"/>
              </w:rPr>
            </w:pPr>
          </w:p>
        </w:tc>
        <w:tc>
          <w:tcPr>
            <w:tcW w:w="5540" w:type="dxa"/>
            <w:vAlign w:val="bottom"/>
            <w:gridSpan w:val="7"/>
          </w:tcPr>
          <w:p>
            <w:pPr>
              <w:spacing w:after="0"/>
              <w:rPr>
                <w:sz w:val="20"/>
                <w:szCs w:val="20"/>
                <w:color w:val="auto"/>
              </w:rPr>
            </w:pPr>
            <w:r>
              <w:rPr>
                <w:rFonts w:ascii="Arial" w:cs="Arial" w:eastAsia="Arial" w:hAnsi="Arial"/>
                <w:sz w:val="17"/>
                <w:szCs w:val="17"/>
                <w:color w:val="auto"/>
              </w:rPr>
              <w:t>Inline XBRL Instance Document - The instance document does not</w:t>
            </w: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5540" w:type="dxa"/>
            <w:vAlign w:val="bottom"/>
            <w:gridSpan w:val="7"/>
          </w:tcPr>
          <w:p>
            <w:pPr>
              <w:spacing w:after="0"/>
              <w:rPr>
                <w:sz w:val="20"/>
                <w:szCs w:val="20"/>
                <w:color w:val="auto"/>
              </w:rPr>
            </w:pPr>
            <w:r>
              <w:rPr>
                <w:rFonts w:ascii="Arial" w:cs="Arial" w:eastAsia="Arial" w:hAnsi="Arial"/>
                <w:sz w:val="17"/>
                <w:szCs w:val="17"/>
                <w:color w:val="auto"/>
              </w:rPr>
              <w:t>appear in the interactive data file because its XBRL tags are embedded</w:t>
            </w:r>
          </w:p>
        </w:tc>
        <w:tc>
          <w:tcPr>
            <w:tcW w:w="0" w:type="dxa"/>
            <w:vAlign w:val="bottom"/>
          </w:tcPr>
          <w:p>
            <w:pPr>
              <w:spacing w:after="0"/>
              <w:rPr>
                <w:sz w:val="1"/>
                <w:szCs w:val="1"/>
                <w:color w:val="auto"/>
              </w:rPr>
            </w:pPr>
          </w:p>
        </w:tc>
      </w:tr>
      <w:tr>
        <w:trPr>
          <w:trHeight w:val="226"/>
        </w:trPr>
        <w:tc>
          <w:tcPr>
            <w:tcW w:w="1180" w:type="dxa"/>
            <w:vAlign w:val="bottom"/>
          </w:tcPr>
          <w:p>
            <w:pPr>
              <w:spacing w:after="0"/>
              <w:rPr>
                <w:sz w:val="19"/>
                <w:szCs w:val="19"/>
                <w:color w:val="auto"/>
              </w:rPr>
            </w:pPr>
          </w:p>
        </w:tc>
        <w:tc>
          <w:tcPr>
            <w:tcW w:w="5540" w:type="dxa"/>
            <w:vAlign w:val="bottom"/>
            <w:gridSpan w:val="7"/>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17"/>
                <w:szCs w:val="17"/>
                <w:color w:val="auto"/>
              </w:rPr>
              <w:t>101.SCH</w:t>
            </w:r>
          </w:p>
        </w:tc>
        <w:tc>
          <w:tcPr>
            <w:tcW w:w="5540" w:type="dxa"/>
            <w:vAlign w:val="bottom"/>
            <w:gridSpan w:val="7"/>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17"/>
                <w:szCs w:val="17"/>
                <w:color w:val="auto"/>
              </w:rPr>
              <w:t>101.CAL</w:t>
            </w:r>
          </w:p>
        </w:tc>
        <w:tc>
          <w:tcPr>
            <w:tcW w:w="5540" w:type="dxa"/>
            <w:vAlign w:val="bottom"/>
            <w:gridSpan w:val="7"/>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17"/>
                <w:szCs w:val="17"/>
                <w:color w:val="auto"/>
              </w:rPr>
              <w:t>101.DEF</w:t>
            </w:r>
          </w:p>
        </w:tc>
        <w:tc>
          <w:tcPr>
            <w:tcW w:w="5540" w:type="dxa"/>
            <w:vAlign w:val="bottom"/>
            <w:gridSpan w:val="7"/>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17"/>
                <w:szCs w:val="17"/>
                <w:color w:val="auto"/>
              </w:rPr>
              <w:t>101.LAB</w:t>
            </w:r>
          </w:p>
        </w:tc>
        <w:tc>
          <w:tcPr>
            <w:tcW w:w="5540" w:type="dxa"/>
            <w:vAlign w:val="bottom"/>
            <w:gridSpan w:val="7"/>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17"/>
                <w:szCs w:val="17"/>
                <w:color w:val="auto"/>
              </w:rPr>
              <w:t>101.PRE</w:t>
            </w:r>
          </w:p>
        </w:tc>
        <w:tc>
          <w:tcPr>
            <w:tcW w:w="5540" w:type="dxa"/>
            <w:vAlign w:val="bottom"/>
            <w:gridSpan w:val="7"/>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200" w:right="3880" w:hanging="1180"/>
        <w:spacing w:after="0" w:line="274"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625" w:lineRule="exact"/>
        <w:rPr>
          <w:sz w:val="20"/>
          <w:szCs w:val="20"/>
          <w:color w:val="auto"/>
        </w:rPr>
      </w:pPr>
    </w:p>
    <w:p>
      <w:pPr>
        <w:sectPr>
          <w:pgSz w:w="11900" w:h="16838" w:orient="portrait"/>
          <w:cols w:equalWidth="0" w:num="2">
            <w:col w:w="9920" w:space="720"/>
            <w:col w:w="580"/>
          </w:cols>
          <w:pgMar w:left="320" w:top="123" w:right="359" w:bottom="1440" w:gutter="0" w:footer="0" w:header="0"/>
          <w:type w:val="continuous"/>
        </w:sectPr>
      </w:pPr>
    </w:p>
    <w:p>
      <w:pPr>
        <w:ind w:left="620" w:right="580" w:hanging="617"/>
        <w:spacing w:after="0" w:line="290" w:lineRule="auto"/>
        <w:tabs>
          <w:tab w:leader="none" w:pos="273"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Registrant has omitted schedules (or similar attachments) pursuant to Item 601(a)(5) of Regulation S-K. The Registrant agrees to furnish supplementally a copy of the omitted schedules and exhibits to the SEC upon request.</w:t>
      </w:r>
    </w:p>
    <w:p>
      <w:pPr>
        <w:spacing w:after="0" w:line="43" w:lineRule="exact"/>
        <w:rPr>
          <w:sz w:val="20"/>
          <w:szCs w:val="20"/>
          <w:color w:val="auto"/>
        </w:rPr>
      </w:pPr>
    </w:p>
    <w:p>
      <w:pPr>
        <w:ind w:left="280" w:hanging="277"/>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114" w:lineRule="exact"/>
        <w:rPr>
          <w:sz w:val="20"/>
          <w:szCs w:val="20"/>
          <w:color w:val="auto"/>
        </w:rPr>
      </w:pPr>
    </w:p>
    <w:p>
      <w:pPr>
        <w:ind w:left="620" w:hanging="617"/>
        <w:spacing w:after="0" w:line="265" w:lineRule="auto"/>
        <w:tabs>
          <w:tab w:leader="none" w:pos="2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certifications attached as Exhibit 32.1 that accompany this Quarterly Report on Form 10-Q are not deemed filed with the SEC and are not to be incorporated by reference into any filing of Arcutis Biotherapeutics,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37" w:name="page38"/>
    <w:bookmarkEnd w:id="37"/>
    <w:p>
      <w:pPr>
        <w:jc w:val="center"/>
        <w:ind w:left="620"/>
        <w:spacing w:after="0"/>
        <w:rPr>
          <w:sz w:val="20"/>
          <w:szCs w:val="20"/>
          <w:color w:val="auto"/>
        </w:rPr>
      </w:pPr>
      <w:r>
        <w:rPr>
          <w:rFonts w:ascii="Arial" w:cs="Arial" w:eastAsia="Arial" w:hAnsi="Arial"/>
          <w:sz w:val="17"/>
          <w:szCs w:val="17"/>
          <w:b w:val="1"/>
          <w:bCs w:val="1"/>
          <w:color w:val="auto"/>
        </w:rPr>
        <w:t>SIGNATURES</w:t>
      </w:r>
    </w:p>
    <w:p>
      <w:pPr>
        <w:spacing w:after="0" w:line="142" w:lineRule="exact"/>
        <w:rPr>
          <w:sz w:val="20"/>
          <w:szCs w:val="20"/>
          <w:color w:val="auto"/>
        </w:rPr>
      </w:pPr>
    </w:p>
    <w:p>
      <w:pPr>
        <w:ind w:firstLine="619"/>
        <w:spacing w:after="0" w:line="275"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Quarterly Report on Form 10-Q to be signed on its behalf by the undersigned, thereunto duly authorized.</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b w:val="1"/>
          <w:bCs w:val="1"/>
          <w:color w:val="auto"/>
        </w:rPr>
        <w:t>ARCUTIS BIOTHERAPEUTICS, INC.</w:t>
      </w:r>
    </w:p>
    <w:p>
      <w:pPr>
        <w:spacing w:after="0" w:line="284" w:lineRule="exact"/>
        <w:rPr>
          <w:sz w:val="20"/>
          <w:szCs w:val="20"/>
          <w:color w:val="auto"/>
        </w:rPr>
      </w:pPr>
    </w:p>
    <w:p>
      <w:pPr>
        <w:ind w:left="20"/>
        <w:spacing w:after="0"/>
        <w:tabs>
          <w:tab w:leader="none" w:pos="740" w:val="left"/>
          <w:tab w:leader="none" w:pos="5960" w:val="left"/>
          <w:tab w:leader="none" w:pos="64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06,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17780</wp:posOffset>
            </wp:positionV>
            <wp:extent cx="30041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17"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Todd Franklin Watanabe</w:t>
      </w:r>
    </w:p>
    <w:p>
      <w:pPr>
        <w:ind w:left="6460"/>
        <w:spacing w:after="0" w:line="207" w:lineRule="auto"/>
        <w:rPr>
          <w:sz w:val="20"/>
          <w:szCs w:val="20"/>
          <w:color w:val="auto"/>
        </w:rPr>
      </w:pPr>
      <w:r>
        <w:rPr>
          <w:rFonts w:ascii="Arial" w:cs="Arial" w:eastAsia="Arial" w:hAnsi="Arial"/>
          <w:sz w:val="17"/>
          <w:szCs w:val="17"/>
          <w:i w:val="1"/>
          <w:iCs w:val="1"/>
          <w:color w:val="auto"/>
        </w:rPr>
        <w:t>President, Chief Executive Officer and Director</w:t>
      </w:r>
    </w:p>
    <w:p>
      <w:pPr>
        <w:ind w:left="646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740" w:val="left"/>
          <w:tab w:leader="none" w:pos="5960" w:val="left"/>
          <w:tab w:leader="none" w:pos="64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06,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Latha Vairavan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17780</wp:posOffset>
            </wp:positionV>
            <wp:extent cx="30041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17"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Latha Vairavan</w:t>
      </w:r>
    </w:p>
    <w:p>
      <w:pPr>
        <w:ind w:left="6460"/>
        <w:spacing w:after="0" w:line="207" w:lineRule="auto"/>
        <w:rPr>
          <w:sz w:val="20"/>
          <w:szCs w:val="20"/>
          <w:color w:val="auto"/>
        </w:rPr>
      </w:pPr>
      <w:r>
        <w:rPr>
          <w:rFonts w:ascii="Arial" w:cs="Arial" w:eastAsia="Arial" w:hAnsi="Arial"/>
          <w:sz w:val="17"/>
          <w:szCs w:val="17"/>
          <w:i w:val="1"/>
          <w:iCs w:val="1"/>
          <w:color w:val="auto"/>
        </w:rPr>
        <w:t>Chief Financial Officer</w:t>
      </w:r>
    </w:p>
    <w:p>
      <w:pPr>
        <w:ind w:left="646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1220"/>
          </w:cols>
          <w:pgMar w:left="320" w:top="997"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Todd Franklin Watanabe, certify that:</w:t>
      </w:r>
    </w:p>
    <w:p>
      <w:pPr>
        <w:spacing w:after="0" w:line="243" w:lineRule="exact"/>
        <w:rPr>
          <w:sz w:val="20"/>
          <w:szCs w:val="20"/>
          <w:color w:val="auto"/>
        </w:rPr>
      </w:pPr>
    </w:p>
    <w:p>
      <w:pPr>
        <w:ind w:left="320" w:hanging="317"/>
        <w:spacing w:after="0"/>
        <w:tabs>
          <w:tab w:leader="none" w:pos="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Arcutis Biotherapeutics, Inc;</w:t>
      </w:r>
    </w:p>
    <w:p>
      <w:pPr>
        <w:spacing w:after="0" w:line="152" w:lineRule="exact"/>
        <w:rPr>
          <w:rFonts w:ascii="Times New Roman" w:cs="Times New Roman" w:eastAsia="Times New Roman" w:hAnsi="Times New Roman"/>
          <w:sz w:val="17"/>
          <w:szCs w:val="17"/>
          <w:color w:val="auto"/>
        </w:rPr>
      </w:pPr>
    </w:p>
    <w:p>
      <w:pPr>
        <w:ind w:left="320" w:right="160" w:hanging="317"/>
        <w:spacing w:after="0" w:line="302" w:lineRule="auto"/>
        <w:tabs>
          <w:tab w:leader="none" w:pos="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7"/>
          <w:szCs w:val="17"/>
          <w:color w:val="auto"/>
        </w:rPr>
      </w:pPr>
    </w:p>
    <w:p>
      <w:pPr>
        <w:ind w:left="320" w:right="260" w:hanging="317"/>
        <w:spacing w:after="0" w:line="303" w:lineRule="auto"/>
        <w:tabs>
          <w:tab w:leader="none" w:pos="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7"/>
          <w:szCs w:val="17"/>
          <w:color w:val="auto"/>
        </w:rPr>
      </w:pPr>
    </w:p>
    <w:p>
      <w:pPr>
        <w:ind w:left="320" w:right="60" w:hanging="317"/>
        <w:spacing w:after="0" w:line="286" w:lineRule="auto"/>
        <w:tabs>
          <w:tab w:leader="none" w:pos="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Times New Roman" w:cs="Times New Roman" w:eastAsia="Times New Roman" w:hAnsi="Times New Roman"/>
          <w:sz w:val="17"/>
          <w:szCs w:val="17"/>
          <w:color w:val="auto"/>
        </w:rPr>
      </w:pPr>
    </w:p>
    <w:p>
      <w:pPr>
        <w:ind w:left="1240" w:right="260" w:hanging="309"/>
        <w:spacing w:after="0" w:line="278" w:lineRule="auto"/>
        <w:tabs>
          <w:tab w:leader="none" w:pos="1237"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17"/>
          <w:szCs w:val="17"/>
          <w:color w:val="auto"/>
        </w:rPr>
      </w:pPr>
    </w:p>
    <w:p>
      <w:pPr>
        <w:ind w:left="1240" w:right="560" w:hanging="309"/>
        <w:spacing w:after="0" w:line="278" w:lineRule="auto"/>
        <w:tabs>
          <w:tab w:leader="none" w:pos="1234"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7"/>
          <w:szCs w:val="17"/>
          <w:color w:val="auto"/>
        </w:rPr>
      </w:pPr>
    </w:p>
    <w:p>
      <w:pPr>
        <w:jc w:val="both"/>
        <w:ind w:left="1240" w:right="720" w:hanging="309"/>
        <w:spacing w:after="0" w:line="302" w:lineRule="auto"/>
        <w:tabs>
          <w:tab w:leader="none" w:pos="1237"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7"/>
          <w:szCs w:val="17"/>
          <w:color w:val="auto"/>
        </w:rPr>
      </w:pPr>
    </w:p>
    <w:p>
      <w:pPr>
        <w:ind w:left="1240" w:right="280" w:hanging="309"/>
        <w:spacing w:after="0" w:line="278" w:lineRule="auto"/>
        <w:tabs>
          <w:tab w:leader="none" w:pos="1234"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7"/>
          <w:szCs w:val="17"/>
          <w:color w:val="auto"/>
        </w:rPr>
      </w:pPr>
    </w:p>
    <w:p>
      <w:pPr>
        <w:ind w:left="620" w:right="540" w:hanging="307"/>
        <w:spacing w:after="0" w:line="287" w:lineRule="auto"/>
        <w:tabs>
          <w:tab w:leader="none" w:pos="6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37"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1240" w:right="140" w:hanging="309"/>
        <w:spacing w:after="0" w:line="287" w:lineRule="auto"/>
        <w:tabs>
          <w:tab w:leader="none" w:pos="1234"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40"/>
        <w:spacing w:after="0"/>
        <w:tabs>
          <w:tab w:leader="none" w:pos="5020" w:val="left"/>
          <w:tab w:leader="none" w:pos="6500" w:val="left"/>
        </w:tabs>
        <w:rPr>
          <w:sz w:val="20"/>
          <w:szCs w:val="20"/>
          <w:color w:val="auto"/>
        </w:rPr>
      </w:pPr>
      <w:r>
        <w:rPr>
          <w:rFonts w:ascii="Times New Roman" w:cs="Times New Roman" w:eastAsia="Times New Roman" w:hAnsi="Times New Roman"/>
          <w:sz w:val="17"/>
          <w:szCs w:val="17"/>
          <w:color w:val="auto"/>
        </w:rPr>
        <w:t>Date: May 6,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41910</wp:posOffset>
            </wp:positionV>
            <wp:extent cx="27590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6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b w:val="1"/>
          <w:bCs w:val="1"/>
          <w:color w:val="auto"/>
        </w:rPr>
        <w:t>Todd Franklin Watanabe</w:t>
      </w:r>
    </w:p>
    <w:p>
      <w:pPr>
        <w:spacing w:after="0" w:line="32"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b w:val="1"/>
          <w:bCs w:val="1"/>
          <w:color w:val="auto"/>
        </w:rPr>
        <w:t>President, Chief Executive Officer and Director</w:t>
      </w:r>
    </w:p>
    <w:p>
      <w:pPr>
        <w:spacing w:after="0" w:line="1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104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Latha Vairavan, certify that:</w:t>
      </w:r>
    </w:p>
    <w:p>
      <w:pPr>
        <w:spacing w:after="0" w:line="243" w:lineRule="exact"/>
        <w:rPr>
          <w:sz w:val="20"/>
          <w:szCs w:val="20"/>
          <w:color w:val="auto"/>
        </w:rPr>
      </w:pPr>
    </w:p>
    <w:p>
      <w:pPr>
        <w:ind w:left="320" w:hanging="317"/>
        <w:spacing w:after="0"/>
        <w:tabs>
          <w:tab w:leader="none" w:pos="3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Arcutis Biotherapeutics, Inc.;</w:t>
      </w:r>
    </w:p>
    <w:p>
      <w:pPr>
        <w:spacing w:after="0" w:line="152" w:lineRule="exact"/>
        <w:rPr>
          <w:rFonts w:ascii="Times New Roman" w:cs="Times New Roman" w:eastAsia="Times New Roman" w:hAnsi="Times New Roman"/>
          <w:sz w:val="17"/>
          <w:szCs w:val="17"/>
          <w:color w:val="auto"/>
        </w:rPr>
      </w:pPr>
    </w:p>
    <w:p>
      <w:pPr>
        <w:ind w:left="320" w:right="160" w:hanging="317"/>
        <w:spacing w:after="0" w:line="303" w:lineRule="auto"/>
        <w:tabs>
          <w:tab w:leader="none" w:pos="3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Times New Roman" w:cs="Times New Roman" w:eastAsia="Times New Roman" w:hAnsi="Times New Roman"/>
          <w:sz w:val="17"/>
          <w:szCs w:val="17"/>
          <w:color w:val="auto"/>
        </w:rPr>
      </w:pPr>
    </w:p>
    <w:p>
      <w:pPr>
        <w:ind w:left="320" w:right="260" w:hanging="317"/>
        <w:spacing w:after="0" w:line="302" w:lineRule="auto"/>
        <w:tabs>
          <w:tab w:leader="none" w:pos="3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7"/>
          <w:szCs w:val="17"/>
          <w:color w:val="auto"/>
        </w:rPr>
      </w:pPr>
    </w:p>
    <w:p>
      <w:pPr>
        <w:ind w:left="320" w:right="60" w:hanging="317"/>
        <w:spacing w:after="0" w:line="286" w:lineRule="auto"/>
        <w:tabs>
          <w:tab w:leader="none" w:pos="3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Times New Roman" w:cs="Times New Roman" w:eastAsia="Times New Roman" w:hAnsi="Times New Roman"/>
          <w:sz w:val="17"/>
          <w:szCs w:val="17"/>
          <w:color w:val="auto"/>
        </w:rPr>
      </w:pPr>
    </w:p>
    <w:p>
      <w:pPr>
        <w:ind w:left="1240" w:right="260" w:hanging="309"/>
        <w:spacing w:after="0" w:line="278" w:lineRule="auto"/>
        <w:tabs>
          <w:tab w:leader="none" w:pos="1237"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17"/>
          <w:szCs w:val="17"/>
          <w:color w:val="auto"/>
        </w:rPr>
      </w:pPr>
    </w:p>
    <w:p>
      <w:pPr>
        <w:ind w:left="1240" w:right="560" w:hanging="309"/>
        <w:spacing w:after="0" w:line="278" w:lineRule="auto"/>
        <w:tabs>
          <w:tab w:leader="none" w:pos="1234"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7"/>
          <w:szCs w:val="17"/>
          <w:color w:val="auto"/>
        </w:rPr>
      </w:pPr>
    </w:p>
    <w:p>
      <w:pPr>
        <w:jc w:val="both"/>
        <w:ind w:left="1240" w:right="720" w:hanging="309"/>
        <w:spacing w:after="0" w:line="302" w:lineRule="auto"/>
        <w:tabs>
          <w:tab w:leader="none" w:pos="1237"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7"/>
          <w:szCs w:val="17"/>
          <w:color w:val="auto"/>
        </w:rPr>
      </w:pPr>
    </w:p>
    <w:p>
      <w:pPr>
        <w:ind w:left="1240" w:right="280" w:hanging="309"/>
        <w:spacing w:after="0" w:line="278" w:lineRule="auto"/>
        <w:tabs>
          <w:tab w:leader="none" w:pos="1234"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7"/>
          <w:szCs w:val="17"/>
          <w:color w:val="auto"/>
        </w:rPr>
      </w:pPr>
    </w:p>
    <w:p>
      <w:pPr>
        <w:ind w:left="620" w:right="540" w:hanging="307"/>
        <w:spacing w:after="0" w:line="287" w:lineRule="auto"/>
        <w:tabs>
          <w:tab w:leader="none" w:pos="6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37"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1240" w:right="140" w:hanging="309"/>
        <w:spacing w:after="0" w:line="287" w:lineRule="auto"/>
        <w:tabs>
          <w:tab w:leader="none" w:pos="1234"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40"/>
        <w:spacing w:after="0"/>
        <w:tabs>
          <w:tab w:leader="none" w:pos="5020" w:val="left"/>
          <w:tab w:leader="none" w:pos="6820" w:val="left"/>
        </w:tabs>
        <w:rPr>
          <w:sz w:val="20"/>
          <w:szCs w:val="20"/>
          <w:color w:val="auto"/>
        </w:rPr>
      </w:pPr>
      <w:r>
        <w:rPr>
          <w:rFonts w:ascii="Times New Roman" w:cs="Times New Roman" w:eastAsia="Times New Roman" w:hAnsi="Times New Roman"/>
          <w:sz w:val="17"/>
          <w:szCs w:val="17"/>
          <w:color w:val="auto"/>
        </w:rPr>
        <w:t>Date: May 6,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Latha Vairavan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41910</wp:posOffset>
            </wp:positionV>
            <wp:extent cx="27590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6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b w:val="1"/>
          <w:bCs w:val="1"/>
          <w:color w:val="auto"/>
        </w:rPr>
        <w:t>Latha Vairavan</w:t>
      </w:r>
    </w:p>
    <w:p>
      <w:pPr>
        <w:spacing w:after="0" w:line="32"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b w:val="1"/>
          <w:bCs w:val="1"/>
          <w:color w:val="auto"/>
        </w:rPr>
        <w:t>(Principal Accounting and Financial Officer)</w:t>
      </w:r>
    </w:p>
    <w:p>
      <w:pPr>
        <w:sectPr>
          <w:pgSz w:w="11900" w:h="16838" w:orient="portrait"/>
          <w:cols w:equalWidth="0" w:num="1">
            <w:col w:w="11240"/>
          </w:cols>
          <w:pgMar w:left="320" w:top="1047" w:right="339" w:bottom="1440" w:gutter="0" w:footer="0" w:header="0"/>
        </w:sectPr>
      </w:pPr>
    </w:p>
    <w:bookmarkStart w:id="40" w:name="page41"/>
    <w:bookmarkEnd w:id="40"/>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In connection with the Quarterly Report of Arcutis Biotherapeutics, Inc. (the “Company”) on Form 10-Q for the period ended March 31, 2026, as filed with the Securities and Exchange Commission on the date hereof (the “Report”), Todd Franklin Watanabe, Chief Executive Officer of the Company, and Latha Vairavan, Chief Financial Officer of the Company, respectively, do each hereby certify, pursuant to 18 U.S.C. Section 1350, as adopted pursuant to Section 906 of the Sarbanes-Oxley Act of 2002, that:</w:t>
      </w:r>
    </w:p>
    <w:p>
      <w:pPr>
        <w:spacing w:after="0" w:line="171" w:lineRule="exact"/>
        <w:rPr>
          <w:sz w:val="20"/>
          <w:szCs w:val="20"/>
          <w:color w:val="auto"/>
        </w:rPr>
      </w:pPr>
    </w:p>
    <w:p>
      <w:pPr>
        <w:ind w:left="1240" w:hanging="309"/>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spacing w:after="0"/>
        <w:tabs>
          <w:tab w:leader="none" w:pos="5760" w:val="left"/>
          <w:tab w:leader="none" w:pos="7560" w:val="left"/>
        </w:tabs>
        <w:rPr>
          <w:sz w:val="20"/>
          <w:szCs w:val="20"/>
          <w:color w:val="auto"/>
        </w:rPr>
      </w:pPr>
      <w:r>
        <w:rPr>
          <w:rFonts w:ascii="Times New Roman" w:cs="Times New Roman" w:eastAsia="Times New Roman" w:hAnsi="Times New Roman"/>
          <w:sz w:val="17"/>
          <w:szCs w:val="17"/>
          <w:color w:val="auto"/>
        </w:rPr>
        <w:t>Date: May 6,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41910</wp:posOffset>
            </wp:positionV>
            <wp:extent cx="3176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64"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7"/>
          <w:szCs w:val="17"/>
          <w:b w:val="1"/>
          <w:bCs w:val="1"/>
          <w:color w:val="auto"/>
        </w:rPr>
        <w:t>Todd Franklin Watanabe</w:t>
      </w:r>
    </w:p>
    <w:p>
      <w:pPr>
        <w:spacing w:after="0" w:line="3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7"/>
          <w:szCs w:val="17"/>
          <w:b w:val="1"/>
          <w:bCs w:val="1"/>
          <w:color w:val="auto"/>
        </w:rPr>
        <w:t>President, Chief Executive Officer and Director</w:t>
      </w:r>
    </w:p>
    <w:p>
      <w:pPr>
        <w:spacing w:after="0" w:line="1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46" w:lineRule="exact"/>
        <w:rPr>
          <w:sz w:val="20"/>
          <w:szCs w:val="20"/>
          <w:color w:val="auto"/>
        </w:rPr>
      </w:pPr>
    </w:p>
    <w:p>
      <w:pPr>
        <w:ind w:left="640"/>
        <w:spacing w:after="0"/>
        <w:tabs>
          <w:tab w:leader="none" w:pos="5760" w:val="left"/>
          <w:tab w:leader="none" w:pos="7900" w:val="left"/>
        </w:tabs>
        <w:rPr>
          <w:sz w:val="20"/>
          <w:szCs w:val="20"/>
          <w:color w:val="auto"/>
        </w:rPr>
      </w:pPr>
      <w:r>
        <w:rPr>
          <w:rFonts w:ascii="Times New Roman" w:cs="Times New Roman" w:eastAsia="Times New Roman" w:hAnsi="Times New Roman"/>
          <w:sz w:val="17"/>
          <w:szCs w:val="17"/>
          <w:color w:val="auto"/>
        </w:rPr>
        <w:t>Date: May 6,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Latha Vairavan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41910</wp:posOffset>
            </wp:positionV>
            <wp:extent cx="3176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64"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7"/>
          <w:szCs w:val="17"/>
          <w:b w:val="1"/>
          <w:bCs w:val="1"/>
          <w:color w:val="auto"/>
        </w:rPr>
        <w:t>Latha Vairavan</w:t>
      </w:r>
    </w:p>
    <w:p>
      <w:pPr>
        <w:spacing w:after="0" w:line="3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7"/>
          <w:szCs w:val="17"/>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5"/>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7"/>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upperLetter"/>
      <w:start w:val="1"/>
    </w:lvl>
  </w:abstractNum>
  <w:abstractNum w:abstractNumId="7">
    <w:nsid w:val="1F16E9E8"/>
    <w:multiLevelType w:val="hybridMultilevel"/>
    <w:lvl w:ilvl="0">
      <w:lvlJc w:val="left"/>
      <w:lvlText w:val="%1"/>
      <w:numFmt w:val="decimal"/>
      <w:start w:val="104"/>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2">
    <w:nsid w:val="109CF92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48" Type="http://schemas.openxmlformats.org/officeDocument/2006/relationships/hyperlink" Target="https://www.sec.gov/Archives/edgar/data/1787306/000178730620000010/exhibit31postipocertif.htm" TargetMode="External"/><Relationship Id="rId49" Type="http://schemas.openxmlformats.org/officeDocument/2006/relationships/hyperlink" Target="https://www.sec.gov/Archives/edgar/data/1787306/000178730620000010/exhibit32postipobylaws.htm" TargetMode="External"/><Relationship Id="rId50" Type="http://schemas.openxmlformats.org/officeDocument/2006/relationships/hyperlink" Target="https://www.sec.gov/Archives/edgar/data/1787306/000119312520010664/d784371dex41.htm" TargetMode="External"/><Relationship Id="rId51" Type="http://schemas.openxmlformats.org/officeDocument/2006/relationships/hyperlink" Target="https://www.sec.gov/Archives/edgar/data/1787306/000119312520001990/d784371dex42.htm" TargetMode="External"/><Relationship Id="rId52" Type="http://schemas.openxmlformats.org/officeDocument/2006/relationships/hyperlink" Target="https://www.sec.gov/Archives/edgar/data/1787306/000178730626000033/arcutiss-8xapril2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2026-05-06T15:20:20Z</dcterms:created>
  <dcterms:modified xsi:type="dcterms:W3CDTF">2026-05-06T15:20:20Z</dcterms:modified>
</cp:coreProperties>
</file>