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20955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-201295</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9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1000" w:hanging="212"/>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 w:lineRule="exact"/>
        <w:rPr>
          <w:sz w:val="24"/>
          <w:szCs w:val="24"/>
          <w:color w:val="auto"/>
        </w:rPr>
      </w:pPr>
    </w:p>
    <w:p>
      <w:pPr>
        <w:ind w:left="1000" w:hanging="225"/>
        <w:spacing w:after="0"/>
        <w:tabs>
          <w:tab w:leader="none" w:pos="10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transition period from to</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001-39186</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-203835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 w:lineRule="exact"/>
        <w:rPr>
          <w:sz w:val="24"/>
          <w:szCs w:val="24"/>
          <w:color w:val="auto"/>
        </w:rPr>
      </w:pPr>
    </w:p>
    <w:tbl>
      <w:tblPr>
        <w:tblLayout w:type="fixed"/>
        <w:tblInd w:w="66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318"/>
        </w:trPr>
        <w:tc>
          <w:tcPr>
            <w:tcW w:w="1040" w:type="dxa"/>
            <w:vAlign w:val="bottom"/>
          </w:tcPr>
          <w:p>
            <w:pPr>
              <w:spacing w:after="0"/>
              <w:rPr>
                <w:sz w:val="24"/>
                <w:szCs w:val="24"/>
                <w:color w:val="auto"/>
              </w:rPr>
            </w:pPr>
          </w:p>
        </w:tc>
        <w:tc>
          <w:tcPr>
            <w:tcW w:w="204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2"/>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81-2974255</w:t>
            </w:r>
          </w:p>
        </w:tc>
      </w:tr>
      <w:tr>
        <w:trPr>
          <w:trHeight w:val="212"/>
        </w:trPr>
        <w:tc>
          <w:tcPr>
            <w:tcW w:w="43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20" w:type="dxa"/>
            <w:vAlign w:val="bottom"/>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r>
      <w:tr>
        <w:trPr>
          <w:trHeight w:val="193"/>
        </w:trPr>
        <w:tc>
          <w:tcPr>
            <w:tcW w:w="1040" w:type="dxa"/>
            <w:vAlign w:val="bottom"/>
          </w:tcPr>
          <w:p>
            <w:pPr>
              <w:spacing w:after="0"/>
              <w:rPr>
                <w:sz w:val="16"/>
                <w:szCs w:val="16"/>
                <w:color w:val="auto"/>
              </w:rPr>
            </w:pPr>
          </w:p>
        </w:tc>
        <w:tc>
          <w:tcPr>
            <w:tcW w:w="3280" w:type="dxa"/>
            <w:vAlign w:val="bottom"/>
            <w:gridSpan w:val="3"/>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3027 Townsgate Road Suite 300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2"/>
          </w:tcPr>
          <w:p>
            <w:pPr>
              <w:jc w:val="right"/>
              <w:ind w:right="1599"/>
              <w:spacing w:after="0"/>
              <w:rPr>
                <w:sz w:val="20"/>
                <w:szCs w:val="20"/>
                <w:color w:val="auto"/>
              </w:rPr>
            </w:pPr>
            <w:r>
              <w:rPr>
                <w:rFonts w:ascii="Times New Roman" w:cs="Times New Roman" w:eastAsia="Times New Roman" w:hAnsi="Times New Roman"/>
                <w:sz w:val="16"/>
                <w:szCs w:val="16"/>
                <w:b w:val="1"/>
                <w:bCs w:val="1"/>
                <w:color w:val="auto"/>
              </w:rPr>
              <w:t>91361</w:t>
            </w:r>
          </w:p>
        </w:tc>
      </w:tr>
      <w:tr>
        <w:trPr>
          <w:trHeight w:val="200"/>
        </w:trPr>
        <w:tc>
          <w:tcPr>
            <w:tcW w:w="1040" w:type="dxa"/>
            <w:vAlign w:val="bottom"/>
          </w:tcPr>
          <w:p>
            <w:pPr>
              <w:spacing w:after="0"/>
              <w:rPr>
                <w:sz w:val="17"/>
                <w:szCs w:val="17"/>
                <w:color w:val="auto"/>
              </w:rPr>
            </w:pPr>
          </w:p>
        </w:tc>
        <w:tc>
          <w:tcPr>
            <w:tcW w:w="3280" w:type="dxa"/>
            <w:vAlign w:val="bottom"/>
            <w:gridSpan w:val="3"/>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Westlake Village, California</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12"/>
        </w:trPr>
        <w:tc>
          <w:tcPr>
            <w:tcW w:w="43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74"/>
        </w:trPr>
        <w:tc>
          <w:tcPr>
            <w:tcW w:w="1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500" w:type="dxa"/>
            <w:vAlign w:val="bottom"/>
            <w:gridSpan w:val="3"/>
          </w:tcPr>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(805) 418-5006</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12"/>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8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409"/>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40" w:type="dxa"/>
            <w:vAlign w:val="bottom"/>
            <w:gridSpan w:val="4"/>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2"/>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4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tc>
      </w:tr>
      <w:tr>
        <w:trPr>
          <w:trHeight w:val="432"/>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6"/>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68"/>
        </w:trPr>
        <w:tc>
          <w:tcPr>
            <w:tcW w:w="1040" w:type="dxa"/>
            <w:vAlign w:val="bottom"/>
          </w:tcPr>
          <w:p>
            <w:pPr>
              <w:spacing w:after="0"/>
              <w:rPr>
                <w:sz w:val="14"/>
                <w:szCs w:val="14"/>
                <w:color w:val="auto"/>
              </w:rPr>
            </w:pPr>
          </w:p>
        </w:tc>
        <w:tc>
          <w:tcPr>
            <w:tcW w:w="3280" w:type="dxa"/>
            <w:vAlign w:val="bottom"/>
            <w:gridSpan w:val="3"/>
          </w:tcPr>
          <w:p>
            <w:pPr>
              <w:jc w:val="center"/>
              <w:ind w:right="211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4"/>
                <w:szCs w:val="14"/>
                <w:color w:val="auto"/>
              </w:rPr>
            </w:pPr>
          </w:p>
        </w:tc>
        <w:tc>
          <w:tcPr>
            <w:tcW w:w="250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3"/>
        </w:trPr>
        <w:tc>
          <w:tcPr>
            <w:tcW w:w="4320" w:type="dxa"/>
            <w:vAlign w:val="bottom"/>
            <w:gridSpan w:val="4"/>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Common Stock, par value $0.0001</w:t>
            </w:r>
          </w:p>
        </w:tc>
        <w:tc>
          <w:tcPr>
            <w:tcW w:w="140" w:type="dxa"/>
            <w:vAlign w:val="bottom"/>
          </w:tcPr>
          <w:p>
            <w:pPr>
              <w:spacing w:after="0"/>
              <w:rPr>
                <w:sz w:val="22"/>
                <w:szCs w:val="22"/>
                <w:color w:val="auto"/>
              </w:rPr>
            </w:pPr>
          </w:p>
        </w:tc>
        <w:tc>
          <w:tcPr>
            <w:tcW w:w="250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ARQT</w:t>
            </w:r>
          </w:p>
        </w:tc>
        <w:tc>
          <w:tcPr>
            <w:tcW w:w="2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310" w:lineRule="exact"/>
        <w:rPr>
          <w:sz w:val="24"/>
          <w:szCs w:val="24"/>
          <w:color w:val="auto"/>
        </w:rPr>
      </w:pPr>
    </w:p>
    <w:p>
      <w:pPr>
        <w:ind w:right="320"/>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1" w:lineRule="exact"/>
        <w:rPr>
          <w:sz w:val="24"/>
          <w:szCs w:val="24"/>
          <w:color w:val="auto"/>
        </w:rPr>
      </w:pPr>
    </w:p>
    <w:p>
      <w:pPr>
        <w:ind w:right="36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39"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7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2" w:lineRule="exact"/>
        <w:rPr>
          <w:sz w:val="24"/>
          <w:szCs w:val="24"/>
          <w:color w:val="auto"/>
        </w:rPr>
      </w:pPr>
    </w:p>
    <w:p>
      <w:pPr>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ind w:right="2940"/>
        <w:spacing w:after="0" w:line="28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The number of shares of the registrant’s Common Stock outstanding as of November 1, 2024 was 117,044,591.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commercialization of approved products, and our objectives for future operations.</w:t>
      </w:r>
    </w:p>
    <w:p>
      <w:pPr>
        <w:spacing w:after="0" w:line="20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September 30, 2024.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1A.</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5.</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Item 6.</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br w:type="column"/>
      </w:r>
    </w:p>
    <w:p>
      <w:pPr>
        <w:ind w:left="3980"/>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gridSpan w:val="9"/>
            <w:vMerge w:val="restart"/>
          </w:tcPr>
          <w:p>
            <w:pPr>
              <w:spacing w:after="0"/>
              <w:rPr>
                <w:sz w:val="20"/>
                <w:szCs w:val="20"/>
                <w:color w:val="auto"/>
              </w:rPr>
            </w:pPr>
            <w:r>
              <w:rPr>
                <w:rFonts w:ascii="Arial" w:cs="Arial" w:eastAsia="Arial" w:hAnsi="Arial"/>
                <w:sz w:val="18"/>
                <w:szCs w:val="18"/>
                <w:color w:val="0000FF"/>
                <w:w w:val="98"/>
              </w:rPr>
              <w:t>FINANCIAL INFORMATION</w:t>
            </w:r>
          </w:p>
        </w:tc>
        <w:tc>
          <w:tcPr>
            <w:tcW w:w="6000" w:type="dxa"/>
            <w:vAlign w:val="bottom"/>
            <w:gridSpan w:val="10"/>
            <w:vMerge w:val="restart"/>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0000FF"/>
            </w:tcBorders>
            <w:gridSpan w:val="9"/>
            <w:vMerge w:val="continue"/>
          </w:tcPr>
          <w:p>
            <w:pPr>
              <w:spacing w:after="0"/>
              <w:rPr>
                <w:sz w:val="15"/>
                <w:szCs w:val="15"/>
                <w:color w:val="auto"/>
              </w:rPr>
            </w:pPr>
          </w:p>
        </w:tc>
        <w:tc>
          <w:tcPr>
            <w:tcW w:w="6000" w:type="dxa"/>
            <w:vAlign w:val="bottom"/>
            <w:gridSpan w:val="10"/>
            <w:vMerge w:val="continue"/>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824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1600" w:type="dxa"/>
            <w:vAlign w:val="bottom"/>
          </w:tcPr>
          <w:p>
            <w:pPr>
              <w:jc w:val="right"/>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Condensed Consolidated Balance Sheets</w:t>
            </w:r>
          </w:p>
        </w:tc>
        <w:tc>
          <w:tcPr>
            <w:tcW w:w="4900" w:type="dxa"/>
            <w:vAlign w:val="bottom"/>
            <w:gridSpan w:val="8"/>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10"/>
        </w:trPr>
        <w:tc>
          <w:tcPr>
            <w:tcW w:w="82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1600" w:type="dxa"/>
            <w:vAlign w:val="bottom"/>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9"/>
        </w:trPr>
        <w:tc>
          <w:tcPr>
            <w:tcW w:w="62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2040" w:type="dxa"/>
            <w:vAlign w:val="bottom"/>
            <w:gridSpan w:val="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10"/>
        </w:trPr>
        <w:tc>
          <w:tcPr>
            <w:tcW w:w="41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4"/>
          </w:tcPr>
          <w:p>
            <w:pPr>
              <w:spacing w:after="0"/>
              <w:rPr>
                <w:sz w:val="18"/>
                <w:szCs w:val="18"/>
                <w:color w:val="auto"/>
              </w:rPr>
            </w:pPr>
          </w:p>
        </w:tc>
        <w:tc>
          <w:tcPr>
            <w:tcW w:w="2420" w:type="dxa"/>
            <w:vAlign w:val="bottom"/>
            <w:gridSpan w:val="3"/>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318"/>
        </w:trPr>
        <w:tc>
          <w:tcPr>
            <w:tcW w:w="4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76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3540" w:type="dxa"/>
            <w:vAlign w:val="bottom"/>
            <w:gridSpan w:val="5"/>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9"/>
        </w:trPr>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240" w:type="dxa"/>
            <w:vAlign w:val="bottom"/>
            <w:gridSpan w:val="11"/>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480"/>
        </w:trPr>
        <w:tc>
          <w:tcPr>
            <w:tcW w:w="824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Legal Proceedings</w:t>
            </w:r>
          </w:p>
        </w:tc>
        <w:tc>
          <w:tcPr>
            <w:tcW w:w="420" w:type="dxa"/>
            <w:vAlign w:val="bottom"/>
            <w:tcBorders>
              <w:top w:val="single" w:sz="8" w:color="0000FF"/>
            </w:tcBorders>
            <w:gridSpan w:val="2"/>
          </w:tcPr>
          <w:p>
            <w:pPr>
              <w:spacing w:after="0"/>
              <w:rPr>
                <w:sz w:val="18"/>
                <w:szCs w:val="18"/>
                <w:color w:val="auto"/>
              </w:rPr>
            </w:pPr>
          </w:p>
        </w:tc>
        <w:tc>
          <w:tcPr>
            <w:tcW w:w="6320" w:type="dxa"/>
            <w:vAlign w:val="bottom"/>
            <w:gridSpan w:val="13"/>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9"/>
        </w:trPr>
        <w:tc>
          <w:tcPr>
            <w:tcW w:w="824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1600" w:type="dxa"/>
            <w:vAlign w:val="bottom"/>
          </w:tcPr>
          <w:p>
            <w:pPr>
              <w:jc w:val="right"/>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38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50"/>
        </w:trPr>
        <w:tc>
          <w:tcPr>
            <w:tcW w:w="25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Defaults Upon Senior Securities</w:t>
            </w:r>
          </w:p>
        </w:tc>
        <w:tc>
          <w:tcPr>
            <w:tcW w:w="5680" w:type="dxa"/>
            <w:vAlign w:val="bottom"/>
            <w:gridSpan w:val="9"/>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6300" w:type="dxa"/>
            <w:vAlign w:val="bottom"/>
            <w:gridSpan w:val="12"/>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37"/>
        </w:trPr>
        <w:tc>
          <w:tcPr>
            <w:tcW w:w="824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1600" w:type="dxa"/>
            <w:vAlign w:val="bottom"/>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23"/>
        </w:trPr>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19"/>
                <w:szCs w:val="19"/>
                <w:color w:val="auto"/>
              </w:rPr>
            </w:pPr>
          </w:p>
        </w:tc>
        <w:tc>
          <w:tcPr>
            <w:tcW w:w="6840" w:type="dxa"/>
            <w:vAlign w:val="bottom"/>
            <w:gridSpan w:val="16"/>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1109980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60" w:space="440"/>
            <w:col w:w="9840"/>
          </w:cols>
          <w:pgMar w:left="380" w:top="1133"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134,851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88,398</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15"/>
        </w:trPr>
        <w:tc>
          <w:tcPr>
            <w:tcW w:w="834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195,710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183,463</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Trade receivables, net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25,807</w:t>
            </w:r>
          </w:p>
        </w:tc>
        <w:tc>
          <w:tcPr>
            <w:tcW w:w="0" w:type="dxa"/>
            <w:vAlign w:val="bottom"/>
          </w:tcPr>
          <w:p>
            <w:pPr>
              <w:spacing w:after="0"/>
              <w:rPr>
                <w:sz w:val="1"/>
                <w:szCs w:val="1"/>
                <w:color w:val="auto"/>
              </w:rPr>
            </w:pPr>
          </w:p>
        </w:tc>
      </w:tr>
      <w:tr>
        <w:trPr>
          <w:trHeight w:val="215"/>
        </w:trPr>
        <w:tc>
          <w:tcPr>
            <w:tcW w:w="834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13,134</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18,704</w:t>
            </w:r>
          </w:p>
        </w:tc>
        <w:tc>
          <w:tcPr>
            <w:tcW w:w="0" w:type="dxa"/>
            <w:vAlign w:val="bottom"/>
          </w:tcPr>
          <w:p>
            <w:pPr>
              <w:spacing w:after="0"/>
              <w:rPr>
                <w:sz w:val="1"/>
                <w:szCs w:val="1"/>
                <w:color w:val="auto"/>
              </w:rPr>
            </w:pP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423,720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330,431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6,438</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11,992</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33,941</w:t>
            </w:r>
          </w:p>
        </w:tc>
        <w:tc>
          <w:tcPr>
            <w:tcW w:w="0" w:type="dxa"/>
            <w:vAlign w:val="bottom"/>
          </w:tcPr>
          <w:p>
            <w:pPr>
              <w:spacing w:after="0"/>
              <w:rPr>
                <w:sz w:val="1"/>
                <w:szCs w:val="1"/>
                <w:color w:val="auto"/>
              </w:rPr>
            </w:pPr>
          </w:p>
        </w:tc>
      </w:tr>
      <w:tr>
        <w:trPr>
          <w:trHeight w:val="229"/>
        </w:trPr>
        <w:tc>
          <w:tcPr>
            <w:tcW w:w="8340" w:type="dxa"/>
            <w:vAlign w:val="bottom"/>
          </w:tcPr>
          <w:p>
            <w:pPr>
              <w:ind w:left="340"/>
              <w:spacing w:after="0"/>
              <w:rPr>
                <w:sz w:val="20"/>
                <w:szCs w:val="20"/>
                <w:color w:val="auto"/>
              </w:rPr>
            </w:pPr>
            <w:r>
              <w:rPr>
                <w:rFonts w:ascii="Arial" w:cs="Arial" w:eastAsia="Arial" w:hAnsi="Arial"/>
                <w:sz w:val="16"/>
                <w:szCs w:val="16"/>
                <w:color w:val="auto"/>
              </w:rPr>
              <w:t>Current portion of long-term debt,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liability</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172,426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46,668</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noncurrent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105,095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201,799</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280,713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252,698</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Preferred stock, $0.0001 par value; 10,000,000 shares authorized; no shares issued and outstanding</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340" w:type="dxa"/>
            <w:vAlign w:val="bottom"/>
          </w:tcPr>
          <w:p>
            <w:pPr>
              <w:ind w:left="500"/>
              <w:spacing w:after="0" w:line="162" w:lineRule="exact"/>
              <w:rPr>
                <w:sz w:val="20"/>
                <w:szCs w:val="20"/>
                <w:color w:val="auto"/>
              </w:rPr>
            </w:pPr>
            <w:r>
              <w:rPr>
                <w:rFonts w:ascii="Arial" w:cs="Arial" w:eastAsia="Arial" w:hAnsi="Arial"/>
                <w:sz w:val="16"/>
                <w:szCs w:val="16"/>
                <w:color w:val="auto"/>
              </w:rPr>
              <w:t>Common stock, $0.0001 par value; 300,000,000 shares authorized; 116,998,829 and 96,787,343 shares</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8340" w:type="dxa"/>
            <w:vAlign w:val="bottom"/>
          </w:tcPr>
          <w:p>
            <w:pPr>
              <w:ind w:left="500"/>
              <w:spacing w:after="0"/>
              <w:rPr>
                <w:sz w:val="20"/>
                <w:szCs w:val="20"/>
                <w:color w:val="auto"/>
              </w:rPr>
            </w:pPr>
            <w:r>
              <w:rPr>
                <w:rFonts w:ascii="Arial" w:cs="Arial" w:eastAsia="Arial" w:hAnsi="Arial"/>
                <w:sz w:val="16"/>
                <w:szCs w:val="16"/>
                <w:color w:val="auto"/>
              </w:rPr>
              <w:t>issued and outstanding at September 30, 2024 and December 31, 2023, respectively</w:t>
            </w: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1,070,558</w:t>
            </w:r>
          </w:p>
        </w:tc>
        <w:tc>
          <w:tcPr>
            <w:tcW w:w="0" w:type="dxa"/>
            <w:vAlign w:val="bottom"/>
          </w:tcPr>
          <w:p>
            <w:pPr>
              <w:spacing w:after="0"/>
              <w:rPr>
                <w:sz w:val="1"/>
                <w:szCs w:val="1"/>
                <w:color w:val="auto"/>
              </w:rPr>
            </w:pPr>
          </w:p>
        </w:tc>
      </w:tr>
      <w:tr>
        <w:trPr>
          <w:trHeight w:val="215"/>
        </w:trPr>
        <w:tc>
          <w:tcPr>
            <w:tcW w:w="834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(1,111,155)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(981,904)</w:t>
            </w: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88,667</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44,755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97,182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125,182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46,080</w:t>
            </w: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226,012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(179,932)</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(192,768)</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(44,657)</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(128,722)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(194,954)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Per share information:</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60"/>
              <w:spacing w:after="0" w:line="163" w:lineRule="exact"/>
              <w:rPr>
                <w:sz w:val="20"/>
                <w:szCs w:val="20"/>
                <w:color w:val="auto"/>
              </w:rPr>
            </w:pPr>
            <w:r>
              <w:rPr>
                <w:rFonts w:ascii="Arial" w:cs="Arial" w:eastAsia="Arial" w:hAnsi="Arial"/>
                <w:sz w:val="18"/>
                <w:szCs w:val="18"/>
                <w:color w:val="auto"/>
              </w:rPr>
              <w:t>Weighted-average shares used in computing net loss per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124,302,317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61,727,278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119,627,687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61,462,025</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share, basic and diluted</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line="203" w:lineRule="auto"/>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60" w:type="dxa"/>
            <w:vAlign w:val="bottom"/>
          </w:tcPr>
          <w:p>
            <w:pPr>
              <w:spacing w:after="0"/>
              <w:rPr>
                <w:sz w:val="10"/>
                <w:szCs w:val="10"/>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9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Other</w:t>
            </w:r>
          </w:p>
        </w:tc>
        <w:tc>
          <w:tcPr>
            <w:tcW w:w="240" w:type="dxa"/>
            <w:vAlign w:val="bottom"/>
          </w:tcPr>
          <w:p>
            <w:pPr>
              <w:spacing w:after="0"/>
              <w:rPr>
                <w:sz w:val="4"/>
                <w:szCs w:val="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Accumulated</w:t>
            </w:r>
          </w:p>
        </w:tc>
        <w:tc>
          <w:tcPr>
            <w:tcW w:w="10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9"/>
              </w:rPr>
              <w:t>Total Stockholders’</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960" w:type="dxa"/>
            <w:vAlign w:val="bottom"/>
          </w:tcPr>
          <w:p>
            <w:pPr>
              <w:spacing w:after="0"/>
              <w:rPr>
                <w:sz w:val="9"/>
                <w:szCs w:val="9"/>
                <w:color w:val="auto"/>
              </w:rPr>
            </w:pPr>
          </w:p>
        </w:tc>
        <w:tc>
          <w:tcPr>
            <w:tcW w:w="140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9"/>
                <w:szCs w:val="9"/>
                <w:color w:val="auto"/>
              </w:rPr>
            </w:pPr>
          </w:p>
        </w:tc>
        <w:tc>
          <w:tcPr>
            <w:tcW w:w="9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Paid-In</w:t>
            </w:r>
          </w:p>
        </w:tc>
        <w:tc>
          <w:tcPr>
            <w:tcW w:w="11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2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Income (Loss)</w:t>
            </w:r>
          </w:p>
        </w:tc>
        <w:tc>
          <w:tcPr>
            <w:tcW w:w="240" w:type="dxa"/>
            <w:vAlign w:val="bottom"/>
          </w:tcPr>
          <w:p>
            <w:pPr>
              <w:spacing w:after="0"/>
              <w:rPr>
                <w:sz w:val="13"/>
                <w:szCs w:val="13"/>
                <w:color w:val="auto"/>
              </w:rPr>
            </w:pPr>
          </w:p>
        </w:tc>
        <w:tc>
          <w:tcPr>
            <w:tcW w:w="1300" w:type="dxa"/>
            <w:vAlign w:val="bottom"/>
            <w:gridSpan w:val="2"/>
          </w:tcPr>
          <w:p>
            <w:pPr>
              <w:ind w:left="320"/>
              <w:spacing w:after="0"/>
              <w:rPr>
                <w:sz w:val="20"/>
                <w:szCs w:val="20"/>
                <w:color w:val="auto"/>
              </w:rPr>
            </w:pPr>
            <w:r>
              <w:rPr>
                <w:rFonts w:ascii="Arial" w:cs="Arial" w:eastAsia="Arial" w:hAnsi="Arial"/>
                <w:sz w:val="11"/>
                <w:szCs w:val="11"/>
                <w:b w:val="1"/>
                <w:bCs w:val="1"/>
                <w:color w:val="auto"/>
              </w:rPr>
              <w:t>Deficit</w:t>
            </w:r>
          </w:p>
        </w:tc>
        <w:tc>
          <w:tcPr>
            <w:tcW w:w="240" w:type="dxa"/>
            <w:vAlign w:val="bottom"/>
          </w:tcPr>
          <w:p>
            <w:pPr>
              <w:spacing w:after="0"/>
              <w:rPr>
                <w:sz w:val="13"/>
                <w:szCs w:val="13"/>
                <w:color w:val="auto"/>
              </w:rPr>
            </w:pPr>
          </w:p>
        </w:tc>
        <w:tc>
          <w:tcPr>
            <w:tcW w:w="840" w:type="dxa"/>
            <w:vAlign w:val="bottom"/>
          </w:tcPr>
          <w:p>
            <w:pPr>
              <w:jc w:val="right"/>
              <w:ind w:right="3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96,787,349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1,070,558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(981,904)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88,667</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Arial" w:cs="Arial" w:eastAsia="Arial" w:hAnsi="Arial"/>
                <w:sz w:val="16"/>
                <w:szCs w:val="16"/>
                <w:color w:val="auto"/>
              </w:rPr>
              <w:t>Issuance of shares of common stock net of discount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18,157,895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161,679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161,682</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and issuance costs of $10,820</w:t>
            </w: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upon the exercise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upon the vesting of</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538,330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10,030</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Unrealized loss on marketable securities</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(35,382)</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Balance—March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115,505,437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1,242,349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(1,017,286)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224,942</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upon the exercise of</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147,490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upon the vesting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443,365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Arial" w:cs="Arial" w:eastAsia="Arial" w:hAnsi="Arial"/>
                <w:sz w:val="16"/>
                <w:szCs w:val="16"/>
                <w:color w:val="auto"/>
              </w:rPr>
              <w:t>Shares issued pursuant to the employee stock</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383,975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purchase plan</w:t>
            </w: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12,523</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Unrealized loss on marketable securities</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(52,332)</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Balance—June 30,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116,480,267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1,256,327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(1,069,618)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186,427</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upon the exercise of</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138,566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upon the vesting of</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379,996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10,530</w:t>
            </w: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marketable securities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(41,537)</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6"/>
                <w:szCs w:val="16"/>
                <w:color w:val="auto"/>
              </w:rPr>
              <w:t>Balance—September 30, 2024</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116,998,829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1,267,251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(1,111,155)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156,641</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line="203" w:lineRule="auto"/>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40" w:type="dxa"/>
            <w:vAlign w:val="bottom"/>
          </w:tcPr>
          <w:p>
            <w:pPr>
              <w:spacing w:after="0"/>
              <w:rPr>
                <w:sz w:val="10"/>
                <w:szCs w:val="10"/>
                <w:color w:val="auto"/>
              </w:rPr>
            </w:pPr>
          </w:p>
        </w:tc>
        <w:tc>
          <w:tcPr>
            <w:tcW w:w="166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9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Other</w:t>
            </w:r>
          </w:p>
        </w:tc>
        <w:tc>
          <w:tcPr>
            <w:tcW w:w="240" w:type="dxa"/>
            <w:vAlign w:val="bottom"/>
          </w:tcPr>
          <w:p>
            <w:pPr>
              <w:spacing w:after="0"/>
              <w:rPr>
                <w:sz w:val="4"/>
                <w:szCs w:val="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Accumulated</w:t>
            </w:r>
          </w:p>
        </w:tc>
        <w:tc>
          <w:tcPr>
            <w:tcW w:w="10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9"/>
              </w:rPr>
              <w:t>Total Stockholders’</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940" w:type="dxa"/>
            <w:vAlign w:val="bottom"/>
          </w:tcPr>
          <w:p>
            <w:pPr>
              <w:spacing w:after="0"/>
              <w:rPr>
                <w:sz w:val="9"/>
                <w:szCs w:val="9"/>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9"/>
                <w:szCs w:val="9"/>
                <w:color w:val="auto"/>
              </w:rPr>
            </w:pPr>
          </w:p>
        </w:tc>
        <w:tc>
          <w:tcPr>
            <w:tcW w:w="9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Paid-In</w:t>
            </w:r>
          </w:p>
        </w:tc>
        <w:tc>
          <w:tcPr>
            <w:tcW w:w="11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2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24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Arial" w:cs="Arial" w:eastAsia="Arial" w:hAnsi="Arial"/>
                <w:sz w:val="11"/>
                <w:szCs w:val="11"/>
                <w:b w:val="1"/>
                <w:bCs w:val="1"/>
                <w:color w:val="auto"/>
              </w:rPr>
              <w:t>Deficit</w:t>
            </w:r>
          </w:p>
        </w:tc>
        <w:tc>
          <w:tcPr>
            <w:tcW w:w="240" w:type="dxa"/>
            <w:vAlign w:val="bottom"/>
          </w:tcPr>
          <w:p>
            <w:pPr>
              <w:spacing w:after="0"/>
              <w:rPr>
                <w:sz w:val="13"/>
                <w:szCs w:val="13"/>
                <w:color w:val="auto"/>
              </w:rPr>
            </w:pPr>
          </w:p>
        </w:tc>
        <w:tc>
          <w:tcPr>
            <w:tcW w:w="840" w:type="dxa"/>
            <w:vAlign w:val="bottom"/>
          </w:tcPr>
          <w:p>
            <w:pPr>
              <w:jc w:val="right"/>
              <w:ind w:right="3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61,037,403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930,425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(719,764)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209,581</w:t>
            </w: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upon the exercise of</w:t>
            </w: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color w:val="auto"/>
              </w:rPr>
              <w:t>31,497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upon the vesting of</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285,314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color w:val="auto"/>
              </w:rPr>
              <w:t>Lapse of repurchase rights related to common stock</w:t>
            </w: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issued pursuant to early exercises</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9,479</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Unrealized loss on marketable securities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(80,100)</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Balance—March 31, 2023</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61,357,932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940,004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(799,864)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139,732</w:t>
            </w: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upon the exercise of</w:t>
            </w: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color w:val="auto"/>
              </w:rPr>
              <w:t>35,700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upon the vesting of</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77,221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color w:val="auto"/>
              </w:rPr>
              <w:t>Lapse of repurchase rights related to common stock</w:t>
            </w: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color w:val="auto"/>
              </w:rPr>
              <w:t>3,719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issued pursuant to early exercises</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Shares issued pursuant to the employee stock</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155,446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plan</w:t>
            </w: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10,578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10,578</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marketable securities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(70,991)</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Balance—June 30, 2023</w:t>
            </w:r>
          </w:p>
        </w:tc>
        <w:tc>
          <w:tcPr>
            <w:tcW w:w="13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61,630,018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951,649</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(870,855)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80,508</w:t>
            </w: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upon the exercise of</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172,320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867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upon the vesting of</w:t>
            </w:r>
          </w:p>
        </w:tc>
        <w:tc>
          <w:tcPr>
            <w:tcW w:w="1320" w:type="dxa"/>
            <w:vAlign w:val="bottom"/>
            <w:vMerge w:val="restart"/>
          </w:tcPr>
          <w:p>
            <w:pPr>
              <w:jc w:val="right"/>
              <w:ind w:right="1"/>
              <w:spacing w:after="0"/>
              <w:rPr>
                <w:sz w:val="20"/>
                <w:szCs w:val="20"/>
                <w:color w:val="auto"/>
              </w:rPr>
            </w:pPr>
            <w:r>
              <w:rPr>
                <w:rFonts w:ascii="Arial" w:cs="Arial" w:eastAsia="Arial" w:hAnsi="Arial"/>
                <w:sz w:val="16"/>
                <w:szCs w:val="16"/>
                <w:color w:val="auto"/>
              </w:rPr>
              <w:t>51,988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Lapse of repurchase rights related to common stock</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pursuant to early exercises</w:t>
            </w: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9,999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9,999</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marketable securities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(44,765)</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Balance—September 30, 2023</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61,858,044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962,515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(915,620)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46,717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7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r>
      <w:tr>
        <w:trPr>
          <w:trHeight w:val="183"/>
        </w:trPr>
        <w:tc>
          <w:tcPr>
            <w:tcW w:w="7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8"/>
        </w:trPr>
        <w:tc>
          <w:tcPr>
            <w:tcW w:w="792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(129,251)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(195,856)</w:t>
            </w:r>
          </w:p>
        </w:tc>
      </w:tr>
      <w:tr>
        <w:trPr>
          <w:trHeight w:val="207"/>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7920" w:type="dxa"/>
            <w:vAlign w:val="bottom"/>
          </w:tcPr>
          <w:p>
            <w:pPr>
              <w:ind w:left="66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573</w:t>
            </w:r>
          </w:p>
        </w:tc>
      </w:tr>
      <w:tr>
        <w:trPr>
          <w:trHeight w:val="207"/>
        </w:trPr>
        <w:tc>
          <w:tcPr>
            <w:tcW w:w="7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Non-cash lease expense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98"/>
        </w:trPr>
        <w:tc>
          <w:tcPr>
            <w:tcW w:w="7920" w:type="dxa"/>
            <w:vAlign w:val="bottom"/>
          </w:tcPr>
          <w:p>
            <w:pPr>
              <w:ind w:left="66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563</w:t>
            </w:r>
          </w:p>
        </w:tc>
      </w:tr>
      <w:tr>
        <w:trPr>
          <w:trHeight w:val="207"/>
        </w:trPr>
        <w:tc>
          <w:tcPr>
            <w:tcW w:w="7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accretion on marketable securities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(5,517)</w:t>
            </w:r>
          </w:p>
        </w:tc>
      </w:tr>
      <w:tr>
        <w:trPr>
          <w:trHeight w:val="198"/>
        </w:trPr>
        <w:tc>
          <w:tcPr>
            <w:tcW w:w="7920" w:type="dxa"/>
            <w:vAlign w:val="bottom"/>
          </w:tcPr>
          <w:p>
            <w:pPr>
              <w:ind w:left="660"/>
              <w:spacing w:after="0"/>
              <w:rPr>
                <w:sz w:val="20"/>
                <w:szCs w:val="20"/>
                <w:color w:val="auto"/>
              </w:rPr>
            </w:pPr>
            <w:r>
              <w:rPr>
                <w:rFonts w:ascii="Arial" w:cs="Arial" w:eastAsia="Arial" w:hAnsi="Arial"/>
                <w:sz w:val="14"/>
                <w:szCs w:val="14"/>
                <w:color w:val="auto"/>
              </w:rPr>
              <w:t>Non-cash interest expense</w:t>
            </w:r>
          </w:p>
        </w:tc>
        <w:tc>
          <w:tcPr>
            <w:tcW w:w="2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2,809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3,014</w:t>
            </w:r>
          </w:p>
        </w:tc>
      </w:tr>
      <w:tr>
        <w:trPr>
          <w:trHeight w:val="207"/>
        </w:trPr>
        <w:tc>
          <w:tcPr>
            <w:tcW w:w="7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30,056</w:t>
            </w:r>
          </w:p>
        </w:tc>
      </w:tr>
      <w:tr>
        <w:trPr>
          <w:trHeight w:val="198"/>
        </w:trPr>
        <w:tc>
          <w:tcPr>
            <w:tcW w:w="7920" w:type="dxa"/>
            <w:vAlign w:val="bottom"/>
          </w:tcPr>
          <w:p>
            <w:pPr>
              <w:ind w:left="660"/>
              <w:spacing w:after="0"/>
              <w:rPr>
                <w:sz w:val="20"/>
                <w:szCs w:val="20"/>
                <w:color w:val="auto"/>
              </w:rPr>
            </w:pPr>
            <w:r>
              <w:rPr>
                <w:rFonts w:ascii="Arial" w:cs="Arial" w:eastAsia="Arial" w:hAnsi="Arial"/>
                <w:sz w:val="14"/>
                <w:szCs w:val="14"/>
                <w:color w:val="auto"/>
              </w:rPr>
              <w:t>Changes in fair value of embedded derivative instrument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7920" w:type="dxa"/>
            <w:vAlign w:val="bottom"/>
          </w:tcPr>
          <w:p>
            <w:pPr>
              <w:ind w:left="98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(33,133)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(10,959)</w:t>
            </w:r>
          </w:p>
        </w:tc>
      </w:tr>
      <w:tr>
        <w:trPr>
          <w:trHeight w:val="207"/>
        </w:trPr>
        <w:tc>
          <w:tcPr>
            <w:tcW w:w="7920" w:type="dxa"/>
            <w:vAlign w:val="bottom"/>
            <w:shd w:val="clear" w:color="auto" w:fill="CCEEFF"/>
          </w:tcPr>
          <w:p>
            <w:pPr>
              <w:ind w:left="9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(6,399)</w:t>
            </w:r>
          </w:p>
        </w:tc>
      </w:tr>
      <w:tr>
        <w:trPr>
          <w:trHeight w:val="198"/>
        </w:trPr>
        <w:tc>
          <w:tcPr>
            <w:tcW w:w="7920" w:type="dxa"/>
            <w:vAlign w:val="bottom"/>
          </w:tcPr>
          <w:p>
            <w:pPr>
              <w:ind w:left="9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(10,087)</w:t>
            </w:r>
          </w:p>
        </w:tc>
      </w:tr>
      <w:tr>
        <w:trPr>
          <w:trHeight w:val="207"/>
        </w:trPr>
        <w:tc>
          <w:tcPr>
            <w:tcW w:w="7920" w:type="dxa"/>
            <w:vAlign w:val="bottom"/>
            <w:shd w:val="clear" w:color="auto" w:fill="CCEEFF"/>
          </w:tcPr>
          <w:p>
            <w:pPr>
              <w:ind w:left="9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w:t>
            </w:r>
          </w:p>
        </w:tc>
      </w:tr>
      <w:tr>
        <w:trPr>
          <w:trHeight w:val="198"/>
        </w:trPr>
        <w:tc>
          <w:tcPr>
            <w:tcW w:w="7920" w:type="dxa"/>
            <w:vAlign w:val="bottom"/>
          </w:tcPr>
          <w:p>
            <w:pPr>
              <w:ind w:left="98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18,850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(323)</w:t>
            </w:r>
          </w:p>
        </w:tc>
      </w:tr>
      <w:tr>
        <w:trPr>
          <w:trHeight w:val="207"/>
        </w:trPr>
        <w:tc>
          <w:tcPr>
            <w:tcW w:w="7920" w:type="dxa"/>
            <w:vAlign w:val="bottom"/>
            <w:shd w:val="clear" w:color="auto" w:fill="CCEEFF"/>
          </w:tcPr>
          <w:p>
            <w:pPr>
              <w:ind w:left="98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r>
      <w:tr>
        <w:trPr>
          <w:trHeight w:val="192"/>
        </w:trPr>
        <w:tc>
          <w:tcPr>
            <w:tcW w:w="7920" w:type="dxa"/>
            <w:vAlign w:val="bottom"/>
          </w:tcPr>
          <w:p>
            <w:pPr>
              <w:ind w:left="142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(111,410)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(190,813)</w:t>
            </w:r>
          </w:p>
        </w:tc>
      </w:tr>
      <w:tr>
        <w:trPr>
          <w:trHeight w:val="207"/>
        </w:trPr>
        <w:tc>
          <w:tcPr>
            <w:tcW w:w="7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7920" w:type="dxa"/>
            <w:vAlign w:val="bottom"/>
          </w:tcPr>
          <w:p>
            <w:pPr>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(237,421)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(107,660)</w:t>
            </w:r>
          </w:p>
        </w:tc>
      </w:tr>
      <w:tr>
        <w:trPr>
          <w:trHeight w:val="207"/>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maturities of marketable securities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231,507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350,500</w:t>
            </w:r>
          </w:p>
        </w:tc>
      </w:tr>
      <w:tr>
        <w:trPr>
          <w:trHeight w:val="198"/>
        </w:trPr>
        <w:tc>
          <w:tcPr>
            <w:tcW w:w="7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r>
      <w:tr>
        <w:trPr>
          <w:trHeight w:val="200"/>
        </w:trPr>
        <w:tc>
          <w:tcPr>
            <w:tcW w:w="792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(used in) provided by investing activities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242,418</w:t>
            </w:r>
          </w:p>
        </w:tc>
      </w:tr>
      <w:tr>
        <w:trPr>
          <w:trHeight w:val="202"/>
        </w:trPr>
        <w:tc>
          <w:tcPr>
            <w:tcW w:w="79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r>
      <w:tr>
        <w:trPr>
          <w:trHeight w:val="198"/>
        </w:trPr>
        <w:tc>
          <w:tcPr>
            <w:tcW w:w="7920" w:type="dxa"/>
            <w:vAlign w:val="bottom"/>
          </w:tcPr>
          <w:p>
            <w:pPr>
              <w:spacing w:after="0"/>
              <w:rPr>
                <w:sz w:val="20"/>
                <w:szCs w:val="20"/>
                <w:color w:val="auto"/>
              </w:rPr>
            </w:pPr>
            <w:r>
              <w:rPr>
                <w:rFonts w:ascii="Arial" w:cs="Arial" w:eastAsia="Arial" w:hAnsi="Arial"/>
                <w:sz w:val="14"/>
                <w:szCs w:val="14"/>
                <w:color w:val="auto"/>
              </w:rPr>
              <w:t>Proceeds from issuance of common stock pursuant to employee stock purchase plan</w:t>
            </w:r>
          </w:p>
        </w:tc>
        <w:tc>
          <w:tcPr>
            <w:tcW w:w="2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207"/>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common stock, net of issuance costs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161,682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20" w:type="dxa"/>
            <w:vAlign w:val="bottom"/>
          </w:tcPr>
          <w:p>
            <w:pPr>
              <w:ind w:left="142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163,613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2,034</w:t>
            </w:r>
          </w:p>
        </w:tc>
      </w:tr>
      <w:tr>
        <w:trPr>
          <w:trHeight w:val="207"/>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92"/>
        </w:trPr>
        <w:tc>
          <w:tcPr>
            <w:tcW w:w="7920" w:type="dxa"/>
            <w:vAlign w:val="bottom"/>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46,145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53,521</w:t>
            </w:r>
          </w:p>
        </w:tc>
      </w:tr>
      <w:tr>
        <w:trPr>
          <w:trHeight w:val="207"/>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89,323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54,875</w:t>
            </w:r>
          </w:p>
        </w:tc>
      </w:tr>
      <w:tr>
        <w:trPr>
          <w:trHeight w:val="192"/>
        </w:trPr>
        <w:tc>
          <w:tcPr>
            <w:tcW w:w="7920" w:type="dxa"/>
            <w:vAlign w:val="bottom"/>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135,468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108,396</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7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8"/>
        </w:trPr>
        <w:tc>
          <w:tcPr>
            <w:tcW w:w="7920" w:type="dxa"/>
            <w:vAlign w:val="bottom"/>
          </w:tcPr>
          <w:p>
            <w:pPr>
              <w:ind w:left="340"/>
              <w:spacing w:after="0"/>
              <w:rPr>
                <w:sz w:val="20"/>
                <w:szCs w:val="20"/>
                <w:color w:val="auto"/>
              </w:rPr>
            </w:pPr>
            <w:r>
              <w:rPr>
                <w:rFonts w:ascii="Arial" w:cs="Arial" w:eastAsia="Arial" w:hAnsi="Arial"/>
                <w:sz w:val="14"/>
                <w:szCs w:val="14"/>
                <w:color w:val="auto"/>
              </w:rPr>
              <w:t>Milestone for intangible asset not yet paid in cash</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7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8"/>
        </w:trPr>
        <w:tc>
          <w:tcPr>
            <w:tcW w:w="7920" w:type="dxa"/>
            <w:vAlign w:val="bottom"/>
          </w:tcPr>
          <w:p>
            <w:pPr>
              <w:ind w:left="340"/>
              <w:spacing w:after="0"/>
              <w:rPr>
                <w:sz w:val="20"/>
                <w:szCs w:val="20"/>
                <w:color w:val="auto"/>
              </w:rPr>
            </w:pPr>
            <w:r>
              <w:rPr>
                <w:rFonts w:ascii="Arial" w:cs="Arial" w:eastAsia="Arial" w:hAnsi="Arial"/>
                <w:sz w:val="14"/>
                <w:szCs w:val="14"/>
                <w:color w:val="auto"/>
              </w:rPr>
              <w:t>Interest expense paid in cash</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19,253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18,862</w:t>
            </w:r>
          </w:p>
        </w:tc>
      </w:tr>
      <w:tr>
        <w:trPr>
          <w:trHeight w:val="25"/>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42"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Arcutis Biotherapeutics, Inc., or the Company, is a commercial-stage biopharmaceutical company focused on developing and commercializing treatments for dermatological diseases with high unmet medical needs. The Company’s strategy is to focus on validated biological targets and to use its drug development platform and deep dermatology expertise to develop differentiated products that have the potential to address the major shortcomings of existing therapies in its targeted indications.</w:t>
      </w:r>
    </w:p>
    <w:p>
      <w:pPr>
        <w:spacing w:after="0" w:line="106" w:lineRule="exact"/>
        <w:rPr>
          <w:sz w:val="20"/>
          <w:szCs w:val="20"/>
          <w:color w:val="auto"/>
        </w:rPr>
      </w:pPr>
    </w:p>
    <w:p>
      <w:pPr>
        <w:ind w:firstLine="648"/>
        <w:spacing w:after="0" w:line="232" w:lineRule="auto"/>
        <w:rPr>
          <w:sz w:val="20"/>
          <w:szCs w:val="20"/>
          <w:color w:val="auto"/>
        </w:rPr>
      </w:pPr>
      <w:r>
        <w:rPr>
          <w:rFonts w:ascii="Arial" w:cs="Arial" w:eastAsia="Arial" w:hAnsi="Arial"/>
          <w:sz w:val="18"/>
          <w:szCs w:val="18"/>
          <w:color w:val="auto"/>
        </w:rPr>
        <w:t>The Company received U.S. Food and Drug Administration ("FDA") approval of its first product, ZORYVE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(roflumilast) cream 0.3% ("ZORYVE cream 0.3%"), on July 29, 2022, for the treatment of plaque psoriasis, including intertriginous psoriasis, in individuals 12 years of age and older (subsequently approved down to 6 years old), and began U.S. commercialization in August 2022. The Company also received Health Canada approval of ZORYVE cream 0.3% in plaque psoriasis on April 28, 2023 and began Canadian commercialization in June 2023. The Company received FDA approval of ZORYVE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(roflumilast) topical foam 0.3% ("ZORYVE foam"), on December 15, 2023, for the treatment of seborrheic dermatitis in individuals 9 years of age and older, and began U.S. commercialization in late January 2024. The Company received FDA approval of ZORYVE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(roflumilast) cream 0.15%, ("ZORYVE cream 0.15%") on July 9, 2024, for the treatment of mild to moderate atopic dermatitis in adult and pediatric patients 6 years of age and older, and began U.S. commercialization in late July 2024. The Company received Health Canada approval of ZORYVE foam in October 2024.</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 and Follow-On Financings</w:t>
      </w:r>
    </w:p>
    <w:p>
      <w:pPr>
        <w:spacing w:after="0" w:line="142" w:lineRule="exact"/>
        <w:rPr>
          <w:sz w:val="20"/>
          <w:szCs w:val="20"/>
          <w:color w:val="auto"/>
        </w:rPr>
      </w:pPr>
    </w:p>
    <w:p>
      <w:pPr>
        <w:jc w:val="both"/>
        <w:ind w:right="160" w:firstLine="648"/>
        <w:spacing w:after="0" w:line="262" w:lineRule="auto"/>
        <w:rPr>
          <w:sz w:val="20"/>
          <w:szCs w:val="20"/>
          <w:color w:val="auto"/>
        </w:rPr>
      </w:pPr>
      <w:r>
        <w:rPr>
          <w:rFonts w:ascii="Arial" w:cs="Arial" w:eastAsia="Arial" w:hAnsi="Arial"/>
          <w:sz w:val="18"/>
          <w:szCs w:val="18"/>
          <w:color w:val="auto"/>
        </w:rPr>
        <w:t>On February 4, 2020, the Company closed an initial public offering ("IPO") issuing and selling shares of its common stock receiving aggregate net proceeds of approximately $167.2 million. The Company completed subsequent public sales of its common stock in October 2020, February 2021, August 2022 and October 2023, receiving aggregate net proceeds of $93.4 million, $207.5 million, $161.6 million and $95.8 million, respectively.</w:t>
      </w:r>
    </w:p>
    <w:p>
      <w:pPr>
        <w:spacing w:after="0" w:line="109"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In addition to the sale of common stock, the offering completed in October 2023 consisted of prefunded warrants to purchase 7,500,000 shares of the Company's common stock at $2.4999 per underlying share of common stock. The exercise price of the warrants is $0.0001 per underlying share of common stock. The prefunded warrants are exercisable at any time on or after their original issuance, and were not exercised as of September 30, 2024.</w:t>
      </w:r>
    </w:p>
    <w:p>
      <w:pPr>
        <w:spacing w:after="0" w:line="109"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On February 28, 2024, the Company completed an offering relating to the sale of 15,789,474 shares of the Company's common stock at $9.50 per share. The Company also granted the underwriters an option to purchase up to an additional 2,368,421 shares at $9.50 per share, which the underwriters exercised in full on February 29, 2024. The aggregate net proceeds to the Company was $161.7 million after deducting underwriting discounts, commissions, and estimated offering expenses payable by the Company.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At-the-Market ("ATM") Offerings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6, 2021, the Company entered into a sales agreement ("Sales Agreement") with Cowen and Company, LLC ("Cowen"),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under which the Company could from time to time offer and sell shares of its common stock having an aggregate offering price of up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$100.0 million. Cowen acts as the Company's sales agent for the ATM program and is entitled to compensation for its services equal to 3%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gross proceeds of any shares of common stock sold under the ATM program. In March 2022, the Company sold 882,353 shares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ATM program for $17.00 per share and received $14.5 million in net proceeds. In December 2023, the Company sold 1,250,000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ATM program for $2.60 per share and received $3.1 million in net proceeds.</w:t>
      </w:r>
    </w:p>
    <w:p>
      <w:pPr>
        <w:spacing w:after="0" w:line="140"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In January 2024, the Company amended and restated its Sales Agreement with Cowen to reset the ATM program to provide for the offer and sale of shares of common stock having an aggregate gross offering price of up to $100.0 million. All other terms of the amended and restated Sales Agreement are substantially the same as the original Sales Agreement. The Company has not yet issued or sold any common stock under the amended and restated Sales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2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and had an accumulated deficit of $1,111.2 million and $981.9 million as of September 30, 2024 and December 31, 2023, respectively. Management expects to continue to incur operating losses. The Company had cash, cash equivalents, restricted cash, and marketable securities of $331.2 million and $ 272.8 million as of September 30, 2024 and December 31, 2023, respectively. The Company had $200.0 million outstanding under the Loan Agreement as of September 30, 2024. See Note 7. On October 8, 2024, the Company paid down $100 million of the principal under Loan Agreement with cash. See Note 10.</w:t>
      </w:r>
    </w:p>
    <w:p>
      <w:pPr>
        <w:spacing w:after="0" w:line="1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Company believes that its existing capital resources will be sufficient to meet the projected operating requirements for at least 12 months from the date of issuance of its financial statements. If the Company's available cash, cash equivalents and marketable securities and anticipated future cash flows from operations are insufficient to satisfy its liquidity requirements, the Company may need to raise additional capital to fund its operations. No assurance can be given as to whether additional needed financing will be available on terms acceptable to the Company or at all. If sufficient funds on acceptable terms are not available when needed, the Company may be required to curtail certain planned activities. Failure to manage discretionary spending or raise additional funds, as needed, may adversely impact the Company’s ability to achieve its intended business objectives and have an adverse effect on its results of operations and future prospects.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jc w:val="both"/>
        <w:ind w:right="520" w:firstLine="648"/>
        <w:spacing w:after="0" w:line="268" w:lineRule="auto"/>
        <w:rPr>
          <w:sz w:val="20"/>
          <w:szCs w:val="20"/>
          <w:color w:val="auto"/>
        </w:rPr>
      </w:pPr>
      <w:r>
        <w:rPr>
          <w:rFonts w:ascii="Arial" w:cs="Arial" w:eastAsia="Arial" w:hAnsi="Arial"/>
          <w:sz w:val="18"/>
          <w:szCs w:val="18"/>
          <w:color w:val="auto"/>
        </w:rPr>
        <w:t>The Company’s condensed consolidated financial statements have been prepared in accordance with United States generally accepted accounting principles ("U.S. GAAP"). The condensed consolidated financial statements include the Company's wholly-owned subsidiaries. All material intercompany balances and transactions have been eliminated.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amounts reported in the financial statements and accompanying notes. On an ongoing basis, management evaluates such estimates and assumptions for continued reasonableness. In particular, management makes estimates with respect to revenue recognition, accruals for research and development activities, the fair value of derivative liabilities, stock-based compensation expense, and income taxes. Appropriate adjustments, if any, to the estimates used are made prospectively based upon such periodic evaluation. Actual results could differ from those estimates.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15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interim condensed consolidated balance sheet as of September 30, 2024, the interim condensed consolidated statements of operations and comprehensive loss for the three and nine months ended September 30, 2024 and 2023, the condensed consolidated statements of changes in stockholders' equity as of September 30, 2024 and 2023, and the condensed consolidated statements of cash flows for the nine months ended September 30, 2024 and 2023 are unaudited. These unaudited interim condensed consolidated financial statements have been prepared on the same basis as the Company’s audited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consolidated financial statements related to the three and nine month periods are also unaudited. The condensed consolidated results of operations for the three and nine months ended September 30, 2024 are not necessarily indicative of the results to be expected for the year ending December 31, 2024 or for any other future annual or interim period. The condensed consolidated balance sheet as of December 31, 2023 included herein was derived from the audited financial statements as of that date. Certain information and footnote disclosures normally included in annual financial statements prepared in accordance with U.S. GAAP have been condensed or omitted. Therefore, these unaudited interim condensed consolidated financial statements should be read in conjunction with the Company’s audited financial statements included in its Annual Report on Form 10-K for the year ended December 31,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4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As of September 30, 2024 and December 31, 2023, the Company held $0.6 million and $0.9 million, respectively, of restricted cash as collateral for a letter of credit related to the Company's amended office space lease.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marketable securities, and accounts receivable. The Company maintains deposits in federally insured financial institutions in excess of federally insured limits. The Company is exposed to credit risk in the event of a default by either the financial institutions holding its cash or by its customers owing trade receivables to the extent recorded on the condensed consolidated balance sheets. To manage accounts receivable credit risk, the Company evaluates the creditworthiness of its customers and the need for an allowance for potential credit losses.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6"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The Company’s financial instruments, in addition to those presented in Note 4, include cash equivalents, accounts receivable, accounts payable, accrued liabilities, and long-term debt. The carrying amount of accounts receivable, accounts payable, and accrued liabilities approximate their fair values due to their short maturities. As the long-term debt is subject to variable interest rates that are based on market rates which regularly reset, the Company believes that the carrying value of the long-term debt approximates its fair value.</w:t>
      </w:r>
    </w:p>
    <w:p>
      <w:pPr>
        <w:spacing w:after="0" w:line="10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1" w:lineRule="exact"/>
        <w:rPr>
          <w:sz w:val="20"/>
          <w:szCs w:val="20"/>
          <w:color w:val="auto"/>
        </w:rPr>
      </w:pPr>
    </w:p>
    <w:p>
      <w:pPr>
        <w:ind w:left="660" w:right="500" w:firstLine="648"/>
        <w:spacing w:after="0" w:line="287"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85" w:lineRule="exact"/>
        <w:rPr>
          <w:sz w:val="20"/>
          <w:szCs w:val="20"/>
          <w:color w:val="auto"/>
        </w:rPr>
      </w:pPr>
    </w:p>
    <w:p>
      <w:pPr>
        <w:ind w:left="660" w:right="100" w:firstLine="648"/>
        <w:spacing w:after="0" w:line="26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03" w:lineRule="exact"/>
        <w:rPr>
          <w:sz w:val="20"/>
          <w:szCs w:val="20"/>
          <w:color w:val="auto"/>
        </w:rPr>
      </w:pPr>
    </w:p>
    <w:p>
      <w:pPr>
        <w:ind w:left="660" w:right="60" w:firstLine="648"/>
        <w:spacing w:after="0" w:line="28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Co-promotion Agreement</w:t>
      </w:r>
    </w:p>
    <w:p>
      <w:pPr>
        <w:spacing w:after="0" w:line="156"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I</w:t>
      </w:r>
      <w:r>
        <w:rPr>
          <w:rFonts w:ascii="Arial" w:cs="Arial" w:eastAsia="Arial" w:hAnsi="Arial"/>
          <w:sz w:val="18"/>
          <w:szCs w:val="18"/>
          <w:color w:val="auto"/>
        </w:rPr>
        <w:t>n July 2024, the Company entered into a co-promotion agreement with Kowa Pharmaceuticals America, Inc. ("Kowa") to leverage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Kowa's primary care sales force to exclusively market and promote ZORYVE to primary care practitioners and pediatricians for all FDA-approved indications until July 2029. The Company recognizes all revenue and Kowa receives a commission for the net sales attributed to Kowa, which is reflected in selling, general and administrative expense. For the three and nine months ended September 30, 2024, revenue from sales attributed to Kowa were immaterial.</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 November 2023, the Financial Accounting Standards Board ("FASB") issued Accounting Standards Update ("ASU") 2023-07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requires public entities to disclose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Accounting Standards Codification ("ASC") 280 on an interim and annual basis. ASU 2023-07 will be adopted by the Company in the Form 10-K for the year ended December 31, 2024. The Company is currently evaluating the impact of adopting ASU 2023-07.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156" w:lineRule="exact"/>
        <w:rPr>
          <w:sz w:val="20"/>
          <w:szCs w:val="20"/>
          <w:color w:val="auto"/>
        </w:rPr>
      </w:pPr>
    </w:p>
    <w:p>
      <w:pPr>
        <w:ind w:right="280" w:firstLine="648"/>
        <w:spacing w:after="0" w:line="279" w:lineRule="auto"/>
        <w:rPr>
          <w:sz w:val="20"/>
          <w:szCs w:val="20"/>
          <w:color w:val="auto"/>
        </w:rPr>
      </w:pPr>
      <w:r>
        <w:rPr>
          <w:rFonts w:ascii="Arial" w:cs="Arial" w:eastAsia="Arial" w:hAnsi="Arial"/>
          <w:sz w:val="18"/>
          <w:szCs w:val="18"/>
          <w:color w:val="auto"/>
        </w:rPr>
        <w:t xml:space="preserve">Revenues are recognized under guidance within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following table presents the Company's disaggregated revenue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7"/>
                <w:szCs w:val="17"/>
                <w:color w:val="auto"/>
              </w:rPr>
            </w:pPr>
          </w:p>
        </w:tc>
        <w:tc>
          <w:tcPr>
            <w:tcW w:w="260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ZORYVE cream 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ZORYVE foam</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ZORYVE cream 0.15%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product revenue, net</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44,755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97,182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15,660</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30,420</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125,182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46,080</w:t>
            </w:r>
          </w:p>
        </w:tc>
      </w:tr>
      <w:tr>
        <w:trPr>
          <w:trHeight w:val="21"/>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revenue relates primarily to the Sato and Huadong licensing agreements.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Fair Value Measurements</w:t>
      </w:r>
    </w:p>
    <w:p>
      <w:pPr>
        <w:spacing w:after="0" w:line="142" w:lineRule="exact"/>
        <w:rPr>
          <w:sz w:val="20"/>
          <w:szCs w:val="20"/>
          <w:color w:val="auto"/>
        </w:rPr>
      </w:pPr>
    </w:p>
    <w:p>
      <w:pPr>
        <w:ind w:right="440" w:firstLine="648"/>
        <w:spacing w:after="0" w:line="279"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bottom w:val="single" w:sz="8" w:color="CCEEFF"/>
            </w:tcBorders>
          </w:tcPr>
          <w:p>
            <w:pPr>
              <w:spacing w:after="0"/>
              <w:rPr>
                <w:sz w:val="17"/>
                <w:szCs w:val="17"/>
                <w:color w:val="auto"/>
              </w:rPr>
            </w:pPr>
          </w:p>
        </w:tc>
        <w:tc>
          <w:tcPr>
            <w:tcW w:w="5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134,851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134,851</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99,222</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99,222</w:t>
            </w:r>
          </w:p>
        </w:tc>
        <w:tc>
          <w:tcPr>
            <w:tcW w:w="0" w:type="dxa"/>
            <w:vAlign w:val="bottom"/>
          </w:tcPr>
          <w:p>
            <w:pPr>
              <w:spacing w:after="0"/>
              <w:rPr>
                <w:sz w:val="1"/>
                <w:szCs w:val="1"/>
                <w:color w:val="auto"/>
              </w:rPr>
            </w:pPr>
          </w:p>
        </w:tc>
      </w:tr>
      <w:tr>
        <w:trPr>
          <w:trHeight w:val="270"/>
        </w:trPr>
        <w:tc>
          <w:tcPr>
            <w:tcW w:w="260" w:type="dxa"/>
            <w:vAlign w:val="bottom"/>
            <w:shd w:val="clear" w:color="auto" w:fill="CCEEFF"/>
          </w:tcPr>
          <w:p>
            <w:pPr>
              <w:spacing w:after="0"/>
              <w:rPr>
                <w:sz w:val="23"/>
                <w:szCs w:val="23"/>
                <w:color w:val="auto"/>
              </w:rPr>
            </w:pPr>
          </w:p>
        </w:tc>
        <w:tc>
          <w:tcPr>
            <w:tcW w:w="5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Treasury and agency securities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91,493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104,217</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330,561</w:t>
            </w:r>
          </w:p>
        </w:tc>
        <w:tc>
          <w:tcPr>
            <w:tcW w:w="0" w:type="dxa"/>
            <w:vAlign w:val="bottom"/>
          </w:tcPr>
          <w:p>
            <w:pPr>
              <w:spacing w:after="0"/>
              <w:rPr>
                <w:sz w:val="1"/>
                <w:szCs w:val="1"/>
                <w:color w:val="auto"/>
              </w:rPr>
            </w:pPr>
          </w:p>
        </w:tc>
      </w:tr>
      <w:tr>
        <w:trPr>
          <w:trHeight w:val="21"/>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5360" w:type="dxa"/>
            <w:vAlign w:val="bottom"/>
            <w:gridSpan w:val="2"/>
          </w:tcPr>
          <w:p>
            <w:pPr>
              <w:ind w:left="380"/>
              <w:spacing w:after="0"/>
              <w:rPr>
                <w:sz w:val="20"/>
                <w:szCs w:val="20"/>
                <w:color w:val="auto"/>
              </w:rPr>
            </w:pPr>
            <w:r>
              <w:rPr>
                <w:rFonts w:ascii="Arial" w:cs="Arial" w:eastAsia="Arial" w:hAnsi="Arial"/>
                <w:sz w:val="14"/>
                <w:szCs w:val="14"/>
                <w:color w:val="auto"/>
              </w:rPr>
              <w:t>This balance includes cash requirements settled on a nightly basis.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73,544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73,544</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11,806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59,954</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59,954</w:t>
            </w:r>
          </w:p>
        </w:tc>
        <w:tc>
          <w:tcPr>
            <w:tcW w:w="0" w:type="dxa"/>
            <w:vAlign w:val="bottom"/>
          </w:tcPr>
          <w:p>
            <w:pPr>
              <w:spacing w:after="0"/>
              <w:rPr>
                <w:sz w:val="1"/>
                <w:szCs w:val="1"/>
                <w:color w:val="auto"/>
              </w:rPr>
            </w:pPr>
          </w:p>
        </w:tc>
      </w:tr>
      <w:tr>
        <w:trPr>
          <w:trHeight w:val="270"/>
        </w:trPr>
        <w:tc>
          <w:tcPr>
            <w:tcW w:w="260" w:type="dxa"/>
            <w:vAlign w:val="bottom"/>
            <w:shd w:val="clear" w:color="auto" w:fill="CCEEFF"/>
          </w:tcPr>
          <w:p>
            <w:pPr>
              <w:spacing w:after="0"/>
              <w:rPr>
                <w:sz w:val="23"/>
                <w:szCs w:val="23"/>
                <w:color w:val="auto"/>
              </w:rPr>
            </w:pPr>
          </w:p>
        </w:tc>
        <w:tc>
          <w:tcPr>
            <w:tcW w:w="5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126,557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126,557</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200,101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71,760</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271,861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Money market funds and U.S. Treasury and agency securities are valued based on quoted market prices in active markets.</w:t>
      </w:r>
    </w:p>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Commercial paper, certificates of deposit, and corporate debt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8"/>
          <w:szCs w:val="18"/>
          <w:color w:val="auto"/>
        </w:rPr>
        <w:t>The following table summarizes the estimated value of the Company’s cash, cash equivalents and marketable securities, and the gross unrealized holding gains and losses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34"/>
              <w:spacing w:after="0" w:line="14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260" w:type="dxa"/>
            <w:vAlign w:val="bottom"/>
            <w:tcBorders>
              <w:bottom w:val="single" w:sz="8" w:color="CCEEFF"/>
            </w:tcBorders>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360" w:type="dxa"/>
            <w:vAlign w:val="bottom"/>
          </w:tcPr>
          <w:p>
            <w:pPr>
              <w:ind w:left="10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134,851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134,851</w:t>
            </w:r>
          </w:p>
        </w:tc>
        <w:tc>
          <w:tcPr>
            <w:tcW w:w="0" w:type="dxa"/>
            <w:vAlign w:val="bottom"/>
          </w:tcPr>
          <w:p>
            <w:pPr>
              <w:spacing w:after="0"/>
              <w:rPr>
                <w:sz w:val="1"/>
                <w:szCs w:val="1"/>
                <w:color w:val="auto"/>
              </w:rPr>
            </w:pPr>
          </w:p>
        </w:tc>
      </w:tr>
      <w:tr>
        <w:trPr>
          <w:trHeight w:val="248"/>
        </w:trPr>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53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134,851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134,851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Certificates of deposit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98,981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99,222</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and agency securities</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195,710</w:t>
            </w:r>
          </w:p>
        </w:tc>
        <w:tc>
          <w:tcPr>
            <w:tcW w:w="0" w:type="dxa"/>
            <w:vAlign w:val="bottom"/>
          </w:tcPr>
          <w:p>
            <w:pPr>
              <w:spacing w:after="0"/>
              <w:rPr>
                <w:sz w:val="1"/>
                <w:szCs w:val="1"/>
                <w:color w:val="auto"/>
              </w:rPr>
            </w:pPr>
          </w:p>
        </w:tc>
      </w:tr>
      <w:tr>
        <w:trPr>
          <w:trHeight w:val="2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56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5360" w:type="dxa"/>
            <w:vAlign w:val="bottom"/>
          </w:tcPr>
          <w:p>
            <w:pPr>
              <w:ind w:left="380"/>
              <w:spacing w:after="0"/>
              <w:rPr>
                <w:sz w:val="20"/>
                <w:szCs w:val="20"/>
                <w:color w:val="auto"/>
              </w:rPr>
            </w:pPr>
            <w:r>
              <w:rPr>
                <w:rFonts w:ascii="Arial" w:cs="Arial" w:eastAsia="Arial" w:hAnsi="Arial"/>
                <w:sz w:val="14"/>
                <w:szCs w:val="14"/>
                <w:color w:val="auto"/>
              </w:rPr>
              <w:t>This balance includes cash requirements settled on a nightly basis.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260"/>
              <w:spacing w:after="0" w:line="143"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34"/>
              <w:spacing w:after="0" w:line="14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260" w:type="dxa"/>
            <w:vAlign w:val="bottom"/>
            <w:tcBorders>
              <w:bottom w:val="single" w:sz="8" w:color="CCEEFF"/>
            </w:tcBorders>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gains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360" w:type="dxa"/>
            <w:vAlign w:val="bottom"/>
          </w:tcPr>
          <w:p>
            <w:pPr>
              <w:ind w:left="10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73,544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73,544</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Total cash and cash equivalents</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88,395</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88,398</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Marketable securities: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45,100</w:t>
            </w:r>
          </w:p>
        </w:tc>
        <w:tc>
          <w:tcPr>
            <w:tcW w:w="0" w:type="dxa"/>
            <w:vAlign w:val="bottom"/>
          </w:tcPr>
          <w:p>
            <w:pPr>
              <w:spacing w:after="0"/>
              <w:rPr>
                <w:sz w:val="1"/>
                <w:szCs w:val="1"/>
                <w:color w:val="auto"/>
              </w:rPr>
            </w:pPr>
          </w:p>
        </w:tc>
      </w:tr>
      <w:tr>
        <w:trPr>
          <w:trHeight w:val="230"/>
        </w:trPr>
        <w:tc>
          <w:tcPr>
            <w:tcW w:w="260" w:type="dxa"/>
            <w:vAlign w:val="bottom"/>
            <w:tcBorders>
              <w:bottom w:val="single" w:sz="8" w:color="CCEEFF"/>
            </w:tcBorders>
          </w:tcPr>
          <w:p>
            <w:pPr>
              <w:spacing w:after="0"/>
              <w:rPr>
                <w:sz w:val="19"/>
                <w:szCs w:val="19"/>
                <w:color w:val="auto"/>
              </w:rPr>
            </w:pPr>
          </w:p>
        </w:tc>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Treasury securities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126,557</w:t>
            </w:r>
          </w:p>
        </w:tc>
        <w:tc>
          <w:tcPr>
            <w:tcW w:w="0" w:type="dxa"/>
            <w:vAlign w:val="bottom"/>
          </w:tcPr>
          <w:p>
            <w:pPr>
              <w:spacing w:after="0"/>
              <w:rPr>
                <w:sz w:val="1"/>
                <w:szCs w:val="1"/>
                <w:color w:val="auto"/>
              </w:rPr>
            </w:pPr>
          </w:p>
        </w:tc>
      </w:tr>
      <w:tr>
        <w:trPr>
          <w:trHeight w:val="248"/>
        </w:trPr>
        <w:tc>
          <w:tcPr>
            <w:tcW w:w="26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marketable securities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183,365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183,463</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2"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3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Realized gains or losses on investments for the three and nine months ended September 30, 2024 and 2023 were not material. As of September 30, 2024, it was determined that no credit losses exist, because the change in market value of those securities resulted from fluctuations in market interest rates since the time of purchase, rather than a deterioration of the credit worthiness of the issuers. As of September 30, 2024 and December 31, 2023, all securities have a maturity of 18 months or less and all securities with gross unrealized losses have been in a continuous loss position for less than one year. The Company generally holds its marketable securities until maturity and does not intend to sell, and is not required to sell, the investments that are in an unrealized loss position before the recovery of their amortized cost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600" w:firstLine="648"/>
        <w:spacing w:after="0" w:line="287" w:lineRule="auto"/>
        <w:rPr>
          <w:sz w:val="20"/>
          <w:szCs w:val="20"/>
          <w:color w:val="auto"/>
        </w:rPr>
      </w:pPr>
      <w:r>
        <w:rPr>
          <w:rFonts w:ascii="Arial" w:cs="Arial" w:eastAsia="Arial" w:hAnsi="Arial"/>
          <w:sz w:val="18"/>
          <w:szCs w:val="18"/>
          <w:color w:val="auto"/>
        </w:rPr>
        <w:t>The following table summarizes the change in the fair value of the embedded derivative instrument for the nine months ended September 30, 2024 (in thousands). There was no activity for the nine months ended September 30,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57"/>
              <w:spacing w:after="0"/>
              <w:rPr>
                <w:sz w:val="20"/>
                <w:szCs w:val="20"/>
                <w:color w:val="auto"/>
              </w:rPr>
            </w:pPr>
            <w:r>
              <w:rPr>
                <w:rFonts w:ascii="Arial" w:cs="Arial" w:eastAsia="Arial" w:hAnsi="Arial"/>
                <w:sz w:val="14"/>
                <w:szCs w:val="14"/>
                <w:b w:val="1"/>
                <w:bCs w:val="1"/>
                <w:color w:val="auto"/>
              </w:rPr>
              <w:t>September 30,</w:t>
            </w:r>
          </w:p>
        </w:tc>
      </w:tr>
      <w:tr>
        <w:trPr>
          <w:trHeight w:val="204"/>
        </w:trPr>
        <w:tc>
          <w:tcPr>
            <w:tcW w:w="9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r>
      <w:tr>
        <w:trPr>
          <w:trHeight w:val="251"/>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849</w:t>
            </w:r>
          </w:p>
        </w:tc>
      </w:tr>
      <w:tr>
        <w:trPr>
          <w:trHeight w:val="270"/>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from changes in fair value</w:t>
            </w: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(429)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420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8"/>
          <w:szCs w:val="18"/>
          <w:color w:val="auto"/>
        </w:rPr>
        <w:t>The fair value of the Company’s embedded derivative instrument is based on significant inputs not observed in the market, and thus represents a Level 3 measurement. Refer to Note 7 for further discussion on the embedded derivative instrument.</w:t>
      </w:r>
    </w:p>
    <w:p>
      <w:pPr>
        <w:spacing w:after="0" w:line="87" w:lineRule="exact"/>
        <w:rPr>
          <w:sz w:val="20"/>
          <w:szCs w:val="20"/>
          <w:color w:val="auto"/>
        </w:rPr>
      </w:pPr>
    </w:p>
    <w:p>
      <w:pPr>
        <w:ind w:left="660" w:right="8660" w:hanging="652"/>
        <w:spacing w:after="0" w:line="438" w:lineRule="auto"/>
        <w:tabs>
          <w:tab w:leader="none" w:pos="212"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Balance Sheet Components Inventories</w:t>
      </w: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The components of inventory are summarized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7"/>
                <w:szCs w:val="17"/>
                <w:color w:val="auto"/>
              </w:rPr>
            </w:pPr>
          </w:p>
        </w:tc>
        <w:tc>
          <w:tcPr>
            <w:tcW w:w="192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9,951</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13,134</w:t>
            </w:r>
          </w:p>
        </w:tc>
      </w:tr>
      <w:tr>
        <w:trPr>
          <w:trHeight w:val="21"/>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7"/>
                <w:szCs w:val="17"/>
                <w:color w:val="auto"/>
              </w:rPr>
            </w:pPr>
          </w:p>
        </w:tc>
        <w:tc>
          <w:tcPr>
            <w:tcW w:w="19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co-pay assistance program and rebates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clinical trial costs</w:t>
            </w:r>
          </w:p>
        </w:tc>
        <w:tc>
          <w:tcPr>
            <w:tcW w:w="2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74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9"/>
                <w:szCs w:val="19"/>
                <w:color w:val="auto"/>
              </w:rPr>
            </w:pPr>
          </w:p>
        </w:tc>
        <w:tc>
          <w:tcPr>
            <w:tcW w:w="19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5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sales deductions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14,872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right="6400" w:hanging="652"/>
        <w:spacing w:after="0" w:line="421" w:lineRule="auto"/>
        <w:tabs>
          <w:tab w:leader="none" w:pos="212"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License, Collaboration and Co-Promotion Agreements Sato License Agreement</w:t>
      </w:r>
    </w:p>
    <w:p>
      <w:pPr>
        <w:spacing w:after="0" w:line="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On February 27, 2024, the Company entered into a License Agreement with Sato Pharmaceutical Co., Ltd. (“Sato”). Pursuant to the terms of the License Agreement, the Company grants to Sato an exclusive, sublicensable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(under certain circumstances) license under certain patent rights and know-how controlled by the Company for Sato to develop, conduct medical affairs activities for, manufacture, commercialize, and otherwise exploit roflumilast formulations (the “Licensed Products”) for all therapeutic uses for certain dermatological indications in humans (the “Field”) in Japan (the "Territory").</w:t>
      </w:r>
    </w:p>
    <w:p>
      <w:pPr>
        <w:spacing w:after="0" w:line="90"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The License Agreement sets forth each party’s respective obligations with respect to the development, medical affairs activities, manufacture and supply, and commercialization of the Licensed Products. Pursuant to the terms of the License Agreement, Sato will, at its expense, develop, obtain regulatory approval for, commercialize, and conduct medical affairs activities related to the Licensed Products in the Field in Japan, subject to certain of the Company’s approval and oversight rights.</w:t>
      </w:r>
    </w:p>
    <w:p>
      <w:pPr>
        <w:spacing w:after="0" w:line="10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Pursuant to the terms of the License Agreement, the Company received an upfront payment of $25.0 million and will potentially receive additional payments (i) up to an aggregate amount of $ 10.0 million upon the achievement of certain regulatory milestones and (ii) up to an aggregate amount of $30.0 million upon the achievement of certain sales milestones. In addition, on a Licensed Product-by-Licensed Product basis, commencing from the first commercial sale of such Licensed Product in Japan until the latest of (i) the expiration of the last valid claim in the intellectual property rights licensed by the Company to Sato under the License Agreement covering such Licensed Product in Japan, (ii) the expiration of regulatory exclusivity for such Licensed Product in Japan, or (iii) ten years after the first commercial sale of such Licensed Product in Japan, the Company will receive low double-digit to mid-teen double-digit percentage royalties on Sato’s, its affiliates’ and sublicensees’ total annual net sales of all Licensed Products, subject to certain royalty reductions.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of the License Agreement continues until, on a Licensed Product-by-Licensed Product basis, the expiration of the Royalty Term. The License Agreement may be terminated by either party in its entirety if the other party commits a material breach, subject to a cure period, or if the other party becomes insolvent. Sato may terminate the License Agreement at-will in its entirety upon 90 days’ written notice. Unless unenforceable under applicable law, the Company may terminate the License Agreement in its entirety if Sato, its affiliate or sublicensee contests or assists a third party in contesting the scope, validity or enforceability of any patent or patent application licensed by the Company to Sato. The Company may also terminate the License Agreement if Sato or any director, officers, employee, agent, affiliate, sublicensee, or subcontractor is charged by a governmental authority for a violation of any anti-corruption, anti-money laundering, sanctions or export or import control laws or regulations, or, subject to the terms of the License Agreement, if Sato, its affiliates and sublicensees do not conduct any material development or commercialization activities of a Licensed Product in Japan for a certain period of time.</w:t>
      </w:r>
    </w:p>
    <w:p>
      <w:pPr>
        <w:spacing w:after="0" w:line="100"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color w:val="auto"/>
        </w:rPr>
        <w:t>Other revenue under the Sato agreement was zero and $25.0 million for the three and nine months ended September 30, 2024, respectively.</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Huadong License and Collaboration Agreement</w:t>
      </w:r>
    </w:p>
    <w:p>
      <w:pPr>
        <w:spacing w:after="0" w:line="15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In August 2023, the Company entered into a license and collaboration agreement with Hangzhou Zhongmei Huadong Pharmaceutical Co., Ltd (“Huadong”), a wholly owned subsidiary of Huadong Medicine Co., Ltd. Pursuant to the terms of the agreement, the Company granted to Huadong an exclusive, sublicensable (under certain circumstances) license under certain patent rights and know-how controlled by the Company for Huadong to develop, conduct medical affairs activities for, manufacture, commercialize, and otherwise exploit both cream and foam topical roflumilast for all therapeutic uses for certain dermatological indications ("Huadong Licensed Products") in Greater China (mainland China, Hong Kong, Macau, and Taiwan) and Southeast Asia (Indonesia, Singapore, The Philippines, Thailand, Myanmar, Brunei, Cambodia, Laos, Malaysia, and Vietnam) ("Huadong Territories").</w:t>
      </w:r>
    </w:p>
    <w:p>
      <w:pPr>
        <w:spacing w:after="0" w:line="10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Huadong will, at its expense, develop, obtain regulatory approval for, commercialize, and conduct medical affairs activities for the Huadong Licensed Products, subject to certain of the Company’s approval and oversight rights. The Company will retain exclusive rights for the development, manufacture and commercialization of topical roflumilast outside the Huadong Territories.</w:t>
      </w:r>
    </w:p>
    <w:p>
      <w:pPr>
        <w:spacing w:after="0" w:line="10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consideration for the rights granted under the Huadong Agreement, Huadong paid the Company a non-refundable upfront fee pursuant to the terms of the agreement, upon closing in September 2023. The Company received a net payment of $27.0 million, which consisted of a $30.0 million upfront payment less the applicable tax withholding obligation in China of $3.0 million. In addition, the Company received a payment of $3.0 million in March 2024 related to the achievement of a development and regulatory milestone. The Company may also potentially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receive additional payments: (i) up to an aggregate amount of $21.0 million upon the achievement of certain development and regulatory milestones, (ii) up to an aggregate amount of $40.3 million upon the achievement of certain sales milestones, and (iii) low double-digit to high-teen double-digit tiered percentage royalties on net sales of the Huadong Licensed Products.</w:t>
      </w:r>
    </w:p>
    <w:p>
      <w:pPr>
        <w:spacing w:after="0" w:line="9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7"/>
          <w:szCs w:val="17"/>
          <w:color w:val="auto"/>
        </w:rPr>
        <w:t>The term of the Huadong Agreement continues on a Licensed Product-by-Licensed Product and country or region-by-country or region basis, until the expiration of the Royalty Term, which is: (i) the date of expiration of the last valid patent claim related to the Huadong Licensed Products, (ii) ten years after the first commercial sale of a the Huadong Licensed Product and (iii) the expiration of any regulatory exclusivity as to a Huadong Licensed Product. The License Agreement may be terminated by both parties under certain circumstances.</w:t>
      </w:r>
    </w:p>
    <w:p>
      <w:pPr>
        <w:spacing w:after="0" w:line="94"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For the three and nine months ended September 30, 2024, the Company recognized zero and $3.0 million, respectively, of Other revenue and zero and $ 0.3 million, respectively, of income tax expense related to the achievement of a development and regulatory milestone. For the three and nine months ended September 30, 2023, the Company recognized $30.0 million of Other revenue and $3.0 million of income tax expense related to the upfront fee pursuant to the agreement.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4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July 2018, the Company entered into an exclusive license agreement, or the AstraZeneca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1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paid AstraZeneca an upfront non-refundable cash payment of $1.0 million and issued 484,388 shares of Series B convertible preferred stock, valued at $3.0 million on the date of the AstraZeneca License Agreement, which were both recorded in research and development expense. The Company subsequently paid AstraZeneca the first milestone cash payment of $2.0 million upon the completion of a Phase 2b study of ZORYVE cream in plaque psoriasis in August 2019 for the achievement of positive Phase 2 data for an AZ-Licensed Product, which was recorded in research and development expense. In the third quarter of 2022, the Company paid $ 7.5 million to AstraZeneca as a result of the approval of ZORYVE cream 0.3%, which was recorded as an intangible asset. In the third quarter of 2024, $5.0 million became payable by the Company to AstraZeneca upon achievement of $100.0 million in worldwide net sales, and was recorded as a cumulative catch-up adjustment to the carrying value of the intangible asset. The Company is amortizing the intangible asset to cost of sales over its useful life of 10 years from the date of first commercial sale as this is the minimum amount of time that the related License Agreement will be in effect. Amortization expense was $1.2 million and $1.6 million during the three and nine months ended September 30, 2024, respectively, which includes a cumulative catch-up of the amortization expense related to the milestone achieved during the third quarter over its useful life from the date of first commercial sale. Amortization expense was $0.2 million and $0.6 million during the three and nine months ended September 30, 2023, respectively.</w:t>
      </w:r>
    </w:p>
    <w:p>
      <w:pPr>
        <w:spacing w:after="0" w:line="12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has agreed to make an additional cash payment to AstraZeneca of $5.0 million upon the achievement of a specified regulatory approval milestone with respect to the AZ-Licensed Products, and a payment of $10.0 million when the company achieves $250.0 million in worldwide net sales.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from the first commercial sale of such AZ-Licensed Product in such country. As a result of the commercialization of ZORYVE cream 0.3% in August 2022, the Company began accruing royalties payable to AstraZeneca, which are recorded in cost of sales and accrued liabilities. Royalty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expense was $1.4 million and $3.0 million during the three and nine months ended September 30, 2024, respectively. Royalty expense during the three and nine months ended September 30, 2023 were not material.</w:t>
      </w:r>
    </w:p>
    <w:p>
      <w:pPr>
        <w:spacing w:after="0" w:line="72"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For the three and nine months ended September 30, 2024, a $5.0 million milestone payment became payable by the Company to AstraZeneca upon achievement of $100.0 million in worldwide net sales, which was paid in October 2024. There were no milestone payments made or payable in connection with AZ-Licensed Products for the three and nine months ended September 30, 2023.</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Long-term Debt</w:t>
      </w:r>
    </w:p>
    <w:p>
      <w:pPr>
        <w:spacing w:after="0" w:line="15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December 22, 2021, the Company entered into a loan and security agreement (the "Prior Loan Agreement") with SLR Investment Corp. ("SLR") and the lenders party thereto. The Prior Loan Agreement was amended and restated on January 10, 2023 (the "AR Loan Agreement") to include Arcutis Canada, Inc. as a borrower and party. On November 1, 2023, the Company entered into an amendment to the AR Loan Agreement to, among others, (i) modify the financial covenant relating to minimum net product revenue, and (ii) include an additional minimum financing covenant. On August 9, 2024, the Company entered into a second amendment to the AR Loan Agreement (the AR Loan Agreement, as amended by the first and second amendments, the "Loan Agreement"), which it determined be a modification, to, among others, (i) permit, during the period commencing on October 7, 2024 and ending on December 15, 2024, an optional partial prepayment of term loans outstanding, subject to a 1.0% prepayment penalty (the “2024 Partial Prepayment”), (ii) add the tranche C-1 and tranche C-2 term loans, and (iii) facilitate certain other changes, including with respect to the applicable interest rate and maturity date in the event of a 2024 Partial Prepayment. As security for the obligations under the Loan Agreement, the Company granted SLR, for the benefit of the lenders, a continuing security interest in substantially all of the Company's assets, including its intellectual property, subject to certain exceptions. The term loan facility is comprised of (i) a tranche A term loan of $ 75.0 million, (ii) a tranche B-1 term loan of $ 50.0 million, (iii) a tranche B-2 term loan of up to $75.0 million, (iv) a tranche C-1 term loan of up to $ 50.0 million, and (v) a tranche C-2 term loan of up to $50.0 million (collectively, the "Term Loans"). The tranche A term loan was funded on December 22, 2021. With the approval of ZORYVE cream 0.3% on July 29, 2022, the tranche B term loans were funded on August 2, 2022. As of each of December 31, 2023 and September 30, 2024, the aggregate principal amount outstanding under the Loan Agreement was $200.0 million.</w:t>
      </w:r>
    </w:p>
    <w:p>
      <w:pPr>
        <w:spacing w:after="0" w:line="10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On October 8, 2024, the Company made a 2024 Partial Prepayment of $100.0 million, which reduced the aggregate principal amount outstanding under the Loan Agreement to $100.0 million. See Note 10. Since this payment was reasonably expected to be made as of September 30, 2024 and it would require the use of current assets, the Company reclassified $99.5 million, the payment net of the short-term portion of debt issuance costs, from long term liabilities to current liabilities as of September 30, 2024. In connection with the 2024 Partial Prepayment, the Company is obligated to pay a prepayment penalty of $1.0 million by June 30, 2026 and a final fee of $6.95 million, representing the final fee applicable to the amount of the 2024 Partial Prepayment, on January 1, 2027.</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such 2024 Partial Prepayment, subject to the Company generating a minimum net product revenue for the trailing six</w:t>
      </w:r>
    </w:p>
    <w:p>
      <w:pPr>
        <w:spacing w:after="0" w:line="14" w:lineRule="exact"/>
        <w:rPr>
          <w:sz w:val="20"/>
          <w:szCs w:val="20"/>
          <w:color w:val="auto"/>
        </w:rPr>
      </w:pPr>
    </w:p>
    <w:p>
      <w:pPr>
        <w:ind w:right="120" w:firstLine="8"/>
        <w:spacing w:after="0" w:line="23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month period ending as of the month prior to the borrowing date equal to 80% of the Company’s projected net product revenue as set forth in its annual plan for the respective period, the Company will be able to draw down the tranche C-1 and tranche C-2 term loans. The tranche C-1 term loan availability will expire on March 31, 2026 and the tranche C-2 term loan availability will expire on June 30, 2026. In addition, as a result of the 2024 Partial Prepayment, (i) the maturity date of the Loan Agreement is August 1, 2029, (ii) the applicable per annum interest rate is equal to 5.95% plus the greater of (a) 2.50% per annum and (b) the one-month Secured Overnight Financing Rate ("SOFR"), (iii) the Company is no longer subject to certain cost and purchase price restrictions regarding acquisitions, and (iv) the Company may prepay principal amounts outstanding under the Term Loans in minimum increments of $25.0 million, subject to a prepayment premium of (a) 3.0% for any prepayment made prior to the first anniversary of the second amendment, (b) 2.0% for any prepayment made prior after the first anniversary of the second amendment and prior to the second anniversary of the second amendment, or (c) 1.0% for any prepayment made prior after the second anniversary of the second amendment and prior to the maturity date.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7"/>
          <w:szCs w:val="17"/>
          <w:color w:val="auto"/>
        </w:rPr>
        <w:t>Principal amounts outstanding under the Term Loans will accrue interest at a floating rate equal to the applicable rate in effect from time to time, as determined by SLR on the third business day prior to the funding date of the applicable Term Loan and on the first business</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day of the month prior to each payment date of each Term Loan. Prior to the 2024 Partial Prepayment, the applicable rate was a per annum interest rate equal to 7.45% plus the greater of (a) 0.10% and (b) the one-month SOFR. On September 30, 2024, the rate was 11.12%. As a</w:t>
      </w:r>
    </w:p>
    <w:p>
      <w:pPr>
        <w:spacing w:after="0" w:line="235" w:lineRule="auto"/>
        <w:rPr>
          <w:sz w:val="20"/>
          <w:szCs w:val="20"/>
          <w:color w:val="auto"/>
        </w:rPr>
      </w:pPr>
      <w:r>
        <w:rPr>
          <w:rFonts w:ascii="Arial" w:cs="Arial" w:eastAsia="Arial" w:hAnsi="Arial"/>
          <w:sz w:val="18"/>
          <w:szCs w:val="18"/>
          <w:color w:val="auto"/>
        </w:rPr>
        <w:t>result of such 2024 Partial Prepayment, the applicable interest rate will be a per annum interest rate equal to 5.95% plus the greater of (a)</w:t>
      </w:r>
    </w:p>
    <w:p>
      <w:pPr>
        <w:spacing w:after="0" w:line="250" w:lineRule="auto"/>
        <w:rPr>
          <w:sz w:val="20"/>
          <w:szCs w:val="20"/>
          <w:color w:val="auto"/>
        </w:rPr>
      </w:pPr>
      <w:r>
        <w:rPr>
          <w:rFonts w:ascii="Arial" w:cs="Arial" w:eastAsia="Arial" w:hAnsi="Arial"/>
          <w:sz w:val="18"/>
          <w:szCs w:val="18"/>
          <w:color w:val="auto"/>
        </w:rPr>
        <w:t>2.50% and (b) the one-month SOFR. The benchmark SOFR is subject to change in the event of certain events with respect to the benchmark rate. Interest payments are payable monthly following the funding of any Term Loan.</w:t>
      </w:r>
    </w:p>
    <w:p>
      <w:pPr>
        <w:spacing w:after="0" w:line="11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If the Term Loans are accelerated due to, among others, the occurrence of a bankruptcy or insolvency event, the Company is required to make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spacing w:after="0" w:line="9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to pay any dividends or other distributions on capital stock other than dividends payable solely in capital stock or to redeem capital stock. The Company also agreed to a financial covenant whereby the Company must generate a minimum net product revenue equal to 75% of its projected net product revenue as set forth in the Company's annual plan for the respective period, tested on a trailing six-month basis, as of the end of each month. Each annual plan shall be approved by the Company’s board of directors and SLR, in its capacity as collateral agent, in its reasonable discretion. Any failure by the Company to deliver such annual plan on or before December 15 of the prior year shall be an immediate event of default. The Company was in compliance with all covenants under the Loan Agreement as of September 30, 2024.</w:t>
      </w:r>
    </w:p>
    <w:p>
      <w:pPr>
        <w:spacing w:after="0" w:line="10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 addition, the Loan Agreement contains customary events of default that entitle the lenders to cause any indebtedness under the Loan Agreement to become immediately due and payable, and to exercise remedies against the Company and the collateral securing the Term Loans. Under the Loan Agreement, an event of default will occur if, among other things, the Company fails to make payments under the Loan Agreement, the Company breaches any of the covenants under the Loan Agreement, subject to specified cure periods with respect to certain breaches, the lenders determine that a material adverse change has occurred, or the Company or the Company's assets become subject to certain legal proceedings, such as bankruptcy proceedings. Upon the occurrence and for the duration of an event of default, an additional default interest rate, or the Default Rate, equal to 4.0% per annum will apply to all obligations owed under the Loan Agreement.</w:t>
      </w:r>
    </w:p>
    <w:p>
      <w:pPr>
        <w:spacing w:after="0" w:line="5"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The prepayment upon default and other potential additional interest provisions under the Loan Agreement were determined to be a compound embedded derivative instrument to be bifurcated from the loan and accounted for as a separate liability for accounting purposes</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under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At the inception of the Loan Agreement, the fair value of the embedded derivative was determined to be immaterial. The embedded derivative instrument is remeasured at fair value each reporting period with any future changes in fair value reported in Other income, net in the condensed consolidated statement of operations and comprehensive loss. During the three and nine months ended September 30, 2024, the Company recognized a $0.2 million loss and $0.4 million gain in Other income, net, respectively, related to the change in fair value of the embedded derivative instrument. The fair value of the embedded derivative instrument as of September 30, 2024 and December 31, 2023 was a liability of $ 0.4 million and $0.8 million, respectively, and is included in Other long-term liabilities in the accompanying condensed consolidated balance sheets. See Note 4.</w:t>
      </w:r>
    </w:p>
    <w:p>
      <w:pPr>
        <w:spacing w:after="0" w:line="11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I</w:t>
      </w:r>
      <w:r>
        <w:rPr>
          <w:rFonts w:ascii="Arial" w:cs="Arial" w:eastAsia="Arial" w:hAnsi="Arial"/>
          <w:sz w:val="17"/>
          <w:szCs w:val="17"/>
          <w:color w:val="auto"/>
        </w:rPr>
        <w:t>n connection with the Loan Agreement, the Company is obligated to pay (i) a final fee equal to 6.95% of the aggregate original</w:t>
      </w:r>
    </w:p>
    <w:p>
      <w:pPr>
        <w:spacing w:after="0" w:line="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principal amount of the Term Loans outstanding as of the date of the second amendment (x) with respect to any 2024 Partial Prepayment, upon the earliest to occur of (a) January 1, 2027, (b) the acceleration of all outstanding Term Loans and (c) the prepayment, or refinancing, substitution or replacement of all outstanding Term Loans, and (y) with respect to the Term Loans outstanding as of the date of the second amendment (other than the 2024 Partial Prepayment), upon the earliest to occur of (a) the maturity date, (b) the acceleration of all outstanding Term Loans and (c) the prepayment, or refinancing, substitution or replacement of all outstanding Term Loans, (ii) 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2.00% fee with respect to tranche C term loans, due and payable on the earliest to occur of (a) the maturity date, (b) the acceleration of all outstanding Term Loans and (c) the prepayment, or refinancing, substitution or replacement of all outstanding Term Loans, (iii) a 2.00% extension fee with respect to tranche C term loans which remain unfunded after December 31, 2025, which shall accrue during the period commencing January 1, 2026, and ending on the earliest to occur of (a) the expiration of the tranche C term loan availability, and (b) the date on which tranche C term loan is fully drawn, and (iv) a certain amount of lenders’ expenses incurred in connection with the execution of the Loan Agreement. Additionally, in connection with the original Prior Loan Agreement, the Company previously had entered into an Exit Fee Agreement, whereby the Company agreed to pay an exit fee in the amount of 3.0% of each Term Loan funded upon (i) any change of control transaction or (ii) a revenue milestone, calculated on a trailing six-month basis. Notwithstanding the prepayment or termination of the Term Loan, the exit fee will expire 10 years from the date of the Loan Agreement.</w:t>
      </w:r>
    </w:p>
    <w:p>
      <w:pPr>
        <w:spacing w:after="0" w:line="10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debt issuance costs have been recorded as a debt discount which are being accreted to interest expense through the maturity date of the term loan. Interest expense is calculated using the effective interest method, and is inclusive of non-cash amortization of debt issuance costs. The final maturity payment of $13.9 million is recognized over the life of the term loan through interest expense. At September 30, 2024 and December 31, 2023, the effective interest rate was 12.40% and 14.81%, respectively. Interest expense relating to the term loan for the three and nine months ended September 30, 2024 was $6.6 million and $21.6 million, respectively, and $7.6 million and $22.0 million for three and nine months ended September 30, 2023.</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additional information related to the Company's long-term debt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7"/>
                <w:szCs w:val="17"/>
                <w:color w:val="auto"/>
              </w:rPr>
            </w:pPr>
          </w:p>
        </w:tc>
        <w:tc>
          <w:tcPr>
            <w:tcW w:w="174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gross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Accrued final fee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4,876</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204,608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201,799</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Total long-term debt,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201,799</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8"/>
          <w:szCs w:val="18"/>
          <w:color w:val="auto"/>
        </w:rPr>
        <w:t>Based on the Company's long-term debt outstanding at September 30, 2024, a payment of principal and final fees of $213.9 million would be due on January 1, 2027, the contractual maturity of the long-term debt as of September 30, 2024. This amount decreased and the contractual maturity date was extended following the 2024 Partial Prepayment in October 2024. See Note 10.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Stock-Based Compensation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Exchange Program</w:t>
      </w:r>
    </w:p>
    <w:p>
      <w:pPr>
        <w:spacing w:after="0" w:line="1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January 16, 2024, the Company commenced an offer to certain eligible employees and consultants to exchange certain outstanding eligible options to purchase shares of the Company’s common stock for a lesser number of restricted stock unit ("RSU") awards pursuant to an option exchange program (the “Option Exchange”). The Option Exchange expired on February 12, 2024. Pursuant to the Option Exchange, eligible option holders elected to exchange, and the Company accepted for cancellation, eligible options to purchase an aggregate of 5,059,129 shares of the Company’s common stock, representing approximately 98% of the total shares of common stock underlying the eligible options. On February 13, 2024, immediately following the expiration of the Option Exchange, the Company granted 2,129,594 shares of Replacement RSU Awards, pursuant to the terms of the Option Exchange. The Replacement RSU Awards will vest based on continued service with the Company over a period of either 1, 2 or 3 years, depending on the grant date of the exchanged options.</w:t>
      </w:r>
    </w:p>
    <w:p>
      <w:pPr>
        <w:spacing w:after="0" w:line="117" w:lineRule="exact"/>
        <w:rPr>
          <w:sz w:val="20"/>
          <w:szCs w:val="20"/>
          <w:color w:val="auto"/>
        </w:rPr>
      </w:pPr>
    </w:p>
    <w:p>
      <w:pPr>
        <w:ind w:right="380" w:firstLine="648"/>
        <w:spacing w:after="0" w:line="287" w:lineRule="auto"/>
        <w:rPr>
          <w:sz w:val="20"/>
          <w:szCs w:val="20"/>
          <w:color w:val="auto"/>
        </w:rPr>
      </w:pPr>
      <w:r>
        <w:rPr>
          <w:rFonts w:ascii="Arial" w:cs="Arial" w:eastAsia="Arial" w:hAnsi="Arial"/>
          <w:sz w:val="18"/>
          <w:szCs w:val="18"/>
          <w:color w:val="auto"/>
        </w:rPr>
        <w:t>The exchange of stock options was treated as a modification for accounting purposes, which requires an incremental expense of $8.6 million to be recognized for the Replacement RSU Awards over their new service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periods (1 - 3 years). In addition, any unamortized expense remaining on the exchanged options as of the modification will be recognized over their original remaining service period.</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option activity: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15"/>
                <w:szCs w:val="15"/>
                <w:color w:val="auto"/>
              </w:rPr>
            </w:pPr>
          </w:p>
        </w:tc>
        <w:tc>
          <w:tcPr>
            <w:tcW w:w="13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5"/>
                <w:szCs w:val="15"/>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Value ($, in</w:t>
            </w:r>
          </w:p>
        </w:tc>
        <w:tc>
          <w:tcPr>
            <w:tcW w:w="0" w:type="dxa"/>
            <w:vAlign w:val="bottom"/>
          </w:tcPr>
          <w:p>
            <w:pPr>
              <w:spacing w:after="0"/>
              <w:rPr>
                <w:sz w:val="1"/>
                <w:szCs w:val="1"/>
                <w:color w:val="auto"/>
              </w:rPr>
            </w:pPr>
          </w:p>
        </w:tc>
      </w:tr>
      <w:tr>
        <w:trPr>
          <w:trHeight w:val="205"/>
        </w:trPr>
        <w:tc>
          <w:tcPr>
            <w:tcW w:w="5620" w:type="dxa"/>
            <w:vAlign w:val="bottom"/>
          </w:tcPr>
          <w:p>
            <w:pPr>
              <w:spacing w:after="0"/>
              <w:rPr>
                <w:sz w:val="17"/>
                <w:szCs w:val="17"/>
                <w:color w:val="auto"/>
              </w:rPr>
            </w:pPr>
          </w:p>
        </w:tc>
        <w:tc>
          <w:tcPr>
            <w:tcW w:w="1320" w:type="dxa"/>
            <w:vAlign w:val="bottom"/>
          </w:tcPr>
          <w:p>
            <w:pPr>
              <w:jc w:val="right"/>
              <w:ind w:right="31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7"/>
                <w:szCs w:val="17"/>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7,919,699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3,677,916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(5,346,477)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Balance—September 30, 2024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5,634,494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23,561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Exercisable—September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2,120,880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number of stock options forfeited includes those exchanged in the Option Exchange as described above.</w:t>
      </w:r>
    </w:p>
    <w:p>
      <w:pPr>
        <w:spacing w:after="0" w:line="153" w:lineRule="exact"/>
        <w:rPr>
          <w:sz w:val="20"/>
          <w:szCs w:val="20"/>
          <w:color w:val="auto"/>
        </w:rPr>
      </w:pPr>
    </w:p>
    <w:p>
      <w:pPr>
        <w:ind w:right="440" w:firstLine="648"/>
        <w:spacing w:after="0" w:line="268"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fair value of the Company’s common stock as of September 30, 2024. The intrinsic value of options exercised for the nine months ended September 30, 2024 and 2023 was $1.7 million and $1.2 million, respectively.</w:t>
      </w:r>
    </w:p>
    <w:p>
      <w:pPr>
        <w:spacing w:after="0" w:line="90"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The total grant-date fair value of the options vested during the nine months ended September 30, 2024 and 2023 was $ 3.1 million and $22.1 million, respectively. The weighted-average grant-date fair value of employee options granted during the nine months ended September 30, 2024 and 2023 was $3.64 and $8.76, respectively.</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regarding the Company's RSUs: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Weighted-Average</w:t>
            </w:r>
          </w:p>
        </w:tc>
      </w:tr>
      <w:tr>
        <w:trPr>
          <w:trHeight w:val="205"/>
        </w:trPr>
        <w:tc>
          <w:tcPr>
            <w:tcW w:w="70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 of Units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2023</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2,929,602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7020" w:type="dxa"/>
            <w:vAlign w:val="bottom"/>
          </w:tcPr>
          <w:p>
            <w:pPr>
              <w:ind w:left="36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60" w:type="dxa"/>
            <w:vAlign w:val="bottom"/>
          </w:tcPr>
          <w:p>
            <w:pPr>
              <w:jc w:val="right"/>
              <w:spacing w:after="0"/>
              <w:rPr>
                <w:sz w:val="20"/>
                <w:szCs w:val="20"/>
                <w:color w:val="auto"/>
              </w:rPr>
            </w:pPr>
            <w:r>
              <w:rPr>
                <w:rFonts w:ascii="Arial" w:cs="Arial" w:eastAsia="Arial" w:hAnsi="Arial"/>
                <w:sz w:val="18"/>
                <w:szCs w:val="18"/>
                <w:color w:val="auto"/>
              </w:rPr>
              <w:t>5,760,872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(1,363,491)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(839,143)</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Balance—September 30, 2024</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6,487,840</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number of RSU's granted includes those in association with the Option Exchange as described above.</w:t>
      </w:r>
    </w:p>
    <w:p>
      <w:pPr>
        <w:spacing w:after="0" w:line="140"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grant date fair value of an RSU equals the closing price of the Company's common stock on the grant date. RSUs generally vest equally over four years, except those issued in connection with the Option Exchange as described above.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8"/>
          <w:szCs w:val="18"/>
          <w:color w:val="auto"/>
        </w:rPr>
        <w:t>Stock-based compensation expense included in the condensed consolidated statements of operations and comprehensive loss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7"/>
                <w:szCs w:val="17"/>
                <w:color w:val="auto"/>
              </w:rPr>
            </w:pPr>
          </w:p>
        </w:tc>
        <w:tc>
          <w:tcPr>
            <w:tcW w:w="260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r>
      <w:tr>
        <w:trPr>
          <w:trHeight w:val="25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r>
      <w:tr>
        <w:trPr>
          <w:trHeight w:val="27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18,090</w:t>
            </w: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300" w:firstLine="648"/>
        <w:spacing w:after="0" w:line="262" w:lineRule="auto"/>
        <w:rPr>
          <w:sz w:val="20"/>
          <w:szCs w:val="20"/>
          <w:color w:val="auto"/>
        </w:rPr>
      </w:pPr>
      <w:r>
        <w:rPr>
          <w:rFonts w:ascii="Arial" w:cs="Arial" w:eastAsia="Arial" w:hAnsi="Arial"/>
          <w:sz w:val="18"/>
          <w:szCs w:val="18"/>
          <w:color w:val="auto"/>
        </w:rPr>
        <w:t>As of September 30, 2024, there was $28.7 million of total unrecognized compensation cost related to unvested options that are expected to vest, which is expected to be recognized over a weighted-average period of 2.2 years. As of September 30, 2024, there was $40.4 million of total unrecognized compensation cost related to RSUs that is expected to vest, which is expected to be recognized over a weighted-average period of 2.5 years.</w:t>
      </w:r>
    </w:p>
    <w:p>
      <w:pPr>
        <w:spacing w:after="0" w:line="9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In April 2024, in connection with the retirement of the former Chief Financial Officer, the Company modified the terms of this individual's historical stock awards. As a result of the modifications, the Company recognized $1.7 million of incremental stock compensation expense during the nine months ended September 30, 2024, which is included in selling, general and administrative expenses.</w:t>
      </w:r>
    </w:p>
    <w:p>
      <w:pPr>
        <w:spacing w:after="0" w:line="103" w:lineRule="exact"/>
        <w:rPr>
          <w:sz w:val="20"/>
          <w:szCs w:val="20"/>
          <w:color w:val="auto"/>
        </w:rPr>
      </w:pPr>
    </w:p>
    <w:p>
      <w:pPr>
        <w:ind w:right="80" w:firstLine="648"/>
        <w:spacing w:after="0" w:line="279"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assumptions:</w:t>
      </w: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202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Nine Months Ended</w:t>
            </w: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Year Ended</w:t>
            </w:r>
          </w:p>
        </w:tc>
      </w:tr>
      <w:tr>
        <w:trPr>
          <w:trHeight w:val="185"/>
        </w:trPr>
        <w:tc>
          <w:tcPr>
            <w:tcW w:w="73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2023</w:t>
            </w:r>
          </w:p>
        </w:tc>
      </w:tr>
      <w:tr>
        <w:trPr>
          <w:trHeight w:val="25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1.8 – 6.1</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5.0 – 6.1</w:t>
            </w: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79.1</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 83.2%</w:t>
            </w:r>
          </w:p>
        </w:tc>
        <w:tc>
          <w:tcPr>
            <w:tcW w:w="780" w:type="dxa"/>
            <w:vAlign w:val="bottom"/>
          </w:tcPr>
          <w:p>
            <w:pPr>
              <w:jc w:val="right"/>
              <w:spacing w:after="0"/>
              <w:rPr>
                <w:sz w:val="20"/>
                <w:szCs w:val="20"/>
                <w:color w:val="auto"/>
              </w:rPr>
            </w:pPr>
            <w:r>
              <w:rPr>
                <w:rFonts w:ascii="Arial" w:cs="Arial" w:eastAsia="Arial" w:hAnsi="Arial"/>
                <w:sz w:val="18"/>
                <w:szCs w:val="18"/>
                <w:color w:val="auto"/>
              </w:rPr>
              <w:t>75.2</w:t>
            </w:r>
          </w:p>
        </w:tc>
        <w:tc>
          <w:tcPr>
            <w:tcW w:w="1120" w:type="dxa"/>
            <w:vAlign w:val="bottom"/>
          </w:tcPr>
          <w:p>
            <w:pPr>
              <w:ind w:left="40"/>
              <w:spacing w:after="0"/>
              <w:rPr>
                <w:sz w:val="20"/>
                <w:szCs w:val="20"/>
                <w:color w:val="auto"/>
              </w:rPr>
            </w:pPr>
            <w:r>
              <w:rPr>
                <w:rFonts w:ascii="Arial" w:cs="Arial" w:eastAsia="Arial" w:hAnsi="Arial"/>
                <w:sz w:val="18"/>
                <w:szCs w:val="18"/>
                <w:color w:val="auto"/>
              </w:rPr>
              <w:t>– 78.4%</w:t>
            </w:r>
          </w:p>
        </w:tc>
      </w:tr>
      <w:tr>
        <w:trPr>
          <w:trHeight w:val="27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4.7%</w:t>
            </w:r>
          </w:p>
        </w:tc>
      </w:tr>
      <w:tr>
        <w:trPr>
          <w:trHeight w:val="274"/>
        </w:trPr>
        <w:tc>
          <w:tcPr>
            <w:tcW w:w="73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80" w:type="dxa"/>
            <w:vAlign w:val="bottom"/>
          </w:tcPr>
          <w:p>
            <w:pPr>
              <w:spacing w:after="0"/>
              <w:rPr>
                <w:sz w:val="23"/>
                <w:szCs w:val="23"/>
                <w:color w:val="auto"/>
              </w:rPr>
            </w:pPr>
          </w:p>
        </w:tc>
        <w:tc>
          <w:tcPr>
            <w:tcW w:w="124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3"/>
                <w:szCs w:val="23"/>
                <w:color w:val="auto"/>
              </w:rPr>
            </w:pPr>
          </w:p>
        </w:tc>
        <w:tc>
          <w:tcPr>
            <w:tcW w:w="11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Net Loss Per Share</w:t>
      </w:r>
    </w:p>
    <w:p>
      <w:pPr>
        <w:spacing w:after="0" w:line="156"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Basic net loss per share is calculated by dividing the net loss by the weighted-average common shares outstanding. Pre-funded warrants to purchase 7,500,000 shares of the Company's stock were included in the weighted-average common shares outstanding used in calculating net loss per share for the three and nine months ended September 30, 2024.</w:t>
      </w:r>
    </w:p>
    <w:p>
      <w:pPr>
        <w:spacing w:after="0" w:line="103" w:lineRule="exact"/>
        <w:rPr>
          <w:sz w:val="20"/>
          <w:szCs w:val="20"/>
          <w:color w:val="auto"/>
        </w:rPr>
      </w:pPr>
    </w:p>
    <w:p>
      <w:pPr>
        <w:ind w:right="400" w:firstLine="648"/>
        <w:spacing w:after="0" w:line="279"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330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b w:val="1"/>
                <w:bCs w:val="1"/>
                <w:color w:val="auto"/>
              </w:rPr>
              <w:t>As of September 30,</w:t>
            </w:r>
          </w:p>
        </w:tc>
      </w:tr>
      <w:tr>
        <w:trPr>
          <w:trHeight w:val="196"/>
        </w:trPr>
        <w:tc>
          <w:tcPr>
            <w:tcW w:w="79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5,634,494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8,228,270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Early exercised options subject to future vesting</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3,698</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subject to future vesting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6,487,840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2,924,356</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 shares subject to future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115,926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73,252</w:t>
            </w:r>
          </w:p>
        </w:tc>
      </w:tr>
      <w:tr>
        <w:trPr>
          <w:trHeight w:val="248"/>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12,238,260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11,229,576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Subsequent Events</w:t>
      </w:r>
    </w:p>
    <w:p>
      <w:pPr>
        <w:spacing w:after="0" w:line="2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On October 8, 2024, the Company made a 2024 Partial Prepayment of $100.0 million under the Loan Agreement. After the 2024 Partial Prepayment, based on the Company's long-term debt outstanding immediately following the 2024 Partial Prepayment, a payment of principal and final fees of $106.95 million would be due on August 1, 2029, the contractual maturity of the long-term debt following the 2024 Partial Prepayment.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together with our unaudited condensed </w:t>
      </w:r>
      <w:r>
        <w:rPr>
          <w:rFonts w:ascii="Arial" w:cs="Arial" w:eastAsia="Arial" w:hAnsi="Arial"/>
          <w:sz w:val="18"/>
          <w:szCs w:val="18"/>
          <w:color w:val="auto"/>
        </w:rPr>
        <w:t>consolidated</w:t>
      </w:r>
      <w:r>
        <w:rPr>
          <w:rFonts w:ascii="Arial" w:cs="Arial" w:eastAsia="Arial" w:hAnsi="Arial"/>
          <w:sz w:val="18"/>
          <w:szCs w:val="18"/>
          <w:i w:val="1"/>
          <w:iCs w:val="1"/>
          <w:color w:val="auto"/>
        </w:rPr>
        <w:t xml:space="preserve"> financial statements and related notes appearing elsewhere in this Quarterly Report on Form 10-Q, and the audited financial statements and notes thereto as of and for the year ended December 31, 2023 and the related Management's Discussion and Analysis of Financial Condition and Results of Operations, both of which are contained in our Annual Report on Form 10-K for the year ended December 31, 2023, which has been filed with the Securities and Exchange Commission ("SEC").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our Annual Report on Form 10-K, our actual results and the timing of selected events could differ materially from the forward-looking statements contained in the following discussion and analysis.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 commercial-stage biopharmaceutical company focused on developing and commercializing treatments for dermatological diseases with high unmet medical needs. Our current portfolio is comprised of highly differentiated topical and systemic treatments with significant potential to treat immune-mediated dermatological diseases and conditions. We believe we have built the industry's leading platform for dermatologic product development and commercialization. Our strategy is to focus on validated biological targets, and to use our drug development platform and deep dermatology expertise to develop and commercialize differentiated products that have the potential to address the major shortcomings of existing therapies in our targeted indications. We believe this strategy uniquely positions us to rapidly advance our goal of bridging the treatment innovation gap in dermatology, while maximizing our probability of technical success and financial resources.</w:t>
      </w:r>
    </w:p>
    <w:p>
      <w:pPr>
        <w:spacing w:after="0" w:line="101"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We launched our lead product, ZORYVE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(roflumilast) cream 0.3% ("ZORYVE cream 0.3%"), in August 2022 after obtaining our initial U.S. Food and Drug Administration ("FDA") approval for the treatment of plaque psoriasis, including psoriasis in the intertriginous areas (e.g. groin or axillae), in individuals 12 years of age or older. ZORYVE cream 0.3% is approved for once-daily treatment of mild, moderate, and severe plaque psoriasis with no limitations on location or duration of use. In October 2023, we received FDA approval for an expanded indication in plaque psoriasis down to 6 years of age. We are currently working with the FDA to potentially further expand this indication in plaque psoriasis down to 2 years of age following the generation of additional clinical data. In April 2023, we had our first commercial launch</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outside of the United States following Health Canada approval of ZORYVE cream 0.3% for the treatment of plaque psoriasis in individuals 12 years or age or older. ZORYVE cream 0.3% is a once-daily topical formulation of roflumilast, a highly potent and selective</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phosphodiesterase-4 ("PDE4") inhibitor. PDE4 is an established biological target in dermatology, with multiple PDE4 inhibitors approved by the FDA for the treatment of dermatological conditions.</w:t>
      </w:r>
    </w:p>
    <w:p>
      <w:pPr>
        <w:spacing w:after="0" w:line="212"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In December 2023, we received FDA approval for ZORYVE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(roflumilast) topical foam 0.3% ("ZORYVE foam") for the treatment of seborrheic dermatitis in individuals aged 9 years and older, with no limitation on severity, location, or duration of use. ZORYVE foam has been shown to provide rapid disease clearance and significant reduction in itch in clinical trials. In a pivotal Phase 3 study, 80% of individuals treated with ZORYVE foam achieved the primary efficacy endpoint of IGA Success, defined as an IGA score of “clear” or “almost clear” plus a 2-point improvement at Week 8, and just over 50% of individuals achieved an IGA score of clear at Week 8. In addition, individuals treated with ZORYVE foam reported reductions in itch from baseline within 48 hours of first application. ZORYVE foam is a once-daily steroid-free foam and, as a PDE4 inhibitor, is the first drug approved for the treatment of seborrheic dermatitis with a new mechanism of action in over two decades. ZORYVE foam became commercially available in the United States in late January 2024, and announced Health Canada approval on October 18, 2024 and will become commercially available in Canada by the end of 2024. Seborrheic dermatitis is estimated to occur in as many as 10 million people in the United States, and is associated with a substantial psychosocial burden for those suffering from the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In addition to the approval of ZORYVE cream 0.3% for plaque psoriasis and ZORYVE foam for seborrheic dermatitis, we also received FDA approval for and commercially launched ZORYVE (roflumilast) cream 0.15% ("ZORYVE cream 0.15%"), (collectively, "ZORYVE") in July 2024 for the treatment of mild to moderate atopic dermatitis in adults and pediatric patients 6 years of age and older, with no limitation on location, body surface area treated, concomitant use, or duration of use. ZORYVE cream 0.15% is a once-daily, steroid-free cream that provides rapid disease clearance and significant reduction in itch and has been specifically developed to be a treatment option for long-term disease control. We have also completed a Phase 3 trial of ZORYVE cream 0.05% in pediatric patients 2 to 5 years of age with</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mild to moderate atopic dermatitis (INTEGUMENT-PED). Based on the positive results from the INTEGUMENT-PED study, and given our recent approval of ZORYVE cream 0.15% for the treatment of mild to moderate atopic dermatitis in individuals 6 years of age or older, we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expect to submit a supplemental new drug application ("sNDA") for topical ZORYVE cream 0.05% for children 2 to 5 years of age in the first quarter of 2025. We conducted INTEGUMENT-OLE, an open label extension study of the long-term safety of ZORYVE cream 0.15% in subjects 6 years of age or older and ZORYVE cream 0.05% in subjects between the ages 2 and 5 years, for which we reported positive results in August 2024.</w:t>
      </w:r>
    </w:p>
    <w:p>
      <w:pPr>
        <w:spacing w:after="0" w:line="126"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Beyond seborrheic dermatitis, we are also developing ZORYVE foam for scalp and body psoriasis and have successfully completed our Phase2b and pivotal Phase 3 clinical trials. We announced positive topline data in September 2022, and we submitted an sNDA to the FDA for a label expansion to include scalp and body psoriasis in adults and adolescents ages 12 and over, which was recently accepted by the FDA with a Prescription Drug User Fee Act ("PDUFA") target action date in May 2025.</w:t>
      </w:r>
    </w:p>
    <w:p>
      <w:pPr>
        <w:spacing w:after="0" w:line="20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Based on market research and our internal estimates, we estimate there is an overall patient market of approximately 15.2 million patients in the United States that are treated with topical therapies for plaque psoriasis, seborrheic dermatitis, and atopic dermatitis in dermatology offices (approximately 7.8 million) and outside dermatology (approximately 7.4 million). Of the patients that are treated in dermatology offices, we estimate that approximately 3.3 million of these patients are addressable or accessible with Medicare and Medicaid coverage and that approximately 4.4 million patients across plaque psoriasis, seborrheic dermatitis, and atopic dermatitis are covered by commercial insurance. Patients that are treated outside of dermatology offices </w:t>
      </w:r>
      <w:r>
        <w:rPr>
          <w:rFonts w:ascii="Arial" w:cs="Arial" w:eastAsia="Arial" w:hAnsi="Arial"/>
          <w:sz w:val="18"/>
          <w:szCs w:val="18"/>
          <w:u w:val="single" w:color="auto"/>
          <w:color w:val="auto"/>
        </w:rPr>
        <w:t>are primarily addressable</w:t>
      </w:r>
      <w:r>
        <w:rPr>
          <w:rFonts w:ascii="Arial" w:cs="Arial" w:eastAsia="Arial" w:hAnsi="Arial"/>
          <w:sz w:val="18"/>
          <w:szCs w:val="18"/>
          <w:color w:val="auto"/>
        </w:rPr>
        <w:t xml:space="preserve"> through primary care physicians and pediatricians.</w:t>
      </w:r>
    </w:p>
    <w:p>
      <w:pPr>
        <w:spacing w:after="0" w:line="210"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In July 2024, we entered into a co-promotion agreement with Kowa Pharmaceuticals, Inc. to leverage Kowa's primary care sales force to exclusively market and promote ZORYVE in the United States to primary care practitioners and pediatricians for all FDA-approved indications until at least July 2029. Under the terms of the agreement, Kowa will receive a commission from net sales attributed to Kowa. Promotion of ZORYVE in primary care and pediatrics under the Kowa agreement began in late September.</w:t>
      </w:r>
    </w:p>
    <w:p>
      <w:pPr>
        <w:spacing w:after="0" w:line="9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In addition to ZORYVE, we are developing ARQ-255, a deep-penetrating topical formulation of ivarmacitinib, a potent and highly selective topical Janus kinase type 1 ("JAK1") inhibitor, designed to preferentially deliver the drug deep into the hair follicle, the site of inflammation in alopecia areata, in order to potentially develop the first topical treatment for this disease. We recently completed enrollment in a Phase 1b study evaluating ARQ-255 for the treatment of alopecia areata and expect data in the first half of 2025.</w:t>
      </w:r>
    </w:p>
    <w:p>
      <w:pPr>
        <w:spacing w:after="0" w:line="10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September 2022, we acquired Ducentis BioTherapeutics LTD ("Ducentis") and its lead asset, DS-234 (now ARQ-234), a fusion protein that is a potent and highly selective checkpoint agonist of the CD200 Receptor (CD200R). Currently in the preclinical stage, we plan to develop ARQ-234 in atopic dermatitis, where we believe it could be a potentially highly complementary biologic treatment option to ZORYVE cream in that indication, if approved. ARQ-234 could potentially be used to treat other inflammatory conditions as well. We are working towards submitting an IND during 2025.</w:t>
      </w:r>
    </w:p>
    <w:p>
      <w:pPr>
        <w:spacing w:after="0" w:line="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We have incurred net losses in each year since inception, including net losses of $ 129.3 million and $195.9 million for the nine months ended September 30, 2024 and 2023, respectively. As of September 30, 2024, we had an accumulated deficit of $1,111.2 million and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cash, cash equivalents, restricted cash, and marketable securities of $331.2 million. As of September 30, 2024, we had $200.0 million outstanding under the Loan Agreement, of which we paid down $100.0 million of principal from our available cash on October 8, 2024, with</w:t>
      </w:r>
    </w:p>
    <w:p>
      <w:pPr>
        <w:spacing w:after="0" w:line="2"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the right to re-draw that principal for a defined period. See Note 10 to the condensed consolidated financial statements for additional information.</w:t>
      </w:r>
    </w:p>
    <w:p>
      <w:pPr>
        <w:spacing w:after="0" w:line="118" w:lineRule="exact"/>
        <w:rPr>
          <w:sz w:val="20"/>
          <w:szCs w:val="20"/>
          <w:color w:val="auto"/>
        </w:rPr>
      </w:pPr>
    </w:p>
    <w:p>
      <w:pPr>
        <w:ind w:right="460" w:firstLine="648"/>
        <w:spacing w:after="0" w:line="287" w:lineRule="auto"/>
        <w:rPr>
          <w:sz w:val="20"/>
          <w:szCs w:val="20"/>
          <w:color w:val="auto"/>
        </w:rPr>
      </w:pPr>
      <w:r>
        <w:rPr>
          <w:rFonts w:ascii="Arial" w:cs="Arial" w:eastAsia="Arial" w:hAnsi="Arial"/>
          <w:sz w:val="18"/>
          <w:szCs w:val="18"/>
          <w:color w:val="auto"/>
        </w:rPr>
        <w:t>We expect to continue to incur losses and significant expenses as we commercialize ZORYVE, and as we advance our product candidates and label extensions through clinical trials, regulatory submissions, and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commercialization. We expect to incur significant and prioritized commercialization expenses related to the sales, marketing, manufacturing, and distribution of ZORYVE, while we focus our clinical development spend on ARQ-234, ARQ-255, and ZORYVE label extensions, if we obtain regulatory approval for them. If our available cash and marketable securities balances, amounts available under the Loan Agreement, and anticipated future cash flows from operations are insufficient to cover these expenses, we may need to fund our operations through equity or debt financings or other sources, such as future potential collaboration agreements. Adequate funding may not be available to us on acceptable terms, or at all. Any failure to obtain sufficient funds on acceptable terms as and when needed could have a material adverse effect on our business, results of operations, and financial condition. See “Liquidity, Capital Resources, and Requirements” below and Note 1 to the condensed consolidated financial statements for additional information.</w:t>
      </w:r>
    </w:p>
    <w:p>
      <w:pPr>
        <w:spacing w:after="0" w:line="104"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We rely on third parties to conduct our nonclinical studies and clinical trials and for manufacturing and supply of our product candidates. We have no internal manufacturing capabilities, and we will continue to rely on third parties, many of whom are single source suppliers, for our nonclinical and clinical trial materials, as well as the commercial supply of our products.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August 2022, in conjunction with the launch of our first FDA approved product, ZORYVE cream 0.3%, we began to recognize revenue from product sales, net of rebates, chargebacks, discounts, and other adjustments. Additionally, in June 2023, we began recognizing revenue net of deductions for ZORYVE cream 0.3% in Canada and, in January 2024, for ZORYVE foam. We received FDA approval of ZORYVE cream 0.15% for atopic dermatitis and began recognizing related revenues in July 2024. We will continue to evaluate trends related to revenue for ZORYVE. Additionally, if our development efforts for our other product candidates and ZORYVE label extensions are successful and result in regulatory approval, we may generate additional revenue in the future from product sales.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Revenue</w:t>
      </w:r>
    </w:p>
    <w:p>
      <w:pPr>
        <w:spacing w:after="0" w:line="156"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Other revenue relates to our license agreements, primarily the Sato License Agreement and the Huadong License and Collaboration Agreement. See Note 6 to the condensed consolidated financial statements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2"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Cost of sales includes direct and indirect costs related to the manufacturing and distribution of ZORYVE, including raw materials, third-party manufacturing costs, packaging services, and freight-in, as well as third-party royalties payable on our net product sales and amortization of intangible assets associated with ZORYVE.</w:t>
      </w:r>
    </w:p>
    <w:p>
      <w:pPr>
        <w:spacing w:after="0" w:line="103"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8"/>
          <w:szCs w:val="18"/>
          <w:color w:val="auto"/>
        </w:rPr>
        <w:t>Our cost of sales will reflect a lower average per unit cost of materials until inventory that was previously expensed is sold, which is expected to occur over the next seven months. As of September 30, 2024 and December 31, 2023, the value of this inventory, mostly at the raw materials stage, was approximately $3.4 million and $8.7 million,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including conducting nonclinical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nonclinical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on a program specific basis (topical roflumilast program, topical JAK inhibitor program, and early-stage programs). Our internal costs are primarily related to personnel or professional services and apply across programs, and thus are not allocable on a program specific basis.</w:t>
      </w:r>
    </w:p>
    <w:p>
      <w:pPr>
        <w:spacing w:after="0" w:line="113"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expect to continue to incur research and development expenses in the future as we develop our product candidates. In particular, we expect to incur research and development expenses for the phase 1 ARQ-255 study for alopecia areata and early development of ARQ-234 for atopic dermatitis.</w:t>
      </w:r>
    </w:p>
    <w:p>
      <w:pPr>
        <w:spacing w:after="0" w:line="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112" w:lineRule="exact"/>
        <w:rPr>
          <w:sz w:val="20"/>
          <w:szCs w:val="20"/>
          <w:color w:val="auto"/>
        </w:rPr>
      </w:pPr>
    </w:p>
    <w:p>
      <w:pPr>
        <w:jc w:val="both"/>
        <w:ind w:right="260" w:firstLine="648"/>
        <w:spacing w:after="0" w:line="26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required to complete the remaining development of ZORYVE cream 0.3%, ZORYVE cream 0.15%, ZORYVE foam, ARQ-255, and ARQ-234 or any other product candidates. This is due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to the numerous risks and uncertainties associated with the development of product candidates. See “Risk Factors” for a discussion of the risks and uncertainties associated with the development of our product candidates.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selling, general and administrative expenses consist primarily of salaries and related costs, including payroll taxes, benefits, stock-based compensation, and travel, and costs related to sales and marketing of ZORYVE. Other selling, general and administrative expenses include legal costs of pursuing patent protection of our intellectual property, insurance, and professional services fees for auditing, tax, and general legal services. The commission paid to Kowa under our co-promotion agreement will also be recorded as a selling expense. We expect our selling, general and administrative expenses to continue to increase in the future as we continue to commercialize ZORYVE and potentially other product candidates and support our operations, including increased expenses related to legal, accounting, insurance, regulatory, and tax-related services associated with maintaining compliance with exchange listing and SEC requirements, directors and officers liability insurance premiums, and investor relations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2" w:lineRule="exact"/>
        <w:rPr>
          <w:sz w:val="20"/>
          <w:szCs w:val="20"/>
          <w:color w:val="auto"/>
        </w:rPr>
      </w:pPr>
    </w:p>
    <w:p>
      <w:pPr>
        <w:jc w:val="both"/>
        <w:ind w:right="120" w:firstLine="648"/>
        <w:spacing w:after="0" w:line="268" w:lineRule="auto"/>
        <w:rPr>
          <w:sz w:val="20"/>
          <w:szCs w:val="20"/>
          <w:color w:val="auto"/>
        </w:rPr>
      </w:pPr>
      <w:r>
        <w:rPr>
          <w:rFonts w:ascii="Arial" w:cs="Arial" w:eastAsia="Arial" w:hAnsi="Arial"/>
          <w:sz w:val="18"/>
          <w:szCs w:val="18"/>
          <w:color w:val="auto"/>
        </w:rPr>
        <w:t>Other income, net primarily consists of interest income earned on our cash, cash equivalents, and marketable securities, as well as changes in the fair value of the derivative related to our debt. See Note 7 to the condensed consolidated financial statements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related to interest incurred on our long-term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ind w:right="860" w:firstLine="648"/>
        <w:spacing w:after="0" w:line="287" w:lineRule="auto"/>
        <w:rPr>
          <w:sz w:val="20"/>
          <w:szCs w:val="20"/>
          <w:color w:val="auto"/>
        </w:rPr>
      </w:pPr>
      <w:r>
        <w:rPr>
          <w:rFonts w:ascii="Arial" w:cs="Arial" w:eastAsia="Arial" w:hAnsi="Arial"/>
          <w:sz w:val="18"/>
          <w:szCs w:val="18"/>
          <w:color w:val="auto"/>
        </w:rPr>
        <w:t>Provision for income taxes is related to the Huadong License and Collaboration Agreement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See Note 6 to the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2024 and 2023</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8"/>
                <w:szCs w:val="18"/>
                <w:color w:val="auto"/>
              </w:rPr>
            </w:pPr>
          </w:p>
        </w:tc>
        <w:tc>
          <w:tcPr>
            <w:tcW w:w="15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44,755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44,755</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4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began recording U.S. product revenue in the third quarter of 2022 following the FDA approval and subsequent commercial launch of ZORYVE cream 0.3% in August 2022, and Canada product revenue in the second quarter of 2023 following the Health Canada approval and subsequent commercial launch of ZORYVE cream 0.3% in June 2023. We since recorded U.S. revenue in the first quarter of 2024 following the FDA approval and subsequent commercial launch of ZORYVE foam in January 2024. In the third quarter of 2024, we recorded U.S. product revenue following the FDA approval and subsequent commercial launch of ZORYVE cream 0.15% in July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Pr>
          <w:p>
            <w:pPr>
              <w:spacing w:after="0"/>
              <w:rPr>
                <w:sz w:val="17"/>
                <w:szCs w:val="17"/>
                <w:color w:val="auto"/>
              </w:rPr>
            </w:pPr>
          </w:p>
        </w:tc>
        <w:tc>
          <w:tcPr>
            <w:tcW w:w="350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7"/>
                <w:szCs w:val="17"/>
                <w:color w:val="auto"/>
              </w:rPr>
            </w:pPr>
          </w:p>
        </w:tc>
        <w:tc>
          <w:tcPr>
            <w:tcW w:w="15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r>
      <w:tr>
        <w:trPr>
          <w:trHeight w:val="216"/>
        </w:trPr>
        <w:tc>
          <w:tcPr>
            <w:tcW w:w="4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net</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ZORYVE cream 0.3%</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22,041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ZORYVE foam</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ZORYVE cream 0.15%</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product revenue, net</w:t>
            </w:r>
          </w:p>
        </w:tc>
        <w:tc>
          <w:tcPr>
            <w:tcW w:w="102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40"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Product revenue, net, for ZORYVE cream 0.3% increased by $13.9 million for the three months ended September 30, 2024 compared to the three months ended September 30, 2023, primarily driven by higher end customer demand and improving gross-to-net discounts for ZORYVE cream 0.3% in the United States.</w:t>
      </w:r>
    </w:p>
    <w:p>
      <w:pPr>
        <w:spacing w:after="0" w:line="103" w:lineRule="exact"/>
        <w:rPr>
          <w:sz w:val="20"/>
          <w:szCs w:val="20"/>
          <w:color w:val="auto"/>
        </w:rPr>
      </w:pPr>
    </w:p>
    <w:p>
      <w:pPr>
        <w:ind w:right="300" w:firstLine="648"/>
        <w:spacing w:after="0" w:line="287" w:lineRule="auto"/>
        <w:rPr>
          <w:sz w:val="20"/>
          <w:szCs w:val="20"/>
          <w:color w:val="auto"/>
        </w:rPr>
      </w:pPr>
      <w:r>
        <w:rPr>
          <w:rFonts w:ascii="Arial" w:cs="Arial" w:eastAsia="Arial" w:hAnsi="Arial"/>
          <w:sz w:val="18"/>
          <w:szCs w:val="18"/>
          <w:color w:val="auto"/>
        </w:rPr>
        <w:t>Product revenue, net, for ZORYVE foam increased by $20.3 million for the three months ended September 30, 2024 compared to the three months ended September 30, 2023, driven by its commercial launch in January 2024.</w:t>
      </w:r>
    </w:p>
    <w:p>
      <w:pPr>
        <w:spacing w:after="0" w:line="7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Product revenue, net, for ZORYVE cream 0.15% were $ 2.5 million for the three months ended September 30, 2024 compared to no sales in the three months ended September 30, 2023, driven by its commercial launch in July 2024.</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Revenue</w:t>
      </w:r>
    </w:p>
    <w:p>
      <w:pPr>
        <w:spacing w:after="0" w:line="156"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Other revenue for the three months ended September 30, 2023 were the result of license revenues received in connection with the Huadong Agreement. See Note 6 to the condensed consolidated financial statements for additional information.</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Sales</w:t>
      </w:r>
    </w:p>
    <w:p>
      <w:pPr>
        <w:spacing w:after="0" w:line="1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Cost of sales increased by $4.3 million for the three months ended September 30, 2024 compared to the three months ended September 30, 2023. The increase is related primarily to an increase in customer demand for ZORYVE cream 0.3% and foam. Prior to the dates on which the initial regulatory approvals were received for each product, costs of raw materials were recorded as research and development expense. Therefore, cost of sales will reflect a lower average per unit cost until the related inventory is sold, which is expected to occur over the next seven months. See Note 5 to the condensed consolidated financial statements for additional information.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80" w:type="dxa"/>
            <w:vAlign w:val="bottom"/>
          </w:tcPr>
          <w:p>
            <w:pPr>
              <w:spacing w:after="0"/>
              <w:rPr>
                <w:sz w:val="18"/>
                <w:szCs w:val="18"/>
                <w:color w:val="auto"/>
              </w:rPr>
            </w:pPr>
          </w:p>
        </w:tc>
        <w:tc>
          <w:tcPr>
            <w:tcW w:w="348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8"/>
                <w:szCs w:val="18"/>
                <w:color w:val="auto"/>
              </w:rPr>
            </w:pPr>
          </w:p>
        </w:tc>
        <w:tc>
          <w:tcPr>
            <w:tcW w:w="15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8"/>
                <w:szCs w:val="18"/>
                <w:color w:val="auto"/>
              </w:rPr>
            </w:pPr>
          </w:p>
        </w:tc>
      </w:tr>
      <w:tr>
        <w:trPr>
          <w:trHeight w:val="223"/>
        </w:trPr>
        <w:tc>
          <w:tcPr>
            <w:tcW w:w="48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216"/>
        </w:trPr>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external costs:</w:t>
            </w: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Topical roflumilast program</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Topical JAK inhibitor program</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Other early-stage programs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Compensation and personnel-related</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19,501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
        </w:trPr>
        <w:tc>
          <w:tcPr>
            <w:tcW w:w="4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Research and development expenses decreased by $6.7 million, or 26%, for the three months ended September 30, 2024 compared to the three months ended September 30, 2023. The decrease was primarily due to the completion of Phase 3 studies of roflumilast cream in atopic dermatitis, coupled with a decrease in compensation and personnel-related expenses.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Selling, general, and administrative expenses increased by $11.2 million, or 24%, for the three months ended September 30, 2024 compared to the three months ended September 30, 2023. The increase was primarily due to an increase in compensation and personnel-related expenses of $7.6 million and an increase in sales and marketing expenses of $3.2 million. These increases were primarily due to our continued commercialization efforts for ZORYVE.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6"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Other income, net increased by $ 1.5 million for the three months ended September 30, 2024 compared to the three months ended September 30, 2023, primarily due to the impact of higher interest rates, coupled with a higher marketable securities balance.</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Interest expense decreased by $0.9 million for the three months ended September 30, 2024 compared to the three months ended September 30, 2023, due to the impact of lower interest rates. See Note 7 to the condensed consolidated financial statements for additional information.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Income tax expense of $3.0 million for the three months ended September 30, 2023 was primarily due to income tax expense related to withholding tax on the Huadong License and Collaboration Agreement. See Note 6 to the condensed consolidated financial statements for additional information.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2024 and 2023</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7"/>
                <w:szCs w:val="17"/>
                <w:color w:val="auto"/>
              </w:rPr>
            </w:pPr>
          </w:p>
        </w:tc>
        <w:tc>
          <w:tcPr>
            <w:tcW w:w="15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97,182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81,522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171,784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245,947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began recording U.S. product revenue in the third quarter of 2022 following the FDA approval and subsequent commercial launch of ZORYVE cream 0.3% in August 2022, and Canada product revenue in the second quarter of 2023 following the Health Canada approval and subsequent commercial launch of ZORYVE cream 0.3% in June 2023. We since recorded U.S. revenue in the first quarter of 2024 following the FDA approval and subsequent commercial launch of ZORYVE foam in January 2024. In the third quarter of 2024, we recorded U.S. product revenue following the FDA approval and subsequent commercial launch of ZORYVE cream 0.15% in July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Pr>
          <w:p>
            <w:pPr>
              <w:spacing w:after="0"/>
              <w:rPr>
                <w:sz w:val="17"/>
                <w:szCs w:val="17"/>
                <w:color w:val="auto"/>
              </w:rPr>
            </w:pPr>
          </w:p>
        </w:tc>
        <w:tc>
          <w:tcPr>
            <w:tcW w:w="3500" w:type="dxa"/>
            <w:vAlign w:val="bottom"/>
            <w:gridSpan w:val="6"/>
          </w:tcPr>
          <w:p>
            <w:pPr>
              <w:ind w:left="52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7"/>
                <w:szCs w:val="17"/>
                <w:color w:val="auto"/>
              </w:rPr>
            </w:pPr>
          </w:p>
        </w:tc>
        <w:tc>
          <w:tcPr>
            <w:tcW w:w="15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r>
      <w:tr>
        <w:trPr>
          <w:trHeight w:val="216"/>
        </w:trPr>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net</w:t>
            </w: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ZORYVE cream 0.3%</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54,325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ZORYVE foam</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ZORYVE cream 0.15%</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product revenue, net</w:t>
            </w:r>
          </w:p>
        </w:tc>
        <w:tc>
          <w:tcPr>
            <w:tcW w:w="100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97,182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Product revenue, net, for ZORYVE cream 0.3% increased by $38.7 million for the nine months ended September 30, 2024 compared to the nine months ended September 30, 2023, primarily driven by higher end customer demand and improvements in gross-to-net discounts for ZORYVE cream 0.3% in the United States and the commercial launch of ZORYVE cream 0.3% in Canada in June 2023.</w:t>
      </w:r>
    </w:p>
    <w:p>
      <w:pPr>
        <w:spacing w:after="0" w:line="103"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Product revenue, net, for ZORYVE foam increased by $40.4 million for the nine months ended September 30, 2024 compared to no sales in the nine months ended September 30, 2023, driven by its commercial launch in January 2024.</w:t>
      </w:r>
    </w:p>
    <w:p>
      <w:pPr>
        <w:spacing w:after="0" w:line="8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Product revenue, net, for ZORYVE cream 0.15% were $2.5 million for the nine months ended September 30, 2024 compared to no sales in the nine months ended September 30, 2023, driven by its commercial launch in July 2024.</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Revenue</w:t>
      </w:r>
    </w:p>
    <w:p>
      <w:pPr>
        <w:spacing w:after="0" w:line="156"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Other revenue in the nine months ended September 30, 2024 includes $25.0 million received as an upfront payment in connection with the Sato Agreement and a $3.0 milestone payment received in connection with the Huadong Agreement. Other revenue in the nine months ended September 30, 2023 primarily includes license revenues received in connection with the Huadong Agreement. See Note 6 to the condensed consolidated financial statements for additional information.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Sales</w:t>
      </w:r>
    </w:p>
    <w:p>
      <w:pPr>
        <w:spacing w:after="0" w:line="1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Cost of sales increased by $9.5 million for the nine months ended September 30, 2024 compared to the nine months ended September 30, 2023. The increase is related primarily to an increase in customer demand for ZORYVE cream 0.3% and foam. Prior to the dates on which the initial regulatory approvals were received for each product, costs of raw materials were recorded as research and development expense. Therefore, cost of sales will reflect a lower average per unit cost until the related inventory is sold, which is expected to occur over the next seven months. See Note 5 to the condensed consolidated financial statements for additional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3500" w:type="dxa"/>
            <w:vAlign w:val="bottom"/>
            <w:gridSpan w:val="6"/>
          </w:tcPr>
          <w:p>
            <w:pPr>
              <w:ind w:left="52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7"/>
                <w:szCs w:val="17"/>
                <w:color w:val="auto"/>
              </w:rPr>
            </w:pPr>
          </w:p>
        </w:tc>
        <w:tc>
          <w:tcPr>
            <w:tcW w:w="154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7"/>
                <w:szCs w:val="17"/>
                <w:color w:val="auto"/>
              </w:rPr>
            </w:pPr>
          </w:p>
        </w:tc>
      </w:tr>
      <w:tr>
        <w:trPr>
          <w:trHeight w:val="223"/>
        </w:trPr>
        <w:tc>
          <w:tcPr>
            <w:tcW w:w="48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216"/>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external costs:</w:t>
            </w: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4860" w:type="dxa"/>
            <w:vAlign w:val="bottom"/>
          </w:tcPr>
          <w:p>
            <w:pPr>
              <w:ind w:left="360"/>
              <w:spacing w:after="0"/>
              <w:rPr>
                <w:sz w:val="20"/>
                <w:szCs w:val="20"/>
                <w:color w:val="auto"/>
              </w:rPr>
            </w:pPr>
            <w:r>
              <w:rPr>
                <w:rFonts w:ascii="Arial" w:cs="Arial" w:eastAsia="Arial" w:hAnsi="Arial"/>
                <w:sz w:val="18"/>
                <w:szCs w:val="18"/>
                <w:color w:val="auto"/>
              </w:rPr>
              <w:t>Topical roflumilast program</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28,974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Topical JAK inhibitor program</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Other early-stage programs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Compensation and personnel-related</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29,574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61,940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86,800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Research and development expenses decreased by $24.9 million, or 29%, for the nine months ended September 30, 2024 compared to the nine months ended September 30, 2023. The decrease was primarily due to the completion of Phase 3 studies of roflumilast cream in atopic dermatitis, coupled with decreases in compensation and personnel-related expenses and consulting costs, partially offset by manufacturing and preclinical costs incurred related to the development of early-stage programs.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2" w:lineRule="exact"/>
        <w:rPr>
          <w:sz w:val="20"/>
          <w:szCs w:val="20"/>
          <w:color w:val="auto"/>
        </w:rPr>
      </w:pPr>
    </w:p>
    <w:p>
      <w:pPr>
        <w:jc w:val="both"/>
        <w:ind w:right="200" w:firstLine="648"/>
        <w:spacing w:after="0" w:line="262" w:lineRule="auto"/>
        <w:rPr>
          <w:sz w:val="20"/>
          <w:szCs w:val="20"/>
          <w:color w:val="auto"/>
        </w:rPr>
      </w:pPr>
      <w:r>
        <w:rPr>
          <w:rFonts w:ascii="Arial" w:cs="Arial" w:eastAsia="Arial" w:hAnsi="Arial"/>
          <w:sz w:val="18"/>
          <w:szCs w:val="18"/>
          <w:color w:val="auto"/>
        </w:rPr>
        <w:t>Selling, general, and administrative expenses increased by $35.3 million, or 26%, for the nine months ended September 30, 2024 compared to the nine months ended September 30, 2023. The increase was primarily due to an increase in compensation and personnel-related expenses of $19.1 million and an increase in sales and marketing expenses of $14.7 million. These increases were primarily due to our continued commercialization efforts for ZORYVE.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6" w:lineRule="exact"/>
        <w:rPr>
          <w:sz w:val="20"/>
          <w:szCs w:val="20"/>
          <w:color w:val="auto"/>
        </w:rPr>
      </w:pPr>
    </w:p>
    <w:p>
      <w:pPr>
        <w:ind w:right="380" w:firstLine="648"/>
        <w:spacing w:after="0" w:line="287" w:lineRule="auto"/>
        <w:rPr>
          <w:sz w:val="20"/>
          <w:szCs w:val="20"/>
          <w:color w:val="auto"/>
        </w:rPr>
      </w:pPr>
      <w:r>
        <w:rPr>
          <w:rFonts w:ascii="Arial" w:cs="Arial" w:eastAsia="Arial" w:hAnsi="Arial"/>
          <w:sz w:val="18"/>
          <w:szCs w:val="18"/>
          <w:color w:val="auto"/>
        </w:rPr>
        <w:t>Other income, net increased by $ 4.3 million for the nine months ended September 30, 2024 compared to the nine months ended September 30, 2023, primarily due to the impact of higher interest rates and higher marketable securities balance.</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Interest expense decreased by $0.3 million for the nine months ended September 30, 2024 compared to the nine months ended September 30, 2023, due to the impact of lower interest rates. See Note 7 to the condensed consolidated financial statements for additional information.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Income tax expense of $0.3 million and $3.0 million for the nine months ended September 30, 2024 and 2023, respectively, were primarily due to withholding tax on the Huadong License and Collaboration Agreement. See Note 6 to the condensed consolidated financial statements for additional information.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Capital Resources, and Requirements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primary sources of capital to date have been private placements of preferred stock, our IPO completed in January 2020, our follow-on financings in October 2020, February 2021, August 2022, October 2023, and March 2024, our Loan Agreement, our ATM program, and revenue from the sale of ZORYVE. We have incurred operating losses since our inception and have an accumulated deficit as a result of ongoing efforts to develop and commercialize our products and product candidates, including conducting nonclinical and clinical trials and providing selling, general and administrative support for these operations. As of September 30, 2024, we had cash, cash equivalents, restricted cash, and marketable securities of $331.2 million, and an accumulated deficit of $1,111.2 million. We maintain cash balances with financial institutions in excess of insured limits. As of September 30, 2024, we had $200.0 million outstanding under the Loan Agreement, of which we paid down $100.0 million of principal from available cash on October 8, 2024, with the right to re-draw that principal for a defined period. See Note 10 to the condensed consolidated financial statements for additional information.</w:t>
      </w:r>
    </w:p>
    <w:p>
      <w:pPr>
        <w:spacing w:after="0" w:line="11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our capital resources are insufficient to satisfy our requirements, we may need to fund our operations through the sale of our equity securities, accessing or incurring additional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among other things, reductions in staff and delaying, scaling back, or stopping certain research and development programs, nonclinical studies, clinical trials or other development activities, and commercialization efforts. Insufficient liquidity may also require us to relinquish rights to product candidates at an earlier stage of development or on less favorable terms than we would otherwise choose. In addition, market conditions impacting financial institutions could impact our ability to access some or all of our cash, cash equivalents and marketable securities, and we may be unable to obtain alternative funding when and as needed on acceptable terms, if at all.</w:t>
      </w:r>
    </w:p>
    <w:p>
      <w:pPr>
        <w:spacing w:after="0" w:line="104"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We have based our projected operating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Any future funding requirements will depend on many factors, including, but not limited to:</w:t>
      </w:r>
    </w:p>
    <w:p>
      <w:pPr>
        <w:spacing w:after="0" w:line="109" w:lineRule="exact"/>
        <w:rPr>
          <w:sz w:val="20"/>
          <w:szCs w:val="20"/>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amount of sales of any current and future products;</w:t>
      </w:r>
    </w:p>
    <w:p>
      <w:pPr>
        <w:spacing w:after="0" w:line="157" w:lineRule="exact"/>
        <w:rPr>
          <w:rFonts w:ascii="Arial" w:cs="Arial" w:eastAsia="Arial" w:hAnsi="Arial"/>
          <w:sz w:val="18"/>
          <w:szCs w:val="18"/>
          <w:color w:val="auto"/>
        </w:rPr>
      </w:pPr>
    </w:p>
    <w:p>
      <w:pPr>
        <w:ind w:left="820" w:right="240" w:hanging="164"/>
        <w:spacing w:after="0" w:line="268"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nonclinical studies and clinical trials, in particular our planned or ongoing development activities and our formulation and nonclinical efforts;</w:t>
      </w:r>
    </w:p>
    <w:p>
      <w:pPr>
        <w:spacing w:after="0" w:line="89"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suspensions or delays in the enrollment or changes to the number of subjects we decide to enroll in our ongoing clinical trials;</w:t>
      </w:r>
    </w:p>
    <w:p>
      <w:pPr>
        <w:spacing w:after="0" w:line="157" w:lineRule="exact"/>
        <w:rPr>
          <w:rFonts w:ascii="Arial" w:cs="Arial" w:eastAsia="Arial" w:hAnsi="Arial"/>
          <w:sz w:val="18"/>
          <w:szCs w:val="18"/>
          <w:color w:val="auto"/>
        </w:rPr>
      </w:pPr>
    </w:p>
    <w:p>
      <w:pPr>
        <w:ind w:left="820" w:right="80" w:hanging="164"/>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 and the number and characteristics of any product candidates we develop or acquire;</w:t>
      </w:r>
    </w:p>
    <w:p>
      <w:pPr>
        <w:spacing w:after="0" w:line="85"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57" w:lineRule="exact"/>
        <w:rPr>
          <w:rFonts w:ascii="Arial" w:cs="Arial" w:eastAsia="Arial" w:hAnsi="Arial"/>
          <w:sz w:val="18"/>
          <w:szCs w:val="18"/>
          <w:color w:val="auto"/>
        </w:rPr>
      </w:pPr>
    </w:p>
    <w:p>
      <w:pPr>
        <w:ind w:left="820" w:right="240" w:hanging="164"/>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ZORYVE or any future product candidates and any products we successfully commercialize, including costs associated with building out our supply chain;</w:t>
      </w:r>
    </w:p>
    <w:p>
      <w:pPr>
        <w:spacing w:after="0" w:line="85" w:lineRule="exact"/>
        <w:rPr>
          <w:rFonts w:ascii="Arial" w:cs="Arial" w:eastAsia="Arial" w:hAnsi="Arial"/>
          <w:sz w:val="18"/>
          <w:szCs w:val="18"/>
          <w:color w:val="auto"/>
        </w:rPr>
      </w:pPr>
    </w:p>
    <w:p>
      <w:pPr>
        <w:ind w:left="820" w:right="780" w:hanging="164"/>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commercialization activities for ZORYVE or any future product candidates that are approved for sale, including marketing, sales and distribution costs, and any discounts or rebates to obtain access;</w:t>
      </w:r>
    </w:p>
    <w:p>
      <w:pPr>
        <w:spacing w:after="0" w:line="71" w:lineRule="exact"/>
        <w:rPr>
          <w:rFonts w:ascii="Arial" w:cs="Arial" w:eastAsia="Arial" w:hAnsi="Arial"/>
          <w:sz w:val="18"/>
          <w:szCs w:val="18"/>
          <w:color w:val="auto"/>
        </w:rPr>
      </w:pPr>
    </w:p>
    <w:p>
      <w:pPr>
        <w:ind w:left="820" w:right="260" w:hanging="164"/>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85" w:lineRule="exact"/>
        <w:rPr>
          <w:rFonts w:ascii="Arial" w:cs="Arial" w:eastAsia="Arial" w:hAnsi="Arial"/>
          <w:sz w:val="18"/>
          <w:szCs w:val="18"/>
          <w:color w:val="auto"/>
        </w:rPr>
      </w:pPr>
    </w:p>
    <w:p>
      <w:pPr>
        <w:ind w:left="820" w:right="840" w:hanging="164"/>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related to milestone payments to AstraZeneca, Hengrui or any future collaborator or licensing partner, upon the achievement of predetermined milestones;</w:t>
      </w:r>
    </w:p>
    <w:p>
      <w:pPr>
        <w:spacing w:after="0" w:line="85"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any adverse market conditions or other macroeconomic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4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December 22, 2021, we entered into a loan and security agreement (the “Prior Loan Agreement”) with SLR Investment Corp ("SLR") and the lenders party thereto. The Prior Loan Agreement was amended and restated on January 10, 2023 (the "AR Loan Agreement") to include Arcutis Canada, Inc., a corporation incorporated under the laws of the Province of Ontario, as a borrower and party. On November 1, 2023, we entered into an amendment to the AR Loan Agreement to, among others, (i) modify the financial covenant relating to minimum net product revenue, and (ii) include an additional minimum financing covenant. On August 9, 2024, we entered into a second amendment to the AR Loan Agreement (the AR Loan Agreement, as amended by the first and second amendments, the "Loan Agreement") to, among others, (i) permit, during the period commencing on October 7, 2024 and ending on December 15, 2024, an optional partial prepayment of term loans outstanding, subject to a 1.0% prepayment penalty (the “2024 Partial Prepayment”), (ii) add the tranche C-1 and tranche C-2 term loans, and (iii) facilitate certain other changes, including with respect to the applicable interest rate and maturity date in the event of a 2024 Partial Prepayment. The term loan facility is comprised of (i) a tranche A term loan of $75.0 million, (ii) a tranche B-1 term loan of $50.0 million, (iii) a tranche B-2 term loan of up to $ 75.0 million, (iv) a tranche C-1 term loan of up to $50.0 million, and (v) a tranche C-2 term loan of up to $50.0 million (collectively, the "Term Loans"). The tranche A term loan was funded in December 2021. With the approval of ZORYVE cream 0.3% on July 29, 2022, the tranche B term loans were funded in August 2022. As of each of December 31, 2023 and September 30, 2024, the aggregate principal amount outstanding under the Loan Agreement was $200.0 million.</w:t>
      </w:r>
    </w:p>
    <w:p>
      <w:pPr>
        <w:spacing w:after="0" w:line="11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October 2024, we made a 2024 Partial Prepayment of $100.0 million, which reduced the aggregate principal amount outstanding under the Loan Agreement to $100.0 million. In connection with the 2024 Partial Prepayment, we are obligated to pay a prepayment penalty of $1.0 million by June 30, 2026 and a final fee of $6.95 million, representing the final fee applicable to the amount of the 2024 Partial Prepayment, on January 1, 2027. As a result of such 2024 Partial Prepayment, subject us generating a minimum net product revenue for the trailing six (6) month period ending as of the month prior to the borrowing date equal to 80% of our projected net product revenue as set forth in its annual plan for the respective period, we will be able to draw down the tranche C-1 and tranche C-2 term loans. The tranche C-1 term loan availability will expire on March 31, 2026 and the tranche C-2 term loan availability will expire on June 30, 2026. In addition, as a result of the 2024 Partial Prepayment, (i) the maturity date of the Loan Agreement is August 1, 2029 (such date, the “Maturity Date”), (ii) the applicable per annum interest rate is equal to 5.95% plus the greater of (a) 2.50% per annum and (b) the one-month Secured Overnight Financing Rate ("SOFR"), (iii) we are no longer subject to certain cost and purchase price restrictions regarding acquisitions, and (iv) we may prepay principal amounts outstanding under the Term Loans in minimum increments of $25.0 million, subject to a prepayment premium of (a) 3.0% for any prepayment made prior to the first anniversary of the second amendment, (b) 2.0% for any prepayment made prior after the first anniversary of the second amendment and prior to the second anniversary of the second amendment, or (c) 1.0% for any prepayment made prior after the second anniversary of the second amendment and prior to the Maturity Date.</w:t>
      </w:r>
    </w:p>
    <w:p>
      <w:pPr>
        <w:spacing w:after="0" w:line="11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Principal amounts outstanding under the Term Loans will generally accrue interest at a floating rate equal to the applicable rate in effect from time to time, as determined by SLR on the third business day prior to the funding date of the applicable Term Loan and on the first business day of the month prior to each payment date of each Term Loan. Prior to the 2024 Partial Prepayment, the applicable rate was a per annum interest rate equal to 7.45% plus the greater of (a) 0.10% and (b) the one-month SOFR. On September 30, 2024, the rate was</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11.12%. As a result of such 2024 Partial Prepayment, the applicable interest rate will be a per annum interest rate equal to 5.95% plus the greater of (a) 2.50% and (b) the one-month SOFR. The benchmark SOFR is subject to change in the event of certain events with respect to the benchmark rate. Interest payments are payable monthly following the funding of any Term Loan. Any principal amounts outstanding under the Term Loans, if not repaid or prepaid, are due and payable on August 1, 2029.</w:t>
      </w:r>
    </w:p>
    <w:p>
      <w:pPr>
        <w:spacing w:after="0" w:line="101" w:lineRule="exact"/>
        <w:rPr>
          <w:sz w:val="20"/>
          <w:szCs w:val="20"/>
          <w:color w:val="auto"/>
        </w:rPr>
      </w:pPr>
    </w:p>
    <w:p>
      <w:pPr>
        <w:ind w:right="560" w:firstLine="648"/>
        <w:spacing w:after="0" w:line="287" w:lineRule="auto"/>
        <w:rPr>
          <w:sz w:val="20"/>
          <w:szCs w:val="20"/>
          <w:color w:val="auto"/>
        </w:rPr>
      </w:pPr>
      <w:r>
        <w:rPr>
          <w:rFonts w:ascii="Arial" w:cs="Arial" w:eastAsia="Arial" w:hAnsi="Arial"/>
          <w:sz w:val="18"/>
          <w:szCs w:val="18"/>
          <w:color w:val="auto"/>
        </w:rPr>
        <w:t>As security for the obligations under the Loan Agreement, we granted SLR, for the benefit of the lenders, a continuing security interest in substantially all of our assets, including our intellectual property, subject to certain exceptions.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If the Term Loans are accelerated due to, among others, the occurrence of a bankruptcy or insolvency event, we are required to make certain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spacing w:after="0" w:line="9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also agreed to a financial covenant whereby we must generate a minimum net product revenue equal to 75% of our projected net product revenue as set forth in our annual plan for the respective period, tested on a trailing six-month basis as of the end of each month. Each annual plan shall be approved by our board of directors and SLR, in its capacity as collateral agent, in its reasonable discretion. Any failure by us to deliver such annual plan on or before December 15 of the prior year shall be an immediate event of default.</w:t>
      </w:r>
    </w:p>
    <w:p>
      <w:pPr>
        <w:spacing w:after="0" w:line="106"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In addition, the Loan Agreement contains customary events of default that entitle the lenders to cause any indebtedness under the Loan Agreement to become immediately due and payable, and to exercise remedies against us and the collateral securing the Term Loans. Upon the occurrence and for the duration of an event of default, an additional default interest rate (the "Default Rate") equal to 4.0% per annum will apply to all obligations owed under the Loan Agreement.</w:t>
      </w:r>
    </w:p>
    <w:p>
      <w:pPr>
        <w:spacing w:after="0" w:line="10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connection with the Loan Agreement, we are obligated to pay (i) a final fee equal to 6.95% of the aggregate original principal amount of the Term Loans outstanding as of the date of the second amendment, (x) with respect to any 2024 Partial Prepayment, upon the earliest to occur of (A) January 1, 2027, (B) the acceleration of all outstanding Term Loans and (C) the prepayment, or refinancing, substitution or replacement of all outstanding Term Loans, and (y) with respect to the Term Loans outstanding as of the date of the second amendment (other than 2024 Partial Prepayment), upon the earliest to occur of (A) the Maturity Date, (B) the acceleration of all outstanding Term Loans and (C) the prepayment, or refinancing, substitution or replacement of all outstanding Term Loans, (ii) a 2.00% fee with respect to tranche C term loans, due and payable on the earliest to occur of (A) the Maturity Date, (B) the acceleration of all outstanding Term Loans and (C) the prepayment, or refinancing, substitution or replacement of all outstanding Term Loans, (iii) a 2.00% extension fee with respect to tranche C term loans which remain unfunded after December 31, 2025, which shall accrue during the period commencing January 1, 2026, and ending on the earliest to occur of (A) the expiration of the tranche C term loan availability, and (B) the date on which tranche C term loan is fully drawn, and (iv) a certain amount of lenders’ expenses incurred in connection with the execution of the Loan Agreement. Additionally, in connection with the original Prior Loan Agreement, we previously had entered into an Exit Fee Agreement, whereby we agreed to pay an exit fee in the amount of 3.0% of each Term Loan funded upon (i) any change of control transaction or (ii) a revenue milestone, calculated on a trailing six-month basis. Notwithstanding the prepayment or termination of the Term Loan, the exit fee will expire 10 years from the date of the Loan Agreement.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covenants under the Loan Agreement as of September 30, 2024.</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32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Borders>
              <w:bottom w:val="single" w:sz="8" w:color="auto"/>
            </w:tcBorders>
          </w:tcPr>
          <w:p>
            <w:pPr>
              <w:spacing w:after="0"/>
              <w:rPr>
                <w:sz w:val="17"/>
                <w:szCs w:val="17"/>
                <w:color w:val="auto"/>
              </w:rPr>
            </w:pPr>
          </w:p>
        </w:tc>
      </w:tr>
      <w:tr>
        <w:trPr>
          <w:trHeight w:val="196"/>
        </w:trPr>
        <w:tc>
          <w:tcPr>
            <w:tcW w:w="7160" w:type="dxa"/>
            <w:vAlign w:val="bottom"/>
          </w:tcPr>
          <w:p>
            <w:pPr>
              <w:spacing w:after="0"/>
              <w:rPr>
                <w:sz w:val="17"/>
                <w:szCs w:val="17"/>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r>
      <w:tr>
        <w:trPr>
          <w:trHeight w:val="257"/>
        </w:trPr>
        <w:tc>
          <w:tcPr>
            <w:tcW w:w="7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6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2"/>
                <w:szCs w:val="22"/>
                <w:color w:val="auto"/>
              </w:rPr>
            </w:pPr>
          </w:p>
        </w:tc>
      </w:tr>
      <w:tr>
        <w:trPr>
          <w:trHeight w:val="23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(190,813)</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Cash (used in) provided by investing activities</w:t>
            </w: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242,418</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42"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During the nine months ended September 30, 2024, net cash used in operating activities was $111.4 million, which consisted of a net loss of $129.3 million and a change in net operating assets and liabilities of $13.5 million, partially offset by net non-cash charges of $31.4 million. The net non-cash charges were primarily related to stock-based compensation expense of $32.3 million.</w:t>
      </w:r>
    </w:p>
    <w:p>
      <w:pPr>
        <w:spacing w:after="0" w:line="103"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During the nine months ended September 30, 2023, net cash used in operating activities was $190.8 million, which consisted of a net loss of $195.9 million and a change in net operating assets and liabilities of $23.9 million, partially offset by net non-cash charges of $29.0 million. The net non-cash charges were primarily related to stock-based compensation expense of $30.1 million.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42"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During the nine months ended September 30, 2024, net cash used in investing activities was $6.1 million, which was comprised primarily of purchases of marketable securities of $237.4 million, offset by proceeds from the maturities of marketable securities of $231.5 million.</w:t>
      </w:r>
    </w:p>
    <w:p>
      <w:pPr>
        <w:spacing w:after="0" w:line="103"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During the nine months ended September 30, 2023, net cash provided by investing activities was $242.4 million, which was comprised primarily of proceeds from the maturities of marketable securities of $350.5 million, partially offset by purchases of marketable securities of $107.7 million.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42" w:lineRule="exact"/>
        <w:rPr>
          <w:sz w:val="20"/>
          <w:szCs w:val="20"/>
          <w:color w:val="auto"/>
        </w:rPr>
      </w:pPr>
    </w:p>
    <w:p>
      <w:pPr>
        <w:ind w:right="760" w:firstLine="648"/>
        <w:spacing w:after="0" w:line="287" w:lineRule="auto"/>
        <w:rPr>
          <w:sz w:val="20"/>
          <w:szCs w:val="20"/>
          <w:color w:val="auto"/>
        </w:rPr>
      </w:pPr>
      <w:r>
        <w:rPr>
          <w:rFonts w:ascii="Arial" w:cs="Arial" w:eastAsia="Arial" w:hAnsi="Arial"/>
          <w:sz w:val="18"/>
          <w:szCs w:val="18"/>
          <w:color w:val="auto"/>
        </w:rPr>
        <w:t>During the nine months ended September 30, 2024, net cash provided by financing activities was $163.6 million, which was comprised primarily of $161.7 million of net proceeds from our February 2024 public stock offering.</w:t>
      </w:r>
    </w:p>
    <w:p>
      <w:pPr>
        <w:spacing w:after="0" w:line="85"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During the nine months ended September 30, 2023, net cash provided by financing activities was $ 2.0 million, which was comprised of $1.0 million in proceeds from the issuance of common stock upon the exercise of stock options and $1.0 million in proceeds from the issuance of common stock as part of our ESPP.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144"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Except as set forth in Note 7, Long-term Debt, and Note 10, Subsequent Events, of the notes to our condensed consolidated financial statements included elsewhere in this Quarterly Report on Form 10-Q, there have been no material changes outside the ordinary course of business to our contractual obligations and commitments as described in “Management’s Discussion and Analysis of Financial Condition and Results of Operations” in our Annual Report on Form 10-K for the year ended December 31, 2023.</w:t>
      </w:r>
    </w:p>
    <w:p>
      <w:pPr>
        <w:spacing w:after="0" w:line="10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Smaller Reporting Company Status</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June 30, 2024, the market value of our ordinary shares held by non-affiliates exceeded $ 700.0 million. As a result, we will be a large accelerated filer. Additionally, we will no longer qualify as a smaller reporting company beginning with our first Quarterly Report on Form 10-Q for the quarterly period ending March 31, 2025. As a result of this transition, we will be subject to certain disclosure and compliance requirements that apply to other public companies but did not previously apply to us and we will also not be able to take advantage of certain scaled disclosures available to smaller reporting companies.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September 30, 2024, we had cash and cash equivalents of $134.9 million, restricted cash of $0.6 million, and marketable securities of $ 195.7 million; which from time to time consist of bank deposits, money market funds, commercial paper, government securities, and corporate debt securities.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w:t>
      </w:r>
    </w:p>
    <w:p>
      <w:pPr>
        <w:spacing w:after="0" w:line="11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addition, as of September 30, 2024, we had $200.0 million outstanding under our Loan Agreement. On October 8, 2024, the Company made a 2024 Partial Prepayment of $100.0 million, which reduced the principal amount outstanding to $100.0 million. Amounts outstanding under our Loan Agreement bear interest at a floating rate equal a per annum interest rate equal to 5.95% plus the greater of (a) 2.50% and (b) the one-month Secured Overnight Financing Rate ("SOFR") as the current benchmark rate. As a result, we are exposed to risks related to our indebtedness from changes in interest rates. Based on the amount outstanding under our Loan Agreement after the prepayment, for every 100 basis point increase in the interest rates, we would incur approximately $1.0 million of additional annual interest expense. We do not currently engage in hedging transactions to manage our exposure to interest rate risk, but higher interest expense would be offset in part by higher earnings on our cash and marketable securities. We may in the future use swaps, caps, collars, structured collars or other common derivative financial instruments to reduce interest rate risk. It is difficult to predict the effect that future hedging activities would have on our operating results.</w:t>
      </w:r>
    </w:p>
    <w:p>
      <w:pPr>
        <w:spacing w:after="0" w:line="11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foreign currency exchange risk as our Canadian subsidiary operates with the Canadian dollar as its functional currency. The majority of our transactions occur in U.S. dollars. The fluctuation in the value of the U.S. dollar against the Canadian dollar affects the reported amounts of expenses, assets and liabilities. If we expand our international operations our exposure to exchange rate fluctuations will increase. At September 30, 2024 we had cash balances denominated in Canadian dollars of $ 4.5 million. We currently do not hedge any foreign currency exposure. A hypothetical 10% change in foreign exchange rates during any of the periods presented would not have a material impact on our condensed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our Chief Executive Officer and Chief Financial Officer have concluded that, as of September 30, 2024,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required information is accumulated and communicated to our management, including our Chief Executive Officer and Chief Financial Officer, as appropriate, to allow timely decisions regarding required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6" w:lineRule="exact"/>
        <w:rPr>
          <w:sz w:val="20"/>
          <w:szCs w:val="20"/>
          <w:color w:val="auto"/>
        </w:rPr>
      </w:pPr>
    </w:p>
    <w:p>
      <w:pPr>
        <w:jc w:val="both"/>
        <w:ind w:right="280" w:firstLine="64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September 30, 2024 that has materially affected, or is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42"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Our internal control over financial reporting is designed to provide reasonable assurance regarding the reliability of financial reporting and the preparation of financial statements for external purposes in accordance with U.S. GAAP.</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60" w:firstLine="656"/>
        <w:spacing w:after="0" w:line="287" w:lineRule="auto"/>
        <w:tabs>
          <w:tab w:leader="none" w:pos="8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71" w:lineRule="exact"/>
        <w:rPr>
          <w:rFonts w:ascii="Arial" w:cs="Arial" w:eastAsia="Arial" w:hAnsi="Arial"/>
          <w:sz w:val="18"/>
          <w:szCs w:val="18"/>
          <w:color w:val="auto"/>
        </w:rPr>
      </w:pPr>
    </w:p>
    <w:p>
      <w:pPr>
        <w:ind w:right="620" w:firstLine="656"/>
        <w:spacing w:after="0" w:line="268" w:lineRule="auto"/>
        <w:tabs>
          <w:tab w:leader="none" w:pos="8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03" w:lineRule="exact"/>
        <w:rPr>
          <w:rFonts w:ascii="Arial" w:cs="Arial" w:eastAsia="Arial" w:hAnsi="Arial"/>
          <w:sz w:val="18"/>
          <w:szCs w:val="18"/>
          <w:color w:val="auto"/>
        </w:rPr>
      </w:pPr>
    </w:p>
    <w:p>
      <w:pPr>
        <w:ind w:right="400" w:firstLine="656"/>
        <w:spacing w:after="0" w:line="287" w:lineRule="auto"/>
        <w:tabs>
          <w:tab w:leader="none" w:pos="9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8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Management, including our Chief Executive Officer and Chief Financial Officer, do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Arcutis Biotherapeutics, Inc. filed a lawsuit against Padagis Israel Pharmaceuticals Ltd., Padagis US LLC, and Padagis LLC (collectively, Padagis) in the U.S. District Court for the District of Delaware on March 27, 2024, based on the submission to the FDA of an ANDA seeking approval to market and sell a generic version of Arcutis’s ZORYVE® 0.3% cream for the treatment of plaque psoriasis. The Company asserts infringement of the following eleven patents, which are listed in the FDA’s Orange Book for Arcutis’ ZORYVE® 0.3% cream: 9,884,050; 9,907,788; 10,940,142; 11,129,818; 11,793,796;11,819,496; 11,992,480; 12,005,051; 12,005,052; 12,011,437; and 12,016,848 (collectively, Asserted Patents). Arcutis seeks a judgment that Padagis has infringed or will infringe one or more claims of each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Asserted Patents and based on that judgment, a permanent injunction prohibiting the commercial manufacture, use, offer to sell, or sale within the United States or importation into the United States of Padagis’s proposed generic product before expiration of each of the Asserted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Patents found to infringe.</w:t>
      </w:r>
    </w:p>
    <w:p>
      <w:pPr>
        <w:spacing w:after="0" w:line="140"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On July 19, 2024, Arcutis filed its first amended complaint that added the last five of the above listed patents to its infringement allegations. These patents were issued by the U.S. Patent and Trademark Office and listed in FDA’s Orange Book for Arcutis’s ZORYVE® 0.3% cream after the filing of the original complaint. On August 2, 2024, Padagis responded to the first amended complaint, denying infringement and asserting counterclaims seeking a declaratory judgement that the asserted patents are not infringed, invalid and/or unenforceable. The court issued a scheduling order on June 10, 2024, which sets trial at the court’s convenience, or around April 13-17, 2026. The automatic 30-month stay of FDA approval of Padagis’s ANDA seeking approval for Arcutis’s ZORYVE® 0.3% cream is set to expire on August 14, 2026.</w:t>
      </w:r>
    </w:p>
    <w:p>
      <w:pPr>
        <w:spacing w:after="0" w:line="115"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For a discussion of our potential risks and uncertainties, see the information in Part I, "Part I, Item 1A. Risk Factors” in our Annual Report on Form 10-K for the year ended December 31, 2023 and Part II, Item 1A, “Risk Factors” in our Quarterly Report on Form 10-Q for the quarter ended June 30, 2024. Other than the risk factors set forth below, there have been no material changes to the risk factors disclosed in our Annual Report on Form 10-K for the year ended December 31, 2023.</w:t>
      </w:r>
    </w:p>
    <w:p>
      <w:pPr>
        <w:spacing w:after="0" w:line="111"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expect to be a large accelerated filer and will no longer qualify as a “smaller reporting company” which will require additional compliance initiatives and heightened disclosure and reporting requirements.</w:t>
      </w:r>
    </w:p>
    <w:p>
      <w:pPr>
        <w:spacing w:after="0" w:line="5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Pursuant to Section 404 of the Sarbanes-Oxley Act, we are required to furnish a report by our senior management on our internal control over financial reporting. However, during any period in which we qualify as a smaller reporting company, we will not be required to include an attestation report on internal control over financial reporting issued by our independent registered public accounting firm. As of June 30, 2024, the market value of our ordinary shares held by non-affiliates exceeded $ 700.0 million. As a result, we will be a large accelerated filer effective December 31, 2024. Additionally, we will no longer qualify as a "smaller reporting company," as defined in the Exchange Act, beginning with our first Quarterly Report on Form 10-Q for the quarterly period ending March 31, 2025. As a result of this transition, we will be required to include an attestation report on internal control over financial reporting issued by our independent registered public accounting firm with our Annual Report on Form 10-K for the fiscal year ending December 31, 2024. To prepare for compliance with Section 404, we have engaged in a process to document and evaluate our internal control over financial reporting, which is both costly and challenging. In this regard, we have dedicated internal resources, engaged outside consultants and adopted a detailed work plan to assess and document the adequacy of internal control over financial reporting. We have continued steps to improve control processes as appropriate, validate through testing that controls are functioning as documented and implement a continuous reporting and improvement process for internal control over financial reporting. Despite our efforts to date and continued efforts, there is a risk that we will not be able to conclude, within the prescribed time frame or at all, that our internal control over financial reporting is effective as required by Section 404. As a result of this transition, we will be subject to certain disclosure and compliance requirements that apply to other public companies but did not previously apply to us during the period in which we qualified as a smaller reporting company, and we will also not be able to take advantage of certain scaled disclosures available to smaller reporting companies. Any failure to comply with the increased disclosure and reporting requirements could have an adverse effect on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Our current and future collaboration arrangements may not be successful, which could adversely affect our ability to develop and commercialize future product candidates.</w:t>
      </w:r>
    </w:p>
    <w:p>
      <w:pPr>
        <w:spacing w:after="0" w:line="5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have entered into a strategic collaboration and licensing agreement for topical roflumilast in Greater China and Southeast Asia with Hangzhou Zhongmei Huadong Pharmaceutical Co., a wholly owned subsidiary of Huadong Medicine Co., Ltd., a strategic collaboration and licensing agreement for topical roflumilast in Japan with Sato Pharmaceutical Co., Ltd., and a co-promotion agreement with Kowa Pharmaceuticals America, Inc. to exclusively market and promote ZORYVE to primary care practitioners and pediatricians for all FDA approved indications in the United States. In the future, we may seek additional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future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The terms of any collaborations or other arrangements that we may establish may not be favorable to us. Our current and future collaborations may not be successful. The success of our collaboration arrangements will depend heavily on the efforts and activities of our collaborators. Collaborations are subject to numerous risks, which may include risks that:</w:t>
      </w:r>
    </w:p>
    <w:p>
      <w:pPr>
        <w:spacing w:after="0" w:line="122" w:lineRule="exact"/>
        <w:rPr>
          <w:sz w:val="20"/>
          <w:szCs w:val="20"/>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57" w:lineRule="exact"/>
        <w:rPr>
          <w:rFonts w:ascii="Arial" w:cs="Arial" w:eastAsia="Arial" w:hAnsi="Arial"/>
          <w:sz w:val="18"/>
          <w:szCs w:val="18"/>
          <w:color w:val="auto"/>
        </w:rPr>
      </w:pPr>
    </w:p>
    <w:p>
      <w:pPr>
        <w:jc w:val="both"/>
        <w:ind w:left="820" w:right="80" w:hanging="164"/>
        <w:spacing w:after="0" w:line="262"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95" w:lineRule="exact"/>
        <w:rPr>
          <w:rFonts w:ascii="Arial" w:cs="Arial" w:eastAsia="Arial" w:hAnsi="Arial"/>
          <w:sz w:val="18"/>
          <w:szCs w:val="18"/>
          <w:color w:val="auto"/>
        </w:rPr>
      </w:pPr>
    </w:p>
    <w:p>
      <w:pPr>
        <w:ind w:left="820" w:right="80" w:hanging="164"/>
        <w:spacing w:after="0" w:line="28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85" w:lineRule="exact"/>
        <w:rPr>
          <w:rFonts w:ascii="Arial" w:cs="Arial" w:eastAsia="Arial" w:hAnsi="Arial"/>
          <w:sz w:val="18"/>
          <w:szCs w:val="18"/>
          <w:color w:val="auto"/>
        </w:rPr>
      </w:pPr>
    </w:p>
    <w:p>
      <w:pPr>
        <w:ind w:left="820" w:hanging="164"/>
        <w:spacing w:after="0" w:line="259"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a collaborator with sales, marketing, manufacturing, and distribution rights to one or more products may not commit sufficient resources to or otherwise not perform satisfactorily in carrying out these activities, including with respect to accessing primary care and pediatric practices; collaborators are or may in the future be entitled to fees, royalties, profit sharing, and other consideration, which may limit or otherwise negatively impact our profit and financial performance;</w:t>
      </w:r>
    </w:p>
    <w:p>
      <w:pPr>
        <w:spacing w:after="0" w:line="111"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and could in the future grant exclusive rights to our collaborators that prevent us from collaborating with others;</w:t>
      </w:r>
    </w:p>
    <w:p>
      <w:pPr>
        <w:spacing w:after="0" w:line="144" w:lineRule="exact"/>
        <w:rPr>
          <w:rFonts w:ascii="Arial" w:cs="Arial" w:eastAsia="Arial" w:hAnsi="Arial"/>
          <w:sz w:val="18"/>
          <w:szCs w:val="18"/>
          <w:color w:val="auto"/>
        </w:rPr>
      </w:pPr>
    </w:p>
    <w:p>
      <w:pPr>
        <w:ind w:left="820" w:right="60" w:hanging="164"/>
        <w:spacing w:after="0" w:line="268"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3" w:lineRule="exact"/>
        <w:rPr>
          <w:rFonts w:ascii="Arial" w:cs="Arial" w:eastAsia="Arial" w:hAnsi="Arial"/>
          <w:sz w:val="18"/>
          <w:szCs w:val="18"/>
          <w:color w:val="auto"/>
        </w:rPr>
      </w:pPr>
    </w:p>
    <w:p>
      <w:pPr>
        <w:ind w:left="820" w:right="900" w:hanging="164"/>
        <w:spacing w:after="0" w:line="268"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103" w:lineRule="exact"/>
        <w:rPr>
          <w:rFonts w:ascii="Arial" w:cs="Arial" w:eastAsia="Arial" w:hAnsi="Arial"/>
          <w:sz w:val="18"/>
          <w:szCs w:val="18"/>
          <w:color w:val="auto"/>
        </w:rPr>
      </w:pPr>
    </w:p>
    <w:p>
      <w:pPr>
        <w:ind w:left="820" w:right="120" w:hanging="164"/>
        <w:spacing w:after="0" w:line="28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w:t>
      </w:r>
    </w:p>
    <w:p>
      <w:pPr>
        <w:spacing w:after="0" w:line="71" w:lineRule="exact"/>
        <w:rPr>
          <w:rFonts w:ascii="Arial" w:cs="Arial" w:eastAsia="Arial" w:hAnsi="Arial"/>
          <w:sz w:val="18"/>
          <w:szCs w:val="18"/>
          <w:color w:val="auto"/>
        </w:rPr>
      </w:pPr>
    </w:p>
    <w:p>
      <w:pPr>
        <w:ind w:left="820" w:right="220" w:hanging="164"/>
        <w:spacing w:after="0" w:line="28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collaborating with them, and in such cases, we would not have the exclusive right to develop or commercialize such intellectual property;</w:t>
      </w:r>
    </w:p>
    <w:p>
      <w:pPr>
        <w:spacing w:after="0" w:line="85"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57" w:lineRule="exact"/>
        <w:rPr>
          <w:rFonts w:ascii="Arial" w:cs="Arial" w:eastAsia="Arial" w:hAnsi="Arial"/>
          <w:sz w:val="18"/>
          <w:szCs w:val="18"/>
          <w:color w:val="auto"/>
        </w:rPr>
      </w:pPr>
    </w:p>
    <w:p>
      <w:pPr>
        <w:ind w:left="820" w:right="20" w:hanging="164"/>
        <w:spacing w:after="0" w:line="28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Furthermore, we cannot assure you that any collaboration, or other strategic transaction, will achieve the expected synergies. For example, such transactions may require us to incur non-recurring or other charges, increase our near- and long-term expenditures, and pose significant integration or implementation challenges or disrupt our management or business. These transactions entail numerous operational and financial risks, including exposure to unknown liabilities, dependence upon the performance and discretion of counterparties that we do not control and that may underperform or fail,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103"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The terms of our loan and security agreement require us to meet certain operating and financial covenants, including a minimum financing covenant, and place restrictions on our operating and financial flexibility. If we raise additional capital through debt financing, the terms of any new debt could further restrict our ability to operate our business.</w:t>
      </w:r>
    </w:p>
    <w:p>
      <w:pPr>
        <w:spacing w:after="0" w:line="17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As of September 30, 2024, we had $200.0 million outstanding under our Loan Agreement. On August 9, we entered into a second amendment to the Loan Agreement, pursuant to which the terms were revised to, among others, permit an optional partial prepayment of term loans outstanding during the period commencing on October 7, 2024 and ending on December 15, 2024, subject to a 1.0% prepayment penalty (the “2024 Partial Prepayment”). On October 8, 2024, we made a 2024 Partial Prepayment of $100.0 million, which reduced the aggregate principal amount outstanding under the Loan Agreement to $100.0 million. In connection with the 2024 Partial Prepayment, we are obligated to pay a prepayment penalty of $1.0 million by June 30, 2026 and a final fee of $6.95 million, representing the final fee applicable to the amount of the 2024 Partial Prepayment, on January 1, 2027. As a result of such 2024 Partial Prepayment, subject us generating a minimum net product revenue for the trailing six (6) month period ending as of the month prior to the borrowing date equal to 80% of our projected net product revenue as set forth in our annual plan for the respective period, we will be able to draw down a tranche C-1 term loan of up to $50.0 million and a tranche C-2 term loan of up to $50.0 million. The tranche C-1 term loan availability will expire on March 31, 2026</w:t>
      </w:r>
    </w:p>
    <w:p>
      <w:pPr>
        <w:spacing w:after="0" w:line="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and the tranche C-2 term loan availability will expire on June 30, 2026. As security for the obligations under the Loan Agreement, we granted SLR, for the benefit of the lenders, a continuing security interest in substantially all of our assets, including our intellectual property, subject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certain exceptions.</w:t>
      </w:r>
    </w:p>
    <w:p>
      <w:pPr>
        <w:spacing w:after="0" w:line="22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Loan Agreement contains a number of representations and warranties and affirmative and restrictive covenants, including financial covenants, and the terms may restrict our current and future operations, particularly our ability to respond to certain changes in our business or industry, or take future actions. The Loan Agreement includes a financial covenant whereby we must generate minimum net product revenue equal to 75% of our projected net product revenue as set forth in our annual plan for the respective period, tested on a trailing six-month basis as of the end of each month. Each annual plan shall be approved by our board of directors and SLR, in its capacity as collateral agent, in its reasonable discretion. Any failure by us to deliver such annual plan on or before December 15 of the prior year shall be an immediate event of default.</w:t>
      </w:r>
    </w:p>
    <w:p>
      <w:pPr>
        <w:spacing w:after="0" w:line="212" w:lineRule="exact"/>
        <w:rPr>
          <w:sz w:val="20"/>
          <w:szCs w:val="20"/>
          <w:color w:val="auto"/>
        </w:rPr>
      </w:pPr>
    </w:p>
    <w:p>
      <w:pPr>
        <w:jc w:val="both"/>
        <w:ind w:right="140" w:firstLine="648"/>
        <w:spacing w:after="0" w:line="241" w:lineRule="auto"/>
        <w:rPr>
          <w:sz w:val="20"/>
          <w:szCs w:val="20"/>
          <w:color w:val="auto"/>
        </w:rPr>
      </w:pPr>
      <w:r>
        <w:rPr>
          <w:rFonts w:ascii="Arial" w:cs="Arial" w:eastAsia="Arial" w:hAnsi="Arial"/>
          <w:sz w:val="18"/>
          <w:szCs w:val="18"/>
          <w:color w:val="auto"/>
        </w:rPr>
        <w:t>If the debt under the Loan Agreement were accelerated due to an event of default or otherwise, we may not have sufficient cash or be able to sell sufficient assets to repay this debt, which would harm our business and financial condition. If we do not have or are unable to generate sufficient cash to repay our debt obligations when they become due and payable, either upon maturity or in the event of a default,</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our assets could be foreclosed upon and we may not be able to obtain additional debt or equity financing on favorable terms, if at all, which may negatively impact our ability to operate and continue our business as a going concern. Moreover, regardless of a potential event of</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default, the debt under the Loan Agreement matures and is due on August 1, 2029. As a result, we may need to refinance or secure separate financing in order to repay amounts outstanding when due, however, no assurance can be given that an extension will be granted, that we will be able to renegotiate the terms of the agreement with the lender, or that we will be able to secure separate debt or equity financing on favorable terms, if at all.</w:t>
      </w:r>
    </w:p>
    <w:p>
      <w:pPr>
        <w:spacing w:after="0" w:line="207"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In order to service our indebtedness, we need to generate cash from our operating activities or additional equity or debt financings.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223" w:lineRule="exact"/>
        <w:rPr>
          <w:sz w:val="20"/>
          <w:szCs w:val="20"/>
          <w:color w:val="auto"/>
        </w:rPr>
      </w:pPr>
    </w:p>
    <w:p>
      <w:pPr>
        <w:ind w:right="340" w:firstLine="648"/>
        <w:spacing w:after="0" w:line="287" w:lineRule="auto"/>
        <w:rPr>
          <w:sz w:val="20"/>
          <w:szCs w:val="20"/>
          <w:color w:val="auto"/>
        </w:rPr>
      </w:pPr>
      <w:r>
        <w:rPr>
          <w:rFonts w:ascii="Arial" w:cs="Arial" w:eastAsia="Arial" w:hAnsi="Arial"/>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 of the Board</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board of directors (the “Board”) elected Keith Leonard to serve as Chair of the Board, effective 4 November 2024. Mr. Leonard has served as a member of the Board since September 2021. Over his more than 30 years in the biopharmaceutical industry, he has had a wide variety of roles and brings deep expertise in pharmaceutical commercialization. He currently chairs the board of Unity Biotechnology, serves on the board of Intuitive Surgical, and was previously chair of the boards of Kythera Biopharmaceuticals and Sienna Biopharmaceuticals, and served on the boards of Sanifit SA, Anacor Pharmaceuticals, Affymax, and ARYx Therapeutics. He was also previously chief executive officer of Unity Biotherapeutics and Kythera Biopharmaceuticals. Mr. Leonard succeeds Patrick Heron. Mr. Heron, who has served as a member of the Board since its formation and as Chair of the Board since 2019, will continue to serve as an independent director.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0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Description of Document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Incorporated by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jc w:val="center"/>
              <w:ind w:left="28"/>
              <w:spacing w:after="0"/>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100" w:type="dxa"/>
            <w:vAlign w:val="bottom"/>
            <w:gridSpan w:val="4"/>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Reference Form</w:t>
            </w: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20" w:type="dxa"/>
            <w:vAlign w:val="bottom"/>
          </w:tcPr>
          <w:p>
            <w:pPr>
              <w:jc w:val="center"/>
              <w:ind w:left="2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480" w:type="dxa"/>
            <w:vAlign w:val="bottom"/>
            <w:tcBorders>
              <w:top w:val="single" w:sz="8" w:color="auto"/>
            </w:tcBorders>
            <w:gridSpan w:val="5"/>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Restated Certificate of Incorporation.</w:t>
              </w:r>
            </w:hyperlink>
          </w:p>
        </w:tc>
        <w:tc>
          <w:tcPr>
            <w:tcW w:w="14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10-Q</w:t>
            </w:r>
          </w:p>
        </w:tc>
        <w:tc>
          <w:tcPr>
            <w:tcW w:w="9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5/12/20</w:t>
            </w:r>
          </w:p>
        </w:tc>
        <w:tc>
          <w:tcPr>
            <w:tcW w:w="8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3.1</w:t>
            </w: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top w:val="single" w:sz="8" w:color="0000FF"/>
            </w:tcBorders>
            <w:gridSpan w:val="3"/>
          </w:tcPr>
          <w:p>
            <w:pPr>
              <w:spacing w:after="0"/>
              <w:rPr>
                <w:rFonts w:ascii="Arial" w:cs="Arial" w:eastAsia="Arial" w:hAnsi="Arial"/>
                <w:sz w:val="18"/>
                <w:szCs w:val="18"/>
                <w:color w:val="0000FF"/>
              </w:rPr>
            </w:pPr>
            <w:hyperlink r:id="rId55">
              <w:r>
                <w:rPr>
                  <w:rFonts w:ascii="Arial" w:cs="Arial" w:eastAsia="Arial" w:hAnsi="Arial"/>
                  <w:sz w:val="18"/>
                  <w:szCs w:val="18"/>
                  <w:color w:val="0000FF"/>
                </w:rPr>
                <w:t>Restated Bylaws.</w:t>
              </w:r>
            </w:hyperlink>
          </w:p>
        </w:tc>
        <w:tc>
          <w:tcPr>
            <w:tcW w:w="2560" w:type="dxa"/>
            <w:vAlign w:val="bottom"/>
            <w:gridSpan w:val="2"/>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5/12/20</w:t>
            </w:r>
          </w:p>
        </w:tc>
        <w:tc>
          <w:tcPr>
            <w:tcW w:w="86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gridSpan w:val="5"/>
          </w:tcPr>
          <w:p>
            <w:pPr>
              <w:spacing w:after="0"/>
              <w:rPr>
                <w:rFonts w:ascii="Arial" w:cs="Arial" w:eastAsia="Arial" w:hAnsi="Arial"/>
                <w:sz w:val="18"/>
                <w:szCs w:val="18"/>
                <w:color w:val="0000FF"/>
              </w:rPr>
            </w:pPr>
            <w:hyperlink r:id="rId56">
              <w:r>
                <w:rPr>
                  <w:rFonts w:ascii="Arial" w:cs="Arial" w:eastAsia="Arial" w:hAnsi="Arial"/>
                  <w:sz w:val="18"/>
                  <w:szCs w:val="18"/>
                  <w:color w:val="0000FF"/>
                </w:rPr>
                <w:t>Form of Common Stock Certificate.</w:t>
              </w:r>
            </w:hyperlink>
          </w:p>
        </w:tc>
        <w:tc>
          <w:tcPr>
            <w:tcW w:w="1460" w:type="dxa"/>
            <w:vAlign w:val="bottom"/>
          </w:tcPr>
          <w:p>
            <w:pPr>
              <w:jc w:val="center"/>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rPr>
                <w:sz w:val="20"/>
                <w:szCs w:val="20"/>
                <w:color w:val="auto"/>
              </w:rPr>
            </w:pPr>
            <w:r>
              <w:rPr>
                <w:rFonts w:ascii="Arial" w:cs="Arial" w:eastAsia="Arial" w:hAnsi="Arial"/>
                <w:sz w:val="18"/>
                <w:szCs w:val="18"/>
                <w:color w:val="auto"/>
              </w:rPr>
              <w:t>4.1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gridSpan w:val="5"/>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Investors’ Rights Agreement, dated October</w:t>
              </w:r>
            </w:hyperlink>
          </w:p>
        </w:tc>
        <w:tc>
          <w:tcPr>
            <w:tcW w:w="1460" w:type="dxa"/>
            <w:vAlign w:val="bottom"/>
          </w:tcPr>
          <w:p>
            <w:pPr>
              <w:jc w:val="center"/>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rPr>
                <w:sz w:val="20"/>
                <w:szCs w:val="20"/>
                <w:color w:val="auto"/>
              </w:rPr>
            </w:pPr>
            <w:r>
              <w:rPr>
                <w:rFonts w:ascii="Arial" w:cs="Arial" w:eastAsia="Arial" w:hAnsi="Arial"/>
                <w:sz w:val="18"/>
                <w:szCs w:val="18"/>
                <w:color w:val="auto"/>
              </w:rPr>
              <w:t>4.2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57">
              <w:r>
                <w:rPr>
                  <w:rFonts w:ascii="Arial" w:cs="Arial" w:eastAsia="Arial" w:hAnsi="Arial"/>
                  <w:sz w:val="18"/>
                  <w:szCs w:val="18"/>
                  <w:color w:val="0000FF"/>
                  <w:w w:val="98"/>
                </w:rPr>
                <w:t>8, 2019, by and among the Registrant and certain of its stockholders.</w:t>
              </w:r>
            </w:hyperlink>
          </w:p>
        </w:tc>
        <w:tc>
          <w:tcPr>
            <w:tcW w:w="40" w:type="dxa"/>
            <w:vAlign w:val="bottom"/>
            <w:tcBorders>
              <w:bottom w:val="single" w:sz="8" w:color="0000FF"/>
            </w:tcBorders>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08"/>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5460" w:type="dxa"/>
            <w:vAlign w:val="bottom"/>
            <w:gridSpan w:val="6"/>
          </w:tcPr>
          <w:p>
            <w:pPr>
              <w:spacing w:after="0"/>
              <w:rPr>
                <w:sz w:val="20"/>
                <w:szCs w:val="20"/>
                <w:color w:val="auto"/>
              </w:rPr>
            </w:pPr>
            <w:r>
              <w:rPr>
                <w:rFonts w:ascii="Arial" w:cs="Arial" w:eastAsia="Arial" w:hAnsi="Arial"/>
                <w:sz w:val="18"/>
                <w:szCs w:val="18"/>
                <w:color w:val="0000FF"/>
              </w:rPr>
              <w:t>Certification of Principal Executive Officer Pursuant to Rules 13a-</w:t>
            </w: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546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14(a) and 15d-14(a) under the Securities and Exchange Act of 1934,</w:t>
            </w:r>
          </w:p>
        </w:tc>
      </w:tr>
      <w:tr>
        <w:trPr>
          <w:trHeight w:val="196"/>
        </w:trPr>
        <w:tc>
          <w:tcPr>
            <w:tcW w:w="1200" w:type="dxa"/>
            <w:vAlign w:val="bottom"/>
          </w:tcPr>
          <w:p>
            <w:pPr>
              <w:spacing w:after="0"/>
              <w:rPr>
                <w:sz w:val="17"/>
                <w:szCs w:val="17"/>
                <w:color w:val="auto"/>
              </w:rPr>
            </w:pPr>
          </w:p>
        </w:tc>
        <w:tc>
          <w:tcPr>
            <w:tcW w:w="5460" w:type="dxa"/>
            <w:vAlign w:val="bottom"/>
            <w:gridSpan w:val="6"/>
          </w:tcPr>
          <w:p>
            <w:pPr>
              <w:spacing w:after="0" w:line="196" w:lineRule="exact"/>
              <w:rPr>
                <w:sz w:val="20"/>
                <w:szCs w:val="20"/>
                <w:color w:val="auto"/>
              </w:rPr>
            </w:pPr>
            <w:r>
              <w:rPr>
                <w:rFonts w:ascii="Arial" w:cs="Arial" w:eastAsia="Arial" w:hAnsi="Arial"/>
                <w:sz w:val="18"/>
                <w:szCs w:val="18"/>
                <w:color w:val="0000FF"/>
              </w:rPr>
              <w:t>as adopted pursuant to Section 302 of the Sarbanes-Oxley Act of</w:t>
            </w:r>
          </w:p>
        </w:tc>
      </w:tr>
      <w:tr>
        <w:trPr>
          <w:trHeight w:val="183"/>
        </w:trPr>
        <w:tc>
          <w:tcPr>
            <w:tcW w:w="1200" w:type="dxa"/>
            <w:vAlign w:val="bottom"/>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3"/>
              </w:rPr>
              <w:t>2002.</w:t>
            </w:r>
          </w:p>
        </w:tc>
        <w:tc>
          <w:tcPr>
            <w:tcW w:w="336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5460" w:type="dxa"/>
            <w:vAlign w:val="bottom"/>
            <w:gridSpan w:val="6"/>
          </w:tcPr>
          <w:p>
            <w:pPr>
              <w:spacing w:after="0"/>
              <w:rPr>
                <w:sz w:val="20"/>
                <w:szCs w:val="20"/>
                <w:color w:val="auto"/>
              </w:rPr>
            </w:pPr>
            <w:r>
              <w:rPr>
                <w:rFonts w:ascii="Arial" w:cs="Arial" w:eastAsia="Arial" w:hAnsi="Arial"/>
                <w:sz w:val="18"/>
                <w:szCs w:val="18"/>
                <w:color w:val="0000FF"/>
              </w:rPr>
              <w:t>Certification of Principal Financial Officer Pursuant to Rules 13a-</w:t>
            </w:r>
          </w:p>
        </w:tc>
      </w:tr>
      <w:tr>
        <w:trPr>
          <w:trHeight w:val="20"/>
        </w:trPr>
        <w:tc>
          <w:tcPr>
            <w:tcW w:w="120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1200" w:type="dxa"/>
            <w:vAlign w:val="bottom"/>
          </w:tcPr>
          <w:p>
            <w:pPr>
              <w:spacing w:after="0"/>
              <w:rPr>
                <w:sz w:val="15"/>
                <w:szCs w:val="15"/>
                <w:color w:val="auto"/>
              </w:rPr>
            </w:pPr>
          </w:p>
        </w:tc>
        <w:tc>
          <w:tcPr>
            <w:tcW w:w="546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14(a) and 15d-14(a) under the Securities and Exchange Act of 1934,</w:t>
            </w:r>
          </w:p>
        </w:tc>
      </w:tr>
      <w:tr>
        <w:trPr>
          <w:trHeight w:val="196"/>
        </w:trPr>
        <w:tc>
          <w:tcPr>
            <w:tcW w:w="1200" w:type="dxa"/>
            <w:vAlign w:val="bottom"/>
          </w:tcPr>
          <w:p>
            <w:pPr>
              <w:spacing w:after="0"/>
              <w:rPr>
                <w:sz w:val="17"/>
                <w:szCs w:val="17"/>
                <w:color w:val="auto"/>
              </w:rPr>
            </w:pPr>
          </w:p>
        </w:tc>
        <w:tc>
          <w:tcPr>
            <w:tcW w:w="5460" w:type="dxa"/>
            <w:vAlign w:val="bottom"/>
            <w:gridSpan w:val="6"/>
          </w:tcPr>
          <w:p>
            <w:pPr>
              <w:spacing w:after="0" w:line="196" w:lineRule="exact"/>
              <w:rPr>
                <w:sz w:val="20"/>
                <w:szCs w:val="20"/>
                <w:color w:val="auto"/>
              </w:rPr>
            </w:pPr>
            <w:r>
              <w:rPr>
                <w:rFonts w:ascii="Arial" w:cs="Arial" w:eastAsia="Arial" w:hAnsi="Arial"/>
                <w:sz w:val="18"/>
                <w:szCs w:val="18"/>
                <w:color w:val="0000FF"/>
              </w:rPr>
              <w:t>as adopted pursuant to Section 302 of the Sarbanes-Oxley Act of</w:t>
            </w:r>
          </w:p>
        </w:tc>
      </w:tr>
      <w:tr>
        <w:trPr>
          <w:trHeight w:val="183"/>
        </w:trPr>
        <w:tc>
          <w:tcPr>
            <w:tcW w:w="1200" w:type="dxa"/>
            <w:vAlign w:val="bottom"/>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3"/>
              </w:rPr>
              <w:t>2002.</w:t>
            </w:r>
          </w:p>
        </w:tc>
        <w:tc>
          <w:tcPr>
            <w:tcW w:w="336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5460" w:type="dxa"/>
            <w:vAlign w:val="bottom"/>
            <w:gridSpan w:val="6"/>
          </w:tcPr>
          <w:p>
            <w:pPr>
              <w:spacing w:after="0"/>
              <w:rPr>
                <w:sz w:val="20"/>
                <w:szCs w:val="20"/>
                <w:color w:val="auto"/>
              </w:rPr>
            </w:pPr>
            <w:r>
              <w:rPr>
                <w:rFonts w:ascii="Arial" w:cs="Arial" w:eastAsia="Arial" w:hAnsi="Arial"/>
                <w:sz w:val="18"/>
                <w:szCs w:val="18"/>
                <w:color w:val="0000FF"/>
              </w:rPr>
              <w:t>Certification of Principal Executive Officer and Principal Financial</w:t>
            </w:r>
          </w:p>
        </w:tc>
      </w:tr>
      <w:tr>
        <w:trPr>
          <w:trHeight w:val="183"/>
        </w:trPr>
        <w:tc>
          <w:tcPr>
            <w:tcW w:w="1200" w:type="dxa"/>
            <w:vAlign w:val="bottom"/>
          </w:tcPr>
          <w:p>
            <w:pPr>
              <w:spacing w:after="0"/>
              <w:rPr>
                <w:sz w:val="15"/>
                <w:szCs w:val="15"/>
                <w:color w:val="auto"/>
              </w:rPr>
            </w:pPr>
          </w:p>
        </w:tc>
        <w:tc>
          <w:tcPr>
            <w:tcW w:w="518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Officer Pursuant to 18 U.S.C. Section 1350, as adopted pursuant</w:t>
            </w:r>
          </w:p>
        </w:tc>
        <w:tc>
          <w:tcPr>
            <w:tcW w:w="280" w:type="dxa"/>
            <w:vAlign w:val="bottom"/>
            <w:gridSpan w:val="2"/>
          </w:tcPr>
          <w:p>
            <w:pPr>
              <w:ind w:left="40"/>
              <w:spacing w:after="0" w:line="182" w:lineRule="exact"/>
              <w:rPr>
                <w:sz w:val="20"/>
                <w:szCs w:val="20"/>
                <w:color w:val="auto"/>
              </w:rPr>
            </w:pPr>
            <w:r>
              <w:rPr>
                <w:rFonts w:ascii="Arial" w:cs="Arial" w:eastAsia="Arial" w:hAnsi="Arial"/>
                <w:sz w:val="18"/>
                <w:szCs w:val="18"/>
                <w:color w:val="0000FF"/>
              </w:rPr>
              <w:t>to</w:t>
            </w:r>
          </w:p>
        </w:tc>
      </w:tr>
      <w:tr>
        <w:trPr>
          <w:trHeight w:val="196"/>
        </w:trPr>
        <w:tc>
          <w:tcPr>
            <w:tcW w:w="1200" w:type="dxa"/>
            <w:vAlign w:val="bottom"/>
          </w:tcPr>
          <w:p>
            <w:pPr>
              <w:spacing w:after="0"/>
              <w:rPr>
                <w:sz w:val="17"/>
                <w:szCs w:val="17"/>
                <w:color w:val="auto"/>
              </w:rPr>
            </w:pPr>
          </w:p>
        </w:tc>
        <w:tc>
          <w:tcPr>
            <w:tcW w:w="380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9"/>
              </w:rPr>
              <w:t>Section 906 of the Sarbanes-Oxley Act of 2002.</w:t>
            </w:r>
          </w:p>
        </w:tc>
        <w:tc>
          <w:tcPr>
            <w:tcW w:w="1560" w:type="dxa"/>
            <w:vAlign w:val="bottom"/>
            <w:tcBorders>
              <w:top w:val="single" w:sz="8" w:color="0000FF"/>
            </w:tcBorders>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5460" w:type="dxa"/>
            <w:vAlign w:val="bottom"/>
            <w:gridSpan w:val="6"/>
          </w:tcPr>
          <w:p>
            <w:pPr>
              <w:spacing w:after="0"/>
              <w:rPr>
                <w:sz w:val="20"/>
                <w:szCs w:val="20"/>
                <w:color w:val="auto"/>
              </w:rPr>
            </w:pPr>
            <w:r>
              <w:rPr>
                <w:rFonts w:ascii="Arial" w:cs="Arial" w:eastAsia="Arial" w:hAnsi="Arial"/>
                <w:sz w:val="18"/>
                <w:szCs w:val="18"/>
                <w:color w:val="auto"/>
              </w:rPr>
              <w:t>Inline XBRL Instance Document - The instance document does not</w:t>
            </w:r>
          </w:p>
        </w:tc>
      </w:tr>
      <w:tr>
        <w:trPr>
          <w:trHeight w:val="216"/>
        </w:trPr>
        <w:tc>
          <w:tcPr>
            <w:tcW w:w="1200" w:type="dxa"/>
            <w:vAlign w:val="bottom"/>
          </w:tcPr>
          <w:p>
            <w:pPr>
              <w:spacing w:after="0"/>
              <w:rPr>
                <w:sz w:val="18"/>
                <w:szCs w:val="18"/>
                <w:color w:val="auto"/>
              </w:rPr>
            </w:pPr>
          </w:p>
        </w:tc>
        <w:tc>
          <w:tcPr>
            <w:tcW w:w="5460" w:type="dxa"/>
            <w:vAlign w:val="bottom"/>
            <w:gridSpan w:val="6"/>
          </w:tcPr>
          <w:p>
            <w:pPr>
              <w:spacing w:after="0"/>
              <w:rPr>
                <w:sz w:val="20"/>
                <w:szCs w:val="20"/>
                <w:color w:val="auto"/>
              </w:rPr>
            </w:pPr>
            <w:r>
              <w:rPr>
                <w:rFonts w:ascii="Arial" w:cs="Arial" w:eastAsia="Arial" w:hAnsi="Arial"/>
                <w:sz w:val="18"/>
                <w:szCs w:val="18"/>
                <w:color w:val="auto"/>
              </w:rPr>
              <w:t>appear in the interactive data file because its XBRL tags are</w:t>
            </w:r>
          </w:p>
        </w:tc>
      </w:tr>
      <w:tr>
        <w:trPr>
          <w:trHeight w:val="239"/>
        </w:trPr>
        <w:tc>
          <w:tcPr>
            <w:tcW w:w="1200" w:type="dxa"/>
            <w:vAlign w:val="bottom"/>
          </w:tcPr>
          <w:p>
            <w:pPr>
              <w:spacing w:after="0"/>
              <w:rPr>
                <w:sz w:val="20"/>
                <w:szCs w:val="20"/>
                <w:color w:val="auto"/>
              </w:rPr>
            </w:pPr>
          </w:p>
        </w:tc>
        <w:tc>
          <w:tcPr>
            <w:tcW w:w="546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54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54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54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8" w:lineRule="exact"/>
        <w:rPr>
          <w:sz w:val="20"/>
          <w:szCs w:val="20"/>
          <w:color w:val="auto"/>
        </w:rPr>
      </w:pPr>
    </w:p>
    <w:p>
      <w:pPr>
        <w:ind w:left="1220" w:right="3960" w:hanging="1194"/>
        <w:spacing w:after="0" w:line="271"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7" w:lineRule="exact"/>
        <w:rPr>
          <w:sz w:val="20"/>
          <w:szCs w:val="20"/>
          <w:color w:val="auto"/>
        </w:rPr>
      </w:pPr>
    </w:p>
    <w:p>
      <w:pPr>
        <w:ind w:left="660" w:hanging="652"/>
        <w:spacing w:after="0" w:line="287" w:lineRule="auto"/>
        <w:tabs>
          <w:tab w:leader="none" w:pos="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Registrant has omitted schedules and exhibits pursuant to Item 601(a)(5) of Regulation S-K. The Registrant agrees to furnish supplementally a copy of the omitted schedules and exhibits to the SEC upon request.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22" w:lineRule="exact"/>
        <w:rPr>
          <w:sz w:val="20"/>
          <w:szCs w:val="20"/>
          <w:color w:val="auto"/>
        </w:rPr>
      </w:pPr>
    </w:p>
    <w:p>
      <w:pPr>
        <w:sectPr>
          <w:pgSz w:w="11900" w:h="16838" w:orient="portrait"/>
          <w:cols w:equalWidth="0" w:num="2">
            <w:col w:w="10240" w:space="360"/>
            <w:col w:w="620"/>
          </w:cols>
          <w:pgMar w:left="320" w:top="121" w:right="359" w:bottom="1440" w:gutter="0" w:footer="0" w:header="0"/>
          <w:type w:val="continuous"/>
        </w:sectPr>
      </w:pPr>
    </w:p>
    <w:p>
      <w:pPr>
        <w:ind w:left="660" w:right="120" w:hanging="652"/>
        <w:spacing w:after="0" w:line="262" w:lineRule="auto"/>
        <w:tabs>
          <w:tab w:leader="none" w:pos="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 and are not to be incorporated by reference into any filing of Arcutis Biotherapeutics,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2"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ARCUTIS BIOTHERAPEUTICS, INC.</w:t>
      </w:r>
    </w:p>
    <w:p>
      <w:pPr>
        <w:spacing w:after="0" w:line="293"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17780</wp:posOffset>
            </wp:positionV>
            <wp:extent cx="30086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Todd Franklin Watanabe</w:t>
      </w:r>
    </w:p>
    <w:p>
      <w:pPr>
        <w:ind w:left="6460"/>
        <w:spacing w:after="0" w:line="203" w:lineRule="auto"/>
        <w:rPr>
          <w:sz w:val="20"/>
          <w:szCs w:val="20"/>
          <w:color w:val="auto"/>
        </w:rPr>
      </w:pPr>
      <w:r>
        <w:rPr>
          <w:rFonts w:ascii="Arial" w:cs="Arial" w:eastAsia="Arial" w:hAnsi="Arial"/>
          <w:sz w:val="18"/>
          <w:szCs w:val="18"/>
          <w:i w:val="1"/>
          <w:iCs w:val="1"/>
          <w:color w:val="auto"/>
        </w:rPr>
        <w:t>President, Chief Executive Officer and Director</w:t>
      </w: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17780</wp:posOffset>
            </wp:positionV>
            <wp:extent cx="3008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David Topper</w:t>
      </w:r>
    </w:p>
    <w:p>
      <w:pPr>
        <w:ind w:left="6460"/>
        <w:spacing w:after="0" w:line="203" w:lineRule="auto"/>
        <w:rPr>
          <w:sz w:val="20"/>
          <w:szCs w:val="20"/>
          <w:color w:val="auto"/>
        </w:rPr>
      </w:pPr>
      <w:r>
        <w:rPr>
          <w:rFonts w:ascii="Arial" w:cs="Arial" w:eastAsia="Arial" w:hAnsi="Arial"/>
          <w:sz w:val="18"/>
          <w:szCs w:val="18"/>
          <w:i w:val="1"/>
          <w:iCs w:val="1"/>
          <w:color w:val="auto"/>
        </w:rPr>
        <w:t>Chief Financial Officer</w:t>
      </w:r>
    </w:p>
    <w:p>
      <w:pPr>
        <w:ind w:left="64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0900"/>
          </w:cols>
          <w:pgMar w:left="320" w:top="1039" w:right="6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Franklin Watanabe, certify that:</w:t>
      </w:r>
    </w:p>
    <w:p>
      <w:pPr>
        <w:spacing w:after="0" w:line="252"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Arcutis Biotherapeutics, Inc.;</w:t>
      </w:r>
    </w:p>
    <w:p>
      <w:pPr>
        <w:spacing w:after="0" w:line="157" w:lineRule="exact"/>
        <w:rPr>
          <w:rFonts w:ascii="Times New Roman" w:cs="Times New Roman" w:eastAsia="Times New Roman" w:hAnsi="Times New Roman"/>
          <w:sz w:val="18"/>
          <w:szCs w:val="18"/>
          <w:color w:val="auto"/>
        </w:rPr>
      </w:pPr>
    </w:p>
    <w:p>
      <w:pPr>
        <w:jc w:val="both"/>
        <w:ind w:left="340" w:right="440" w:hanging="332"/>
        <w:spacing w:after="0" w:line="28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8"/>
          <w:szCs w:val="18"/>
          <w:color w:val="auto"/>
        </w:rPr>
      </w:pPr>
    </w:p>
    <w:p>
      <w:pPr>
        <w:ind w:left="340" w:right="400" w:hanging="332"/>
        <w:spacing w:after="0" w:line="297"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8"/>
          <w:szCs w:val="18"/>
          <w:color w:val="auto"/>
        </w:rPr>
      </w:pPr>
    </w:p>
    <w:p>
      <w:pPr>
        <w:ind w:left="340" w:right="20" w:hanging="332"/>
        <w:spacing w:after="0" w:line="27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300" w:right="120" w:hanging="320"/>
        <w:spacing w:after="0" w:line="274" w:lineRule="auto"/>
        <w:tabs>
          <w:tab w:leader="none" w:pos="129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300" w:right="40" w:hanging="320"/>
        <w:spacing w:after="0" w:line="274" w:lineRule="auto"/>
        <w:tabs>
          <w:tab w:leader="none" w:pos="129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74" w:lineRule="auto"/>
        <w:tabs>
          <w:tab w:leader="none" w:pos="129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300" w:right="460" w:hanging="320"/>
        <w:spacing w:after="0" w:line="297" w:lineRule="auto"/>
        <w:tabs>
          <w:tab w:leader="none" w:pos="129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left="1300" w:right="160" w:hanging="320"/>
        <w:spacing w:after="0" w:line="297" w:lineRule="auto"/>
        <w:tabs>
          <w:tab w:leader="none" w:pos="129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680"/>
        <w:spacing w:after="0"/>
        <w:tabs>
          <w:tab w:leader="none" w:pos="5020" w:val="left"/>
          <w:tab w:leader="none" w:pos="648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43180</wp:posOffset>
            </wp:positionV>
            <wp:extent cx="2743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66"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Todd Franklin Watanabe</w:t>
      </w:r>
    </w:p>
    <w:p>
      <w:pPr>
        <w:spacing w:after="0" w:line="31"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8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Topper,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Arcutis Biotherapeutics, Inc.;</w:t>
      </w:r>
    </w:p>
    <w:p>
      <w:pPr>
        <w:spacing w:after="0" w:line="157" w:lineRule="exact"/>
        <w:rPr>
          <w:rFonts w:ascii="Times New Roman" w:cs="Times New Roman" w:eastAsia="Times New Roman" w:hAnsi="Times New Roman"/>
          <w:sz w:val="18"/>
          <w:szCs w:val="18"/>
          <w:color w:val="auto"/>
        </w:rPr>
      </w:pPr>
    </w:p>
    <w:p>
      <w:pPr>
        <w:jc w:val="both"/>
        <w:ind w:left="340" w:right="440" w:hanging="332"/>
        <w:spacing w:after="0" w:line="28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8"/>
          <w:szCs w:val="18"/>
          <w:color w:val="auto"/>
        </w:rPr>
      </w:pPr>
    </w:p>
    <w:p>
      <w:pPr>
        <w:ind w:left="340" w:right="400" w:hanging="332"/>
        <w:spacing w:after="0" w:line="29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8"/>
          <w:szCs w:val="18"/>
          <w:color w:val="auto"/>
        </w:rPr>
      </w:pPr>
    </w:p>
    <w:p>
      <w:pPr>
        <w:ind w:left="340" w:right="20" w:hanging="332"/>
        <w:spacing w:after="0" w:line="274"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300" w:right="120" w:hanging="320"/>
        <w:spacing w:after="0" w:line="274" w:lineRule="auto"/>
        <w:tabs>
          <w:tab w:leader="none" w:pos="129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300" w:right="40" w:hanging="320"/>
        <w:spacing w:after="0" w:line="274" w:lineRule="auto"/>
        <w:tabs>
          <w:tab w:leader="none" w:pos="129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74" w:lineRule="auto"/>
        <w:tabs>
          <w:tab w:leader="none" w:pos="129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300" w:right="460" w:hanging="320"/>
        <w:spacing w:after="0" w:line="297" w:lineRule="auto"/>
        <w:tabs>
          <w:tab w:leader="none" w:pos="129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left="1300" w:right="160" w:hanging="320"/>
        <w:spacing w:after="0" w:line="297" w:lineRule="auto"/>
        <w:tabs>
          <w:tab w:leader="none" w:pos="129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680"/>
        <w:spacing w:after="0"/>
        <w:tabs>
          <w:tab w:leader="none" w:pos="5020" w:val="left"/>
          <w:tab w:leader="none" w:pos="68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43180</wp:posOffset>
            </wp:positionV>
            <wp:extent cx="27432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66"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David Topper</w:t>
      </w:r>
    </w:p>
    <w:p>
      <w:pPr>
        <w:spacing w:after="0" w:line="31"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ectPr>
          <w:pgSz w:w="11900" w:h="16838" w:orient="portrait"/>
          <w:cols w:equalWidth="0" w:num="1">
            <w:col w:w="11240"/>
          </w:cols>
          <w:pgMar w:left="320" w:top="1089" w:right="339" w:bottom="1440" w:gutter="0" w:footer="0" w:header="0"/>
        </w:sectPr>
      </w:pPr>
    </w:p>
    <w:bookmarkStart w:id="47" w:name="page48"/>
    <w:bookmarkEnd w:id="47"/>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Arcutis Biotherapeutics, Inc. (the “Company”) on Form 10-Q for the period ended September 30, 2024, as filed with the Securities and Exchange Commission on the date hereof (the “Report”), Todd Franklin Watanabe, Chief Executive Officer of the Company, and David Topper, Chief Financial Officer of the Company, respectively, do each hereby certify, pursuant to 18 U.S.C. Section 1350, as adopted pursuant to Section 906 of the Sarbanes-Oxley Act of 2002, that:</w:t>
      </w:r>
    </w:p>
    <w:p>
      <w:pPr>
        <w:spacing w:after="0" w:line="180"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80" w:firstLine="320"/>
        <w:spacing w:after="0" w:line="282" w:lineRule="auto"/>
        <w:tabs>
          <w:tab w:leader="none" w:pos="13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680"/>
        <w:spacing w:after="0"/>
        <w:tabs>
          <w:tab w:leader="none" w:pos="5740" w:val="left"/>
          <w:tab w:leader="none" w:pos="75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1629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66"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Todd Franklin Watanabe</w:t>
      </w:r>
    </w:p>
    <w:p>
      <w:pPr>
        <w:spacing w:after="0" w:line="3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45" w:lineRule="exact"/>
        <w:rPr>
          <w:sz w:val="20"/>
          <w:szCs w:val="20"/>
          <w:color w:val="auto"/>
        </w:rPr>
      </w:pPr>
    </w:p>
    <w:p>
      <w:pPr>
        <w:ind w:left="680"/>
        <w:spacing w:after="0"/>
        <w:tabs>
          <w:tab w:leader="none" w:pos="5740" w:val="left"/>
          <w:tab w:leader="none" w:pos="79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1629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66"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David Topper</w:t>
      </w:r>
    </w:p>
    <w:p>
      <w:pPr>
        <w:spacing w:after="0" w:line="3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7">
    <w:nsid w:val="3F2DBA3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54" Type="http://schemas.openxmlformats.org/officeDocument/2006/relationships/hyperlink" Target="https://www.sec.gov/Archives/edgar/data/1787306/000178730620000010/exhibit31postipocertif.htm" TargetMode="External"/><Relationship Id="rId55" Type="http://schemas.openxmlformats.org/officeDocument/2006/relationships/hyperlink" Target="https://www.sec.gov/Archives/edgar/data/1787306/000178730620000010/exhibit32postipobylaws.htm" TargetMode="External"/><Relationship Id="rId56" Type="http://schemas.openxmlformats.org/officeDocument/2006/relationships/hyperlink" Target="https://www.sec.gov/Archives/edgar/data/1787306/000119312520010664/d784371dex41.htm" TargetMode="External"/><Relationship Id="rId57" Type="http://schemas.openxmlformats.org/officeDocument/2006/relationships/hyperlink" Target="https://www.sec.gov/Archives/edgar/data/1787306/000119312520001990/d78437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2024-11-06T15:33:15Z</dcterms:created>
  <dcterms:modified xsi:type="dcterms:W3CDTF">2024-11-06T15:33:15Z</dcterms:modified>
</cp:coreProperties>
</file>