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80527.xml.htm"/>
      <w:bookmarkStart w:id="1" w:name="kswkform4_17859805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Watanabe Todd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ARCUTIS BIOTHERAPEUTICS,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3027 TOWNSGATE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 VILLAGE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91361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Arcutis Biotherapeutics, Inc.</w:t>
              </w:r>
            </w:hyperlink>
            <w:r>
              <w:rPr/>
              <w:t xml:space="preserve"> [ </w:t>
            </w:r>
            <w:r>
              <w:rPr>
                <w:rFonts w:ascii="Times;serif" w:hAnsi="Times;serif"/>
                <w:color w:val="0000FF"/>
                <w:sz w:val="24"/>
                <w:shd w:fill="FFFFFF" w:val="clear"/>
              </w:rPr>
              <w:t>ARQT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9"/>
        <w:gridCol w:w="914"/>
        <w:gridCol w:w="783"/>
        <w:gridCol w:w="607"/>
        <w:gridCol w:w="346"/>
        <w:gridCol w:w="833"/>
        <w:gridCol w:w="441"/>
        <w:gridCol w:w="982"/>
        <w:gridCol w:w="1179"/>
        <w:gridCol w:w="98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4,375</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26.1168</w:t>
            </w:r>
            <w:r>
              <w:rPr>
                <w:rFonts w:ascii="Times;serif" w:hAnsi="Times;serif"/>
                <w:color w:val="008000"/>
                <w:position w:val="7"/>
                <w:sz w:val="16"/>
                <w:sz w:val="20"/>
                <w:shd w:fill="FFFFFF" w:val="clear"/>
              </w:rPr>
              <w:t>(2)</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717,203</w:t>
            </w:r>
            <w:r>
              <w:rPr>
                <w:rFonts w:ascii="Times;serif" w:hAnsi="Times;serif"/>
                <w:color w:val="008000"/>
                <w:position w:val="7"/>
                <w:sz w:val="16"/>
                <w:sz w:val="20"/>
                <w:shd w:fill="FFFFFF" w:val="clear"/>
              </w:rPr>
              <w:t>(3)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25,410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25,410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(5)</w:t>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57,358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LLC</w:t>
            </w:r>
            <w:r>
              <w:rPr>
                <w:rFonts w:ascii="Times;serif" w:hAnsi="Times;serif"/>
                <w:color w:val="008000"/>
                <w:position w:val="7"/>
                <w:sz w:val="16"/>
                <w:sz w:val="20"/>
                <w:shd w:fill="FFFFFF" w:val="clear"/>
              </w:rPr>
              <w:t>(6)</w:t>
            </w:r>
          </w:p>
        </w:tc>
      </w:tr>
      <w:tr>
        <w:trPr/>
        <w:tc>
          <w:tcPr>
            <w:tcW w:w="22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124,956</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(7)</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represents shares sold by the Reporting Person to cover tax withholding obligations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sale price. The shares were sold in multiple transactions at prices ranging from $25.72 to $26.69, inclusive.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823 shares purchased under the Issuer's Employee Stock Purchase Plan on May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securities are held of record by The John Franklin Watanabe Trust, of which the Reporting Person is the trustee. The Reporting Person disclaims beneficial ownership of such securities except to the extent of his pecuniary interest therein, and the inclusion of these securities in this report shall not be deemed an admission of beneficial ownership of such securities for purposes of Section 16 or for any other purposes.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securities are held of record by The Anderson Prest Watanabe Irrevocable Trust, of which the Reporting Person is the trustee. The Reporting Person disclaims beneficial ownership of such securities except to the extent of his pecuniary interest therein, and the inclusion of these securities in this report shall not be deemed an admission of beneficial ownership of such securities for purposes of Section 16 or for any other purposes.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securities are held of record by Watanabe Ventures, LLC, of which the Reporting Person is the Chief Operating Officer. The Reporting Person disclaims beneficial ownership of such securities except to the extent of his pecuniary interest therein, and the inclusion of these securities in this report shall not be deemed an admission of beneficial ownership of such securities for purposes of Section 16 or for any other purposes.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securities are held of record by The Watanabe 2016 Irrevocable Trust, of which the Reporting Person's children are beneficiaries. The Reporting Person disclaims beneficial ownership of such securities except to the extent of his pecuniary interest therein, and the inclusion of these securities in this report shall not be deemed an admission of beneficial ownership of such securities for purposes of Section 16 or for any other purposes.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Reporting Person's title: President and Chief Executive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Latha Vairavan, as Attorney-in-Fact for Todd Franklin Watanabe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01061" TargetMode="External"/><Relationship Id="rId5" Type="http://schemas.openxmlformats.org/officeDocument/2006/relationships/hyperlink" Target="http://www.sec.gov/cgi-bin/browse-edgar?action=getcompany&amp;CIK=00017873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1004</Words>
  <Characters>5407</Characters>
  <CharactersWithSpaces>6319</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