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8"/>
          <w:szCs w:val="28"/>
          <w:b w:val="1"/>
          <w:bCs w:val="1"/>
          <w:color w:val="auto"/>
        </w:rPr>
        <w:t>UNITED STATES</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19"/>
        <w:spacing w:after="0"/>
        <w:rPr>
          <w:sz w:val="20"/>
          <w:szCs w:val="20"/>
          <w:color w:val="auto"/>
        </w:rPr>
      </w:pPr>
      <w:r>
        <w:rPr>
          <w:rFonts w:ascii="Arial" w:cs="Arial" w:eastAsia="Arial" w:hAnsi="Arial"/>
          <w:sz w:val="21"/>
          <w:szCs w:val="21"/>
          <w:color w:val="auto"/>
        </w:rPr>
        <w:t>Washington, D.C. 20549</w:t>
      </w:r>
    </w:p>
    <w:p>
      <w:pPr>
        <w:spacing w:after="0" w:line="13" w:lineRule="exact"/>
        <w:rPr>
          <w:sz w:val="24"/>
          <w:szCs w:val="24"/>
          <w:color w:val="auto"/>
        </w:rPr>
      </w:pPr>
    </w:p>
    <w:p>
      <w:pPr>
        <w:ind w:left="4920"/>
        <w:spacing w:after="0"/>
        <w:rPr>
          <w:sz w:val="20"/>
          <w:szCs w:val="20"/>
          <w:color w:val="auto"/>
        </w:rPr>
      </w:pPr>
      <w:r>
        <w:rPr>
          <w:rFonts w:ascii="Arial" w:cs="Arial" w:eastAsia="Arial" w:hAnsi="Arial"/>
          <w:sz w:val="29"/>
          <w:szCs w:val="29"/>
          <w:b w:val="1"/>
          <w:bCs w:val="1"/>
          <w:color w:val="auto"/>
        </w:rPr>
        <w:t>Form10-Q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2376805</wp:posOffset>
            </wp:positionH>
            <wp:positionV relativeFrom="paragraph">
              <wp:posOffset>19685</wp:posOffset>
            </wp:positionV>
            <wp:extent cx="23806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0615" cy="8255"/>
                    </a:xfrm>
                    <a:prstGeom prst="rect">
                      <a:avLst/>
                    </a:prstGeom>
                    <a:noFill/>
                  </pic:spPr>
                </pic:pic>
              </a:graphicData>
            </a:graphic>
          </wp:anchor>
        </w:drawing>
        <w:drawing>
          <wp:anchor simplePos="0" relativeHeight="251657728" behindDoc="1" locked="0" layoutInCell="0" allowOverlap="1">
            <wp:simplePos x="0" y="0"/>
            <wp:positionH relativeFrom="column">
              <wp:posOffset>2376805</wp:posOffset>
            </wp:positionH>
            <wp:positionV relativeFrom="paragraph">
              <wp:posOffset>-200660</wp:posOffset>
            </wp:positionV>
            <wp:extent cx="23806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0615" cy="8255"/>
                    </a:xfrm>
                    <a:prstGeom prst="rect">
                      <a:avLst/>
                    </a:prstGeom>
                    <a:noFill/>
                  </pic:spPr>
                </pic:pic>
              </a:graphicData>
            </a:graphic>
          </wp:anchor>
        </w:drawing>
      </w:r>
    </w:p>
    <w:p>
      <w:pPr>
        <w:spacing w:after="0" w:line="198" w:lineRule="exact"/>
        <w:rPr>
          <w:sz w:val="24"/>
          <w:szCs w:val="24"/>
          <w:color w:val="auto"/>
        </w:rPr>
      </w:pPr>
    </w:p>
    <w:p>
      <w:pPr>
        <w:ind w:left="4800"/>
        <w:spacing w:after="0"/>
        <w:rPr>
          <w:sz w:val="20"/>
          <w:szCs w:val="20"/>
          <w:color w:val="auto"/>
        </w:rPr>
      </w:pPr>
      <w:r>
        <w:rPr>
          <w:rFonts w:ascii="Arial" w:cs="Arial" w:eastAsia="Arial" w:hAnsi="Arial"/>
          <w:sz w:val="16"/>
          <w:szCs w:val="16"/>
          <w:b w:val="1"/>
          <w:bCs w:val="1"/>
          <w:color w:val="auto"/>
        </w:rPr>
        <w:t>(Mark One)</w:t>
      </w:r>
    </w:p>
    <w:p>
      <w:pPr>
        <w:spacing w:after="0" w:line="12" w:lineRule="exact"/>
        <w:rPr>
          <w:sz w:val="24"/>
          <w:szCs w:val="24"/>
          <w:color w:val="auto"/>
        </w:rPr>
      </w:pPr>
    </w:p>
    <w:p>
      <w:pPr>
        <w:ind w:left="1020" w:hanging="192"/>
        <w:spacing w:after="0"/>
        <w:tabs>
          <w:tab w:leader="none" w:pos="10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June 30, 2021</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15" w:lineRule="exact"/>
        <w:rPr>
          <w:sz w:val="24"/>
          <w:szCs w:val="24"/>
          <w:color w:val="auto"/>
        </w:rPr>
      </w:pPr>
    </w:p>
    <w:p>
      <w:pPr>
        <w:ind w:left="1020" w:hanging="205"/>
        <w:spacing w:after="0"/>
        <w:tabs>
          <w:tab w:leader="none" w:pos="10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6" w:lineRule="exact"/>
        <w:rPr>
          <w:rFonts w:ascii="MS PGothic" w:cs="MS PGothic" w:eastAsia="MS PGothic" w:hAnsi="MS PGothic"/>
          <w:sz w:val="18"/>
          <w:szCs w:val="18"/>
          <w:color w:val="auto"/>
          <w:highlight w:val="black"/>
        </w:rPr>
      </w:pPr>
    </w:p>
    <w:p>
      <w:pPr>
        <w:ind w:left="4620"/>
        <w:spacing w:after="0"/>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For transition period from to</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001-39186</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ARCUTIS BIOTHERAPEUTICS,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2376805</wp:posOffset>
            </wp:positionH>
            <wp:positionV relativeFrom="paragraph">
              <wp:posOffset>-207645</wp:posOffset>
            </wp:positionV>
            <wp:extent cx="2380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0615" cy="8255"/>
                    </a:xfrm>
                    <a:prstGeom prst="rect">
                      <a:avLst/>
                    </a:prstGeom>
                    <a:noFill/>
                  </pic:spPr>
                </pic:pic>
              </a:graphicData>
            </a:graphic>
          </wp:anchor>
        </w:drawing>
      </w:r>
    </w:p>
    <w:tbl>
      <w:tblPr>
        <w:tblLayout w:type="fixed"/>
        <w:tblInd w:w="680" w:type="dxa"/>
        <w:tblCellMar>
          <w:top w:w="0" w:type="dxa"/>
          <w:left w:w="0" w:type="dxa"/>
          <w:bottom w:w="0" w:type="dxa"/>
          <w:right w:w="0" w:type="dxa"/>
        </w:tblCellMar>
      </w:tblPr>
      <w:tr>
        <w:trPr>
          <w:trHeight w:val="210"/>
        </w:trPr>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340" w:type="dxa"/>
            <w:vAlign w:val="bottom"/>
            <w:gridSpan w:val="5"/>
          </w:tcPr>
          <w:p>
            <w:pPr>
              <w:ind w:left="20"/>
              <w:spacing w:after="0"/>
              <w:rPr>
                <w:sz w:val="20"/>
                <w:szCs w:val="20"/>
                <w:color w:val="auto"/>
              </w:rPr>
            </w:pPr>
            <w:r>
              <w:rPr>
                <w:rFonts w:ascii="Arial" w:cs="Arial" w:eastAsia="Arial" w:hAnsi="Arial"/>
                <w:sz w:val="16"/>
                <w:szCs w:val="16"/>
                <w:b w:val="1"/>
                <w:bCs w:val="1"/>
                <w:color w:val="auto"/>
              </w:rPr>
              <w:t>(Exact name of registrant as specified in its charter)</w:t>
            </w:r>
          </w:p>
        </w:tc>
      </w:tr>
      <w:tr>
        <w:trPr>
          <w:trHeight w:val="302"/>
        </w:trPr>
        <w:tc>
          <w:tcPr>
            <w:tcW w:w="1040" w:type="dxa"/>
            <w:vAlign w:val="bottom"/>
          </w:tcPr>
          <w:p>
            <w:pPr>
              <w:spacing w:after="0"/>
              <w:rPr>
                <w:sz w:val="24"/>
                <w:szCs w:val="24"/>
                <w:color w:val="auto"/>
              </w:rPr>
            </w:pPr>
          </w:p>
        </w:tc>
        <w:tc>
          <w:tcPr>
            <w:tcW w:w="2020" w:type="dxa"/>
            <w:vAlign w:val="bottom"/>
            <w:gridSpan w:val="2"/>
          </w:tcPr>
          <w:p>
            <w:pPr>
              <w:jc w:val="center"/>
              <w:ind w:left="82"/>
              <w:spacing w:after="0"/>
              <w:rPr>
                <w:sz w:val="20"/>
                <w:szCs w:val="20"/>
                <w:color w:val="auto"/>
              </w:rPr>
            </w:pPr>
            <w:r>
              <w:rPr>
                <w:rFonts w:ascii="Arial" w:cs="Arial" w:eastAsia="Arial" w:hAnsi="Arial"/>
                <w:sz w:val="16"/>
                <w:szCs w:val="16"/>
                <w:b w:val="1"/>
                <w:bCs w:val="1"/>
                <w:color w:val="auto"/>
                <w:w w:val="93"/>
              </w:rPr>
              <w:t>Delaware</w:t>
            </w:r>
          </w:p>
        </w:tc>
        <w:tc>
          <w:tcPr>
            <w:tcW w:w="12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660" w:type="dxa"/>
            <w:vAlign w:val="bottom"/>
          </w:tcPr>
          <w:p>
            <w:pPr>
              <w:jc w:val="right"/>
              <w:ind w:right="1421"/>
              <w:spacing w:after="0"/>
              <w:rPr>
                <w:sz w:val="20"/>
                <w:szCs w:val="20"/>
                <w:color w:val="auto"/>
              </w:rPr>
            </w:pPr>
            <w:r>
              <w:rPr>
                <w:rFonts w:ascii="Arial" w:cs="Arial" w:eastAsia="Arial" w:hAnsi="Arial"/>
                <w:sz w:val="16"/>
                <w:szCs w:val="16"/>
                <w:b w:val="1"/>
                <w:bCs w:val="1"/>
                <w:color w:val="auto"/>
              </w:rPr>
              <w:t>81-2974255</w:t>
            </w:r>
          </w:p>
        </w:tc>
      </w:tr>
      <w:tr>
        <w:trPr>
          <w:trHeight w:val="209"/>
        </w:trPr>
        <w:tc>
          <w:tcPr>
            <w:tcW w:w="43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(State or Other Jurisdiction of Incorporation or Organization)</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0" w:type="dxa"/>
            <w:vAlign w:val="bottom"/>
            <w:gridSpan w:val="3"/>
          </w:tcPr>
          <w:p>
            <w:pPr>
              <w:ind w:left="1000"/>
              <w:spacing w:after="0"/>
              <w:rPr>
                <w:sz w:val="20"/>
                <w:szCs w:val="20"/>
                <w:color w:val="auto"/>
              </w:rPr>
            </w:pPr>
            <w:r>
              <w:rPr>
                <w:rFonts w:ascii="Arial" w:cs="Arial" w:eastAsia="Arial" w:hAnsi="Arial"/>
                <w:sz w:val="16"/>
                <w:szCs w:val="16"/>
                <w:b w:val="1"/>
                <w:bCs w:val="1"/>
                <w:color w:val="auto"/>
              </w:rPr>
              <w:t>(I.R.S. Employer Identification Number)</w:t>
            </w:r>
          </w:p>
        </w:tc>
      </w:tr>
      <w:tr>
        <w:trPr>
          <w:trHeight w:val="179"/>
        </w:trPr>
        <w:tc>
          <w:tcPr>
            <w:tcW w:w="1040" w:type="dxa"/>
            <w:vAlign w:val="bottom"/>
          </w:tcPr>
          <w:p>
            <w:pPr>
              <w:spacing w:after="0"/>
              <w:rPr>
                <w:sz w:val="15"/>
                <w:szCs w:val="15"/>
                <w:color w:val="auto"/>
              </w:rPr>
            </w:pPr>
          </w:p>
        </w:tc>
        <w:tc>
          <w:tcPr>
            <w:tcW w:w="3260" w:type="dxa"/>
            <w:vAlign w:val="bottom"/>
            <w:gridSpan w:val="3"/>
          </w:tcPr>
          <w:p>
            <w:pPr>
              <w:jc w:val="center"/>
              <w:ind w:right="980"/>
              <w:spacing w:after="0" w:line="179" w:lineRule="exact"/>
              <w:rPr>
                <w:sz w:val="20"/>
                <w:szCs w:val="20"/>
                <w:color w:val="auto"/>
              </w:rPr>
            </w:pPr>
            <w:r>
              <w:rPr>
                <w:rFonts w:ascii="Arial" w:cs="Arial" w:eastAsia="Arial" w:hAnsi="Arial"/>
                <w:sz w:val="16"/>
                <w:szCs w:val="16"/>
                <w:b w:val="1"/>
                <w:bCs w:val="1"/>
                <w:color w:val="auto"/>
                <w:w w:val="88"/>
              </w:rPr>
              <w:t>3027 Townsgate Road Suite 300</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60" w:type="dxa"/>
            <w:vAlign w:val="bottom"/>
          </w:tcPr>
          <w:p>
            <w:pPr>
              <w:jc w:val="right"/>
              <w:ind w:right="1601"/>
              <w:spacing w:after="0" w:line="179" w:lineRule="exact"/>
              <w:rPr>
                <w:sz w:val="20"/>
                <w:szCs w:val="20"/>
                <w:color w:val="auto"/>
              </w:rPr>
            </w:pPr>
            <w:r>
              <w:rPr>
                <w:rFonts w:ascii="Arial" w:cs="Arial" w:eastAsia="Arial" w:hAnsi="Arial"/>
                <w:sz w:val="16"/>
                <w:szCs w:val="16"/>
                <w:b w:val="1"/>
                <w:bCs w:val="1"/>
                <w:color w:val="auto"/>
              </w:rPr>
              <w:t>91361</w:t>
            </w:r>
          </w:p>
        </w:tc>
      </w:tr>
      <w:tr>
        <w:trPr>
          <w:trHeight w:val="187"/>
        </w:trPr>
        <w:tc>
          <w:tcPr>
            <w:tcW w:w="1040" w:type="dxa"/>
            <w:vAlign w:val="bottom"/>
          </w:tcPr>
          <w:p>
            <w:pPr>
              <w:spacing w:after="0"/>
              <w:rPr>
                <w:sz w:val="16"/>
                <w:szCs w:val="16"/>
                <w:color w:val="auto"/>
              </w:rPr>
            </w:pPr>
          </w:p>
        </w:tc>
        <w:tc>
          <w:tcPr>
            <w:tcW w:w="3260" w:type="dxa"/>
            <w:vAlign w:val="bottom"/>
            <w:gridSpan w:val="3"/>
          </w:tcPr>
          <w:p>
            <w:pPr>
              <w:jc w:val="center"/>
              <w:ind w:right="1000"/>
              <w:spacing w:after="0"/>
              <w:rPr>
                <w:sz w:val="20"/>
                <w:szCs w:val="20"/>
                <w:color w:val="auto"/>
              </w:rPr>
            </w:pPr>
            <w:r>
              <w:rPr>
                <w:rFonts w:ascii="Arial" w:cs="Arial" w:eastAsia="Arial" w:hAnsi="Arial"/>
                <w:sz w:val="16"/>
                <w:szCs w:val="16"/>
                <w:b w:val="1"/>
                <w:bCs w:val="1"/>
                <w:color w:val="auto"/>
                <w:w w:val="93"/>
              </w:rPr>
              <w:t>Westlake Village, California</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tcPr>
          <w:p>
            <w:pPr>
              <w:ind w:left="400"/>
              <w:spacing w:after="0"/>
              <w:rPr>
                <w:sz w:val="20"/>
                <w:szCs w:val="20"/>
                <w:color w:val="auto"/>
              </w:rPr>
            </w:pPr>
            <w:r>
              <w:rPr>
                <w:rFonts w:ascii="Arial" w:cs="Arial" w:eastAsia="Arial" w:hAnsi="Arial"/>
                <w:sz w:val="16"/>
                <w:szCs w:val="16"/>
                <w:b w:val="1"/>
                <w:bCs w:val="1"/>
                <w:color w:val="auto"/>
              </w:rPr>
              <w:t>(Zip Code)</w:t>
            </w:r>
          </w:p>
        </w:tc>
      </w:tr>
      <w:tr>
        <w:trPr>
          <w:trHeight w:val="209"/>
        </w:trPr>
        <w:tc>
          <w:tcPr>
            <w:tcW w:w="43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(Address of Principal Executive Offices)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59"/>
        </w:trPr>
        <w:tc>
          <w:tcPr>
            <w:tcW w:w="10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520" w:type="dxa"/>
            <w:vAlign w:val="bottom"/>
            <w:gridSpan w:val="3"/>
          </w:tcPr>
          <w:p>
            <w:pPr>
              <w:jc w:val="center"/>
              <w:ind w:right="1160"/>
              <w:spacing w:after="0"/>
              <w:rPr>
                <w:sz w:val="20"/>
                <w:szCs w:val="20"/>
                <w:color w:val="auto"/>
              </w:rPr>
            </w:pPr>
            <w:r>
              <w:rPr>
                <w:rFonts w:ascii="Arial" w:cs="Arial" w:eastAsia="Arial" w:hAnsi="Arial"/>
                <w:sz w:val="16"/>
                <w:szCs w:val="16"/>
                <w:b w:val="1"/>
                <w:bCs w:val="1"/>
                <w:color w:val="auto"/>
                <w:w w:val="91"/>
              </w:rPr>
              <w:t>(805) 418-5006</w:t>
            </w:r>
          </w:p>
        </w:tc>
        <w:tc>
          <w:tcPr>
            <w:tcW w:w="160" w:type="dxa"/>
            <w:vAlign w:val="bottom"/>
          </w:tcPr>
          <w:p>
            <w:pPr>
              <w:spacing w:after="0"/>
              <w:rPr>
                <w:sz w:val="22"/>
                <w:szCs w:val="22"/>
                <w:color w:val="auto"/>
              </w:rPr>
            </w:pPr>
          </w:p>
        </w:tc>
        <w:tc>
          <w:tcPr>
            <w:tcW w:w="2660" w:type="dxa"/>
            <w:vAlign w:val="bottom"/>
          </w:tcPr>
          <w:p>
            <w:pPr>
              <w:spacing w:after="0"/>
              <w:rPr>
                <w:sz w:val="22"/>
                <w:szCs w:val="22"/>
                <w:color w:val="auto"/>
              </w:rPr>
            </w:pPr>
          </w:p>
        </w:tc>
      </w:tr>
      <w:tr>
        <w:trPr>
          <w:trHeight w:val="209"/>
        </w:trPr>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92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89"/>
              </w:rPr>
              <w:t>(Registrant's telephone number, including area code)</w:t>
            </w:r>
          </w:p>
        </w:tc>
        <w:tc>
          <w:tcPr>
            <w:tcW w:w="2660" w:type="dxa"/>
            <w:vAlign w:val="bottom"/>
          </w:tcPr>
          <w:p>
            <w:pPr>
              <w:spacing w:after="0"/>
              <w:rPr>
                <w:sz w:val="18"/>
                <w:szCs w:val="18"/>
                <w:color w:val="auto"/>
              </w:rPr>
            </w:pPr>
          </w:p>
        </w:tc>
      </w:tr>
      <w:tr>
        <w:trPr>
          <w:trHeight w:val="380"/>
        </w:trPr>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80" w:type="dxa"/>
            <w:vAlign w:val="bottom"/>
            <w:gridSpan w:val="4"/>
          </w:tcPr>
          <w:p>
            <w:pPr>
              <w:jc w:val="center"/>
              <w:ind w:right="1400"/>
              <w:spacing w:after="0"/>
              <w:rPr>
                <w:sz w:val="20"/>
                <w:szCs w:val="20"/>
                <w:color w:val="auto"/>
              </w:rPr>
            </w:pPr>
            <w:r>
              <w:rPr>
                <w:rFonts w:ascii="Arial" w:cs="Arial" w:eastAsia="Arial" w:hAnsi="Arial"/>
                <w:sz w:val="16"/>
                <w:szCs w:val="16"/>
                <w:b w:val="1"/>
                <w:bCs w:val="1"/>
                <w:color w:val="auto"/>
                <w:w w:val="92"/>
              </w:rPr>
              <w:t>Not Applicable</w:t>
            </w:r>
          </w:p>
        </w:tc>
        <w:tc>
          <w:tcPr>
            <w:tcW w:w="2660" w:type="dxa"/>
            <w:vAlign w:val="bottom"/>
          </w:tcPr>
          <w:p>
            <w:pPr>
              <w:spacing w:after="0"/>
              <w:rPr>
                <w:sz w:val="24"/>
                <w:szCs w:val="24"/>
                <w:color w:val="auto"/>
              </w:rPr>
            </w:pPr>
          </w:p>
        </w:tc>
      </w:tr>
      <w:tr>
        <w:trPr>
          <w:trHeight w:val="209"/>
        </w:trPr>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520" w:type="dxa"/>
            <w:vAlign w:val="bottom"/>
            <w:gridSpan w:val="7"/>
          </w:tcPr>
          <w:p>
            <w:pPr>
              <w:ind w:left="320"/>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tc>
      </w:tr>
      <w:tr>
        <w:trPr>
          <w:trHeight w:val="415"/>
        </w:trPr>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60" w:type="dxa"/>
            <w:vAlign w:val="bottom"/>
            <w:gridSpan w:val="6"/>
          </w:tcPr>
          <w:p>
            <w:pPr>
              <w:jc w:val="center"/>
              <w:ind w:left="700"/>
              <w:spacing w:after="0"/>
              <w:rPr>
                <w:sz w:val="20"/>
                <w:szCs w:val="20"/>
                <w:color w:val="auto"/>
              </w:rPr>
            </w:pPr>
            <w:r>
              <w:rPr>
                <w:rFonts w:ascii="Arial" w:cs="Arial" w:eastAsia="Arial" w:hAnsi="Arial"/>
                <w:sz w:val="16"/>
                <w:szCs w:val="16"/>
                <w:b w:val="1"/>
                <w:bCs w:val="1"/>
                <w:color w:val="auto"/>
                <w:w w:val="89"/>
              </w:rPr>
              <w:t>Securities registered pursuant to Section 12(b) of the Act:</w:t>
            </w:r>
          </w:p>
        </w:tc>
        <w:tc>
          <w:tcPr>
            <w:tcW w:w="2660" w:type="dxa"/>
            <w:vAlign w:val="bottom"/>
          </w:tcPr>
          <w:p>
            <w:pPr>
              <w:spacing w:after="0"/>
              <w:rPr>
                <w:sz w:val="24"/>
                <w:szCs w:val="24"/>
                <w:color w:val="auto"/>
              </w:rPr>
            </w:pPr>
          </w:p>
        </w:tc>
      </w:tr>
      <w:tr>
        <w:trPr>
          <w:trHeight w:val="166"/>
        </w:trPr>
        <w:tc>
          <w:tcPr>
            <w:tcW w:w="104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18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w:t>
            </w:r>
          </w:p>
        </w:tc>
        <w:tc>
          <w:tcPr>
            <w:tcW w:w="1540" w:type="dxa"/>
            <w:vAlign w:val="bottom"/>
            <w:gridSpan w:val="2"/>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46"/>
        </w:trPr>
        <w:tc>
          <w:tcPr>
            <w:tcW w:w="4300" w:type="dxa"/>
            <w:vAlign w:val="bottom"/>
            <w:gridSpan w:val="4"/>
          </w:tcPr>
          <w:p>
            <w:pPr>
              <w:jc w:val="center"/>
              <w:ind w:right="1060"/>
              <w:spacing w:after="0"/>
              <w:rPr>
                <w:sz w:val="20"/>
                <w:szCs w:val="20"/>
                <w:color w:val="auto"/>
              </w:rPr>
            </w:pPr>
            <w:r>
              <w:rPr>
                <w:rFonts w:ascii="Arial" w:cs="Arial" w:eastAsia="Arial" w:hAnsi="Arial"/>
                <w:sz w:val="16"/>
                <w:szCs w:val="16"/>
                <w:b w:val="1"/>
                <w:bCs w:val="1"/>
                <w:color w:val="auto"/>
                <w:w w:val="91"/>
              </w:rPr>
              <w:t>Common Stock, par value $0.0001</w:t>
            </w:r>
          </w:p>
        </w:tc>
        <w:tc>
          <w:tcPr>
            <w:tcW w:w="160" w:type="dxa"/>
            <w:vAlign w:val="bottom"/>
          </w:tcPr>
          <w:p>
            <w:pPr>
              <w:spacing w:after="0"/>
              <w:rPr>
                <w:sz w:val="21"/>
                <w:szCs w:val="21"/>
                <w:color w:val="auto"/>
              </w:rPr>
            </w:pPr>
          </w:p>
        </w:tc>
        <w:tc>
          <w:tcPr>
            <w:tcW w:w="2520" w:type="dxa"/>
            <w:vAlign w:val="bottom"/>
            <w:gridSpan w:val="3"/>
          </w:tcPr>
          <w:p>
            <w:pPr>
              <w:jc w:val="center"/>
              <w:ind w:right="1560"/>
              <w:spacing w:after="0"/>
              <w:rPr>
                <w:sz w:val="20"/>
                <w:szCs w:val="20"/>
                <w:color w:val="auto"/>
              </w:rPr>
            </w:pPr>
            <w:r>
              <w:rPr>
                <w:rFonts w:ascii="Arial" w:cs="Arial" w:eastAsia="Arial" w:hAnsi="Arial"/>
                <w:sz w:val="18"/>
                <w:szCs w:val="18"/>
                <w:b w:val="1"/>
                <w:bCs w:val="1"/>
                <w:color w:val="auto"/>
              </w:rPr>
              <w:t>ARQT</w:t>
            </w:r>
          </w:p>
        </w:tc>
        <w:tc>
          <w:tcPr>
            <w:tcW w:w="2660" w:type="dxa"/>
            <w:vAlign w:val="bottom"/>
          </w:tcPr>
          <w:p>
            <w:pPr>
              <w:jc w:val="center"/>
              <w:spacing w:after="0"/>
              <w:rPr>
                <w:sz w:val="20"/>
                <w:szCs w:val="20"/>
                <w:color w:val="auto"/>
              </w:rPr>
            </w:pPr>
            <w:r>
              <w:rPr>
                <w:rFonts w:ascii="Arial" w:cs="Arial" w:eastAsia="Arial" w:hAnsi="Arial"/>
                <w:sz w:val="16"/>
                <w:szCs w:val="16"/>
                <w:b w:val="1"/>
                <w:bCs w:val="1"/>
                <w:color w:val="auto"/>
                <w:w w:val="92"/>
              </w:rPr>
              <w:t>The Nasdaq Global Select Market</w:t>
            </w:r>
          </w:p>
        </w:tc>
      </w:tr>
    </w:tbl>
    <w:p>
      <w:pPr>
        <w:spacing w:after="0" w:line="313" w:lineRule="exact"/>
        <w:rPr>
          <w:sz w:val="24"/>
          <w:szCs w:val="24"/>
          <w:color w:val="auto"/>
        </w:rPr>
      </w:pPr>
    </w:p>
    <w:p>
      <w:pPr>
        <w:jc w:val="both"/>
        <w:spacing w:after="0" w:line="17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4"/>
          <w:szCs w:val="14"/>
          <w:color w:val="auto"/>
        </w:rPr>
        <w:t xml:space="preserve"> No</w:t>
      </w: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10" w:lineRule="exact"/>
        <w:rPr>
          <w:sz w:val="24"/>
          <w:szCs w:val="24"/>
          <w:color w:val="auto"/>
        </w:rPr>
      </w:pPr>
    </w:p>
    <w:p>
      <w:pPr>
        <w:ind w:right="440"/>
        <w:spacing w:after="0" w:line="202"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53" w:lineRule="exact"/>
        <w:rPr>
          <w:sz w:val="24"/>
          <w:szCs w:val="24"/>
          <w:color w:val="auto"/>
        </w:rPr>
      </w:pPr>
    </w:p>
    <w:p>
      <w:pPr>
        <w:jc w:val="both"/>
        <w:spacing w:after="0" w:line="22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8" w:lineRule="exact"/>
        <w:rPr>
          <w:sz w:val="24"/>
          <w:szCs w:val="24"/>
          <w:color w:val="auto"/>
        </w:rPr>
      </w:pPr>
    </w:p>
    <w:tbl>
      <w:tblPr>
        <w:tblLayout w:type="fixed"/>
        <w:tblInd w:w="20" w:type="dxa"/>
        <w:tblCellMar>
          <w:top w:w="0" w:type="dxa"/>
          <w:left w:w="0" w:type="dxa"/>
          <w:bottom w:w="0" w:type="dxa"/>
          <w:right w:w="0" w:type="dxa"/>
        </w:tblCellMar>
      </w:tblPr>
      <w:tr>
        <w:trPr>
          <w:trHeight w:val="214"/>
        </w:trPr>
        <w:tc>
          <w:tcPr>
            <w:tcW w:w="25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740" w:type="dxa"/>
            <w:vAlign w:val="bottom"/>
          </w:tcPr>
          <w:p>
            <w:pPr>
              <w:ind w:left="1140"/>
              <w:spacing w:after="0" w:line="161" w:lineRule="exact"/>
              <w:rPr>
                <w:sz w:val="20"/>
                <w:szCs w:val="20"/>
                <w:color w:val="auto"/>
              </w:rPr>
            </w:pPr>
            <w:r>
              <w:rPr>
                <w:rFonts w:ascii="MS PGothic" w:cs="MS PGothic" w:eastAsia="MS PGothic" w:hAnsi="MS PGothic"/>
                <w:sz w:val="16"/>
                <w:szCs w:val="16"/>
                <w:color w:val="auto"/>
              </w:rPr>
              <w:t>☐</w:t>
            </w:r>
          </w:p>
        </w:tc>
        <w:tc>
          <w:tcPr>
            <w:tcW w:w="3780" w:type="dxa"/>
            <w:vAlign w:val="bottom"/>
          </w:tcPr>
          <w:p>
            <w:pPr>
              <w:ind w:left="1460"/>
              <w:spacing w:after="0"/>
              <w:rPr>
                <w:sz w:val="20"/>
                <w:szCs w:val="20"/>
                <w:color w:val="auto"/>
              </w:rPr>
            </w:pPr>
            <w:r>
              <w:rPr>
                <w:rFonts w:ascii="Arial" w:cs="Arial" w:eastAsia="Arial" w:hAnsi="Arial"/>
                <w:sz w:val="16"/>
                <w:szCs w:val="16"/>
                <w:color w:val="auto"/>
              </w:rPr>
              <w:t>Accelerated filer</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4"/>
        </w:trPr>
        <w:tc>
          <w:tcPr>
            <w:tcW w:w="2580" w:type="dxa"/>
            <w:vAlign w:val="bottom"/>
          </w:tcPr>
          <w:p>
            <w:pPr>
              <w:spacing w:after="0"/>
              <w:rPr>
                <w:sz w:val="20"/>
                <w:szCs w:val="20"/>
                <w:color w:val="auto"/>
              </w:rPr>
            </w:pPr>
            <w:r>
              <w:rPr>
                <w:rFonts w:ascii="Arial" w:cs="Arial" w:eastAsia="Arial" w:hAnsi="Arial"/>
                <w:sz w:val="16"/>
                <w:szCs w:val="16"/>
                <w:color w:val="auto"/>
              </w:rPr>
              <w:t>Non-accelerated filer</w:t>
            </w:r>
          </w:p>
        </w:tc>
        <w:tc>
          <w:tcPr>
            <w:tcW w:w="2740" w:type="dxa"/>
            <w:vAlign w:val="bottom"/>
          </w:tcPr>
          <w:p>
            <w:pPr>
              <w:ind w:left="1140"/>
              <w:spacing w:after="0" w:line="161" w:lineRule="exact"/>
              <w:rPr>
                <w:sz w:val="20"/>
                <w:szCs w:val="20"/>
                <w:color w:val="auto"/>
              </w:rPr>
            </w:pPr>
            <w:r>
              <w:rPr>
                <w:rFonts w:ascii="MS PGothic" w:cs="MS PGothic" w:eastAsia="MS PGothic" w:hAnsi="MS PGothic"/>
                <w:sz w:val="16"/>
                <w:szCs w:val="16"/>
                <w:color w:val="auto"/>
              </w:rPr>
              <w:t>☐</w:t>
            </w:r>
          </w:p>
        </w:tc>
        <w:tc>
          <w:tcPr>
            <w:tcW w:w="3780" w:type="dxa"/>
            <w:vAlign w:val="bottom"/>
          </w:tcPr>
          <w:p>
            <w:pPr>
              <w:ind w:left="1460"/>
              <w:spacing w:after="0"/>
              <w:rPr>
                <w:sz w:val="20"/>
                <w:szCs w:val="20"/>
                <w:color w:val="auto"/>
              </w:rPr>
            </w:pPr>
            <w:r>
              <w:rPr>
                <w:rFonts w:ascii="Arial" w:cs="Arial" w:eastAsia="Arial" w:hAnsi="Arial"/>
                <w:sz w:val="16"/>
                <w:szCs w:val="16"/>
                <w:color w:val="auto"/>
              </w:rPr>
              <w:t>Smaller reporting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3"/>
        </w:trPr>
        <w:tc>
          <w:tcPr>
            <w:tcW w:w="258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3780" w:type="dxa"/>
            <w:vAlign w:val="bottom"/>
          </w:tcPr>
          <w:p>
            <w:pPr>
              <w:ind w:left="1460"/>
              <w:spacing w:after="0"/>
              <w:rPr>
                <w:sz w:val="20"/>
                <w:szCs w:val="20"/>
                <w:color w:val="auto"/>
              </w:rPr>
            </w:pPr>
            <w:r>
              <w:rPr>
                <w:rFonts w:ascii="Arial" w:cs="Arial" w:eastAsia="Arial" w:hAnsi="Arial"/>
                <w:sz w:val="16"/>
                <w:szCs w:val="16"/>
                <w:color w:val="auto"/>
              </w:rPr>
              <w:t>Emerging growth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52" w:lineRule="exact"/>
        <w:rPr>
          <w:sz w:val="24"/>
          <w:szCs w:val="24"/>
          <w:color w:val="auto"/>
        </w:rPr>
      </w:pPr>
    </w:p>
    <w:p>
      <w:pPr>
        <w:spacing w:after="0" w:line="20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8" w:lineRule="exact"/>
        <w:rPr>
          <w:sz w:val="24"/>
          <w:szCs w:val="24"/>
          <w:color w:val="auto"/>
        </w:rPr>
      </w:pPr>
    </w:p>
    <w:p>
      <w:pPr>
        <w:ind w:right="3020"/>
        <w:spacing w:after="0" w:line="269"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r>
        <w:rPr>
          <w:rFonts w:ascii="Arial" w:cs="Arial" w:eastAsia="Arial" w:hAnsi="Arial"/>
          <w:sz w:val="15"/>
          <w:szCs w:val="15"/>
          <w:color w:val="auto"/>
        </w:rPr>
        <w:t xml:space="preserve"> The number of shares of the registrant’s Common Stock outstanding as of July 30, 2021 was 50,241,789.</w:t>
      </w:r>
    </w:p>
    <w:p>
      <w:pPr>
        <w:spacing w:after="0" w:line="29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70" w:lineRule="exact"/>
        <w:rPr>
          <w:sz w:val="20"/>
          <w:szCs w:val="20"/>
          <w:color w:val="auto"/>
        </w:rPr>
      </w:pPr>
    </w:p>
    <w:p>
      <w:pPr>
        <w:ind w:right="160" w:firstLine="643"/>
        <w:spacing w:after="0" w:line="249" w:lineRule="auto"/>
        <w:rPr>
          <w:sz w:val="20"/>
          <w:szCs w:val="20"/>
          <w:color w:val="auto"/>
        </w:rPr>
      </w:pPr>
      <w:r>
        <w:rPr>
          <w:rFonts w:ascii="Arial" w:cs="Arial" w:eastAsia="Arial" w:hAnsi="Arial"/>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stock compensation, business strategy, plans, market growth, and our objectives for future operations.</w:t>
      </w:r>
    </w:p>
    <w:p>
      <w:pPr>
        <w:spacing w:after="0" w:line="236" w:lineRule="exact"/>
        <w:rPr>
          <w:sz w:val="20"/>
          <w:szCs w:val="20"/>
          <w:color w:val="auto"/>
        </w:rPr>
      </w:pPr>
    </w:p>
    <w:p>
      <w:pPr>
        <w:ind w:right="160" w:firstLine="643"/>
        <w:spacing w:after="0" w:line="265" w:lineRule="auto"/>
        <w:rPr>
          <w:sz w:val="20"/>
          <w:szCs w:val="20"/>
          <w:color w:val="auto"/>
        </w:rPr>
      </w:pPr>
      <w:r>
        <w:rPr>
          <w:rFonts w:ascii="Arial" w:cs="Arial" w:eastAsia="Arial" w:hAnsi="Arial"/>
          <w:sz w:val="17"/>
          <w:szCs w:val="17"/>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II, Item 1A, “Risk Factors” in this Quarterly Report on Form 10-Q for the quarter ended June 30, 2021.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25" w:lineRule="exact"/>
        <w:rPr>
          <w:sz w:val="20"/>
          <w:szCs w:val="20"/>
          <w:color w:val="auto"/>
        </w:rPr>
      </w:pPr>
    </w:p>
    <w:p>
      <w:pPr>
        <w:ind w:firstLine="643"/>
        <w:spacing w:after="0" w:line="249"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and have filed as exhibits to this Quarterly Report on Form 10-Q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Risk Factors</w:t>
      </w:r>
    </w:p>
    <w:p>
      <w:pPr>
        <w:spacing w:after="0" w:line="270" w:lineRule="exact"/>
        <w:rPr>
          <w:sz w:val="20"/>
          <w:szCs w:val="20"/>
          <w:color w:val="auto"/>
        </w:rPr>
      </w:pPr>
    </w:p>
    <w:p>
      <w:pPr>
        <w:ind w:right="40" w:firstLine="643"/>
        <w:spacing w:after="0" w:line="252" w:lineRule="auto"/>
        <w:rPr>
          <w:sz w:val="20"/>
          <w:szCs w:val="20"/>
          <w:color w:val="auto"/>
        </w:rPr>
      </w:pPr>
      <w:r>
        <w:rPr>
          <w:rFonts w:ascii="Arial" w:cs="Arial" w:eastAsia="Arial" w:hAnsi="Arial"/>
          <w:sz w:val="18"/>
          <w:szCs w:val="18"/>
          <w:color w:val="auto"/>
        </w:rPr>
        <w:t>Our business is subject to numerous risks and uncertainties, including those described in Part II Item 1A. “Risk Factors” in this Quarterly Report on Form 10-Q. You should carefully consider these risks and uncertainties when investing in our Class A common stock. The principal risks and uncertainties affecting our business include the following:</w:t>
      </w:r>
    </w:p>
    <w:p>
      <w:pPr>
        <w:spacing w:after="0" w:line="232" w:lineRule="exact"/>
        <w:rPr>
          <w:sz w:val="20"/>
          <w:szCs w:val="20"/>
          <w:color w:val="auto"/>
        </w:rPr>
      </w:pPr>
    </w:p>
    <w:p>
      <w:pPr>
        <w:jc w:val="both"/>
        <w:ind w:left="640" w:right="180" w:hanging="312"/>
        <w:spacing w:after="0" w:line="248"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a late-stage biopharmaceutical company with a limited operating history and no products approved for commercial sale, and we have incurred significant losses since our inception. We anticipate that we will continue to incur losses for the foreseeable future, which, together with our limited operating history, makes it difficult to assess our future viability;</w:t>
      </w:r>
    </w:p>
    <w:p>
      <w:pPr>
        <w:spacing w:after="0" w:line="1" w:lineRule="exact"/>
        <w:rPr>
          <w:rFonts w:ascii="Arial" w:cs="Arial" w:eastAsia="Arial" w:hAnsi="Arial"/>
          <w:sz w:val="18"/>
          <w:szCs w:val="18"/>
          <w:color w:val="auto"/>
        </w:rPr>
      </w:pPr>
    </w:p>
    <w:p>
      <w:pPr>
        <w:ind w:left="640" w:right="360" w:hanging="312"/>
        <w:spacing w:after="0" w:line="248"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require substantial additional financing to achieve our goals, and a failure to obtain this necessary capital when needed on acceptable terms, or at all, could force us to delay, limit, reduce, or terminate our product development, other operations, or commercialization efforts;</w:t>
      </w:r>
    </w:p>
    <w:p>
      <w:pPr>
        <w:spacing w:after="0" w:line="1" w:lineRule="exact"/>
        <w:rPr>
          <w:rFonts w:ascii="Arial" w:cs="Arial" w:eastAsia="Arial" w:hAnsi="Arial"/>
          <w:sz w:val="18"/>
          <w:szCs w:val="18"/>
          <w:color w:val="auto"/>
        </w:rPr>
      </w:pPr>
    </w:p>
    <w:p>
      <w:pPr>
        <w:ind w:left="640" w:right="500" w:hanging="312"/>
        <w:spacing w:after="0" w:line="248"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operating results may fluctuate significantly, which makes our future operating results difficult to predict and could cause our future operating results to fall below expectations;</w:t>
      </w:r>
    </w:p>
    <w:p>
      <w:pPr>
        <w:ind w:left="640" w:right="60" w:hanging="312"/>
        <w:spacing w:after="0" w:line="248"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estimated market opportunities for our product candidates are subject to numerous uncertainties and may prove to be inaccurate. If we have overestimated the size of our market opportunities, our future growth may be limited;</w:t>
      </w:r>
    </w:p>
    <w:p>
      <w:pPr>
        <w:ind w:left="640" w:hanging="31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is dependent on the development, regulatory approval, and commercialization of our current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544830</wp:posOffset>
            </wp:positionV>
            <wp:extent cx="71589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2" w:name="page3"/>
    <w:bookmarkEnd w:id="2"/>
    <w:p>
      <w:pPr>
        <w:ind w:left="312" w:right="320" w:hanging="312"/>
        <w:spacing w:after="0" w:line="248" w:lineRule="auto"/>
        <w:tabs>
          <w:tab w:leader="none" w:pos="307"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 w:lineRule="exact"/>
        <w:rPr>
          <w:rFonts w:ascii="Arial" w:cs="Arial" w:eastAsia="Arial" w:hAnsi="Arial"/>
          <w:sz w:val="18"/>
          <w:szCs w:val="18"/>
          <w:color w:val="auto"/>
        </w:rPr>
      </w:pPr>
    </w:p>
    <w:p>
      <w:pPr>
        <w:jc w:val="both"/>
        <w:ind w:left="312" w:right="200" w:hanging="312"/>
        <w:spacing w:after="0" w:line="248" w:lineRule="auto"/>
        <w:tabs>
          <w:tab w:leader="none" w:pos="307"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obtain regulatory approval for our product candidates under applicable regulatory requirements. The denial or delay of any such approval would delay commercialization of our product candidates and adversely impact our potential to generate revenue, our business, and our results of operations;</w:t>
      </w:r>
    </w:p>
    <w:p>
      <w:pPr>
        <w:spacing w:after="0" w:line="1" w:lineRule="exact"/>
        <w:rPr>
          <w:rFonts w:ascii="Arial" w:cs="Arial" w:eastAsia="Arial" w:hAnsi="Arial"/>
          <w:sz w:val="18"/>
          <w:szCs w:val="18"/>
          <w:color w:val="auto"/>
        </w:rPr>
      </w:pPr>
    </w:p>
    <w:p>
      <w:pPr>
        <w:ind w:left="312" w:right="140" w:hanging="312"/>
        <w:spacing w:after="0" w:line="263" w:lineRule="auto"/>
        <w:tabs>
          <w:tab w:leader="none" w:pos="307" w:val="left"/>
        </w:tabs>
        <w:numPr>
          <w:ilvl w:val="0"/>
          <w:numId w:val="4"/>
        </w:numPr>
        <w:rPr>
          <w:rFonts w:ascii="Arial" w:cs="Arial" w:eastAsia="Arial" w:hAnsi="Arial"/>
          <w:sz w:val="17"/>
          <w:szCs w:val="17"/>
          <w:color w:val="auto"/>
        </w:rPr>
      </w:pPr>
      <w:r>
        <w:rPr>
          <w:rFonts w:ascii="Arial" w:cs="Arial" w:eastAsia="Arial" w:hAnsi="Arial"/>
          <w:sz w:val="17"/>
          <w:szCs w:val="17"/>
          <w:color w:val="auto"/>
        </w:rPr>
        <w:t>Interim, topline, or preliminary data from our clinical trials that we announce or publish from time to time may change as more patient data become available and are subject to audit and verification procedures that could result in material changes in the final data;</w:t>
      </w:r>
    </w:p>
    <w:p>
      <w:pPr>
        <w:ind w:left="312" w:right="60" w:hanging="312"/>
        <w:spacing w:after="0" w:line="248" w:lineRule="auto"/>
        <w:tabs>
          <w:tab w:leader="none" w:pos="307"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of the endpoints in our planned clinical trials rely on a subjective assessment of the effect of the product candidate in the subject by either the physician or patient, and may prove difficult to meet in patients with more severe disease, which exposes us to a variety of risks for the successful completion of our clinical trials;</w:t>
      </w:r>
    </w:p>
    <w:p>
      <w:pPr>
        <w:spacing w:after="0" w:line="1" w:lineRule="exact"/>
        <w:rPr>
          <w:rFonts w:ascii="Arial" w:cs="Arial" w:eastAsia="Arial" w:hAnsi="Arial"/>
          <w:sz w:val="18"/>
          <w:szCs w:val="18"/>
          <w:color w:val="auto"/>
        </w:rPr>
      </w:pPr>
    </w:p>
    <w:p>
      <w:pPr>
        <w:ind w:left="312" w:right="60" w:hanging="312"/>
        <w:spacing w:after="0" w:line="248" w:lineRule="auto"/>
        <w:tabs>
          <w:tab w:leader="none" w:pos="307" w:val="left"/>
        </w:tabs>
        <w:numPr>
          <w:ilvl w:val="0"/>
          <w:numId w:val="4"/>
        </w:numPr>
        <w:rPr>
          <w:rFonts w:ascii="Arial" w:cs="Arial" w:eastAsia="Arial" w:hAnsi="Arial"/>
          <w:sz w:val="18"/>
          <w:szCs w:val="18"/>
          <w:color w:val="auto"/>
        </w:rPr>
      </w:pPr>
      <w:r>
        <w:rPr>
          <w:rFonts w:ascii="Arial" w:cs="Arial" w:eastAsia="Arial" w:hAnsi="Arial"/>
          <w:sz w:val="18"/>
          <w:szCs w:val="18"/>
          <w:color w:val="auto"/>
        </w:rPr>
        <w:t>Enrollment and retention of subjects in clinical trials is expensive and time-consuming and may result in additional costs and delays in our product development activities, or in the failure of such activities;</w:t>
      </w:r>
    </w:p>
    <w:p>
      <w:pPr>
        <w:ind w:left="312" w:right="280" w:hanging="312"/>
        <w:spacing w:after="0" w:line="248" w:lineRule="auto"/>
        <w:tabs>
          <w:tab w:leader="none" w:pos="307" w:val="left"/>
        </w:tabs>
        <w:numPr>
          <w:ilvl w:val="0"/>
          <w:numId w:val="4"/>
        </w:numPr>
        <w:rPr>
          <w:rFonts w:ascii="Arial" w:cs="Arial" w:eastAsia="Arial" w:hAnsi="Arial"/>
          <w:sz w:val="18"/>
          <w:szCs w:val="18"/>
          <w:color w:val="auto"/>
        </w:rPr>
      </w:pPr>
      <w:r>
        <w:rPr>
          <w:rFonts w:ascii="Arial" w:cs="Arial" w:eastAsia="Arial" w:hAnsi="Arial"/>
          <w:sz w:val="18"/>
          <w:szCs w:val="18"/>
          <w:color w:val="auto"/>
        </w:rPr>
        <w:t>Serious adverse or unacceptable side effects may be identified during the development of our product candidates, which could prevent or delay regulatory approval and commercialization, increase our costs or necessitate the abandonment or limitation of the development of some of our product candidates;</w:t>
      </w:r>
    </w:p>
    <w:p>
      <w:pPr>
        <w:spacing w:after="0" w:line="1" w:lineRule="exact"/>
        <w:rPr>
          <w:rFonts w:ascii="Arial" w:cs="Arial" w:eastAsia="Arial" w:hAnsi="Arial"/>
          <w:sz w:val="18"/>
          <w:szCs w:val="18"/>
          <w:color w:val="auto"/>
        </w:rPr>
      </w:pPr>
    </w:p>
    <w:p>
      <w:pPr>
        <w:ind w:left="312" w:right="100" w:hanging="312"/>
        <w:spacing w:after="0" w:line="248" w:lineRule="auto"/>
        <w:tabs>
          <w:tab w:leader="none" w:pos="307"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a company, we have never obtained marketing approval for any product candidate and we may be unable to successfully do so in a timely manner, if at all, for any of our product candidates;</w:t>
      </w:r>
    </w:p>
    <w:p>
      <w:pPr>
        <w:ind w:left="312" w:right="580" w:hanging="312"/>
        <w:spacing w:after="0" w:line="263" w:lineRule="auto"/>
        <w:tabs>
          <w:tab w:leader="none" w:pos="307" w:val="left"/>
        </w:tabs>
        <w:numPr>
          <w:ilvl w:val="0"/>
          <w:numId w:val="4"/>
        </w:numPr>
        <w:rPr>
          <w:rFonts w:ascii="Arial" w:cs="Arial" w:eastAsia="Arial" w:hAnsi="Arial"/>
          <w:sz w:val="17"/>
          <w:szCs w:val="17"/>
          <w:color w:val="auto"/>
        </w:rPr>
      </w:pPr>
      <w:r>
        <w:rPr>
          <w:rFonts w:ascii="Arial" w:cs="Arial" w:eastAsia="Arial" w:hAnsi="Arial"/>
          <w:sz w:val="17"/>
          <w:szCs w:val="17"/>
          <w:color w:val="auto"/>
        </w:rPr>
        <w:t>Even if our lead product candidate or our other product candidates receive marketing approval, they may fail to achieve market acceptance by physicians, patients, third-party payors or others in the medical community necessary for commercial success;</w:t>
      </w:r>
    </w:p>
    <w:p>
      <w:pPr>
        <w:ind w:left="312" w:right="80" w:hanging="312"/>
        <w:spacing w:after="0" w:line="248" w:lineRule="auto"/>
        <w:tabs>
          <w:tab w:leader="none" w:pos="307"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unable to achieve and maintain coverage and adequate levels of reimbursement for any of our product candidates for which we receive regulatory approval, or any future products we may seek to commercialize, their commercial success may be severely hindered;</w:t>
      </w:r>
    </w:p>
    <w:p>
      <w:pPr>
        <w:spacing w:after="0" w:line="1" w:lineRule="exact"/>
        <w:rPr>
          <w:rFonts w:ascii="Arial" w:cs="Arial" w:eastAsia="Arial" w:hAnsi="Arial"/>
          <w:sz w:val="18"/>
          <w:szCs w:val="18"/>
          <w:color w:val="auto"/>
        </w:rPr>
      </w:pPr>
    </w:p>
    <w:p>
      <w:pPr>
        <w:ind w:left="312" w:right="540" w:hanging="312"/>
        <w:spacing w:after="0" w:line="248" w:lineRule="auto"/>
        <w:tabs>
          <w:tab w:leader="none" w:pos="307"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currently have limited sales, marketing or distribution capabilities and have no experience as a company in commercializing products;</w:t>
      </w:r>
    </w:p>
    <w:p>
      <w:pPr>
        <w:ind w:left="312" w:right="720" w:hanging="312"/>
        <w:spacing w:after="0" w:line="248" w:lineRule="auto"/>
        <w:tabs>
          <w:tab w:leader="none" w:pos="307"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need to increase the size of our organization, and we may experience difficulties in executing our growth strategy and managing any growth;</w:t>
      </w:r>
    </w:p>
    <w:p>
      <w:pPr>
        <w:ind w:left="312" w:hanging="312"/>
        <w:spacing w:after="0" w:line="248" w:lineRule="auto"/>
        <w:tabs>
          <w:tab w:leader="none" w:pos="307"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attract and retain management and other key personnel, we may be unable to continue to successfully develop our current and any future product candidates, commercialize our product candidates or otherwise implement our business plan;</w:t>
      </w:r>
    </w:p>
    <w:p>
      <w:pPr>
        <w:ind w:left="312" w:right="60" w:hanging="312"/>
        <w:spacing w:after="0" w:line="248" w:lineRule="auto"/>
        <w:tabs>
          <w:tab w:leader="none" w:pos="307"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currently rely on single source third-party manufacturers to manufacture preclinical and clinical supplies of our product candidates and we intend to rely on third parties to produce commercial supplies of any approved product candidate. The loss of these manufacturers, or their failure to provide us with sufficient quantities at acceptable quality levels or prices, or at all, would materially and adversely affect our business;</w:t>
      </w:r>
    </w:p>
    <w:p>
      <w:pPr>
        <w:spacing w:after="0" w:line="1" w:lineRule="exact"/>
        <w:rPr>
          <w:rFonts w:ascii="Arial" w:cs="Arial" w:eastAsia="Arial" w:hAnsi="Arial"/>
          <w:sz w:val="18"/>
          <w:szCs w:val="18"/>
          <w:color w:val="auto"/>
        </w:rPr>
      </w:pPr>
    </w:p>
    <w:p>
      <w:pPr>
        <w:ind w:left="312" w:right="160" w:hanging="312"/>
        <w:spacing w:after="0" w:line="248" w:lineRule="auto"/>
        <w:tabs>
          <w:tab w:leader="none" w:pos="307"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third parties to conduct our non-clinical studies and our clinical trials. If these third parties do not successfully carry out their contractual duties or meet expected deadlines, we may be unable to obtain regulatory approval for or commercialize roflumilast cream, roflumilast foam, ARQ-252, ARQ-255 or any future product candidates;</w:t>
      </w:r>
    </w:p>
    <w:p>
      <w:pPr>
        <w:spacing w:after="0" w:line="1" w:lineRule="exact"/>
        <w:rPr>
          <w:rFonts w:ascii="Arial" w:cs="Arial" w:eastAsia="Arial" w:hAnsi="Arial"/>
          <w:sz w:val="18"/>
          <w:szCs w:val="18"/>
          <w:color w:val="auto"/>
        </w:rPr>
      </w:pPr>
    </w:p>
    <w:p>
      <w:pPr>
        <w:ind w:left="312" w:right="120" w:hanging="312"/>
        <w:spacing w:after="0" w:line="248" w:lineRule="auto"/>
        <w:tabs>
          <w:tab w:leader="none" w:pos="307"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our intellectual property could materially adversely impact our business, competitive position, financial condition, and results of operations;</w:t>
      </w:r>
    </w:p>
    <w:p>
      <w:pPr>
        <w:ind w:left="312" w:right="680" w:hanging="312"/>
        <w:spacing w:after="0" w:line="248" w:lineRule="auto"/>
        <w:tabs>
          <w:tab w:leader="none" w:pos="307"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government regulation of our industry and required approvals could materially adversely impact our business, competitive position, financial condition, and results of operations; and</w:t>
      </w:r>
    </w:p>
    <w:p>
      <w:pPr>
        <w:ind w:left="312" w:hanging="312"/>
        <w:spacing w:after="0"/>
        <w:tabs>
          <w:tab w:leader="none" w:pos="312"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litigation could have a material adverse effect on our business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544830</wp:posOffset>
            </wp:positionV>
            <wp:extent cx="71589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892"/>
          </w:cols>
          <w:pgMar w:left="648" w:top="902" w:right="359" w:bottom="1440" w:gutter="0" w:footer="0" w:header="0"/>
        </w:sectPr>
      </w:pPr>
    </w:p>
    <w:bookmarkStart w:id="3" w:name="page4"/>
    <w:bookmarkEnd w:id="3"/>
    <w:p>
      <w:pPr>
        <w:spacing w:after="0" w:line="200" w:lineRule="exact"/>
        <w:rPr>
          <w:sz w:val="20"/>
          <w:szCs w:val="20"/>
          <w:color w:val="auto"/>
        </w:rPr>
      </w:pPr>
    </w:p>
    <w:p>
      <w:pPr>
        <w:spacing w:after="0" w:line="304" w:lineRule="exact"/>
        <w:rPr>
          <w:sz w:val="20"/>
          <w:szCs w:val="20"/>
          <w:color w:val="auto"/>
        </w:rPr>
      </w:pPr>
    </w:p>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PART I</w:t>
        </w:r>
      </w:hyperlink>
    </w:p>
    <w:p>
      <w:pPr>
        <w:spacing w:after="0" w:line="329" w:lineRule="exact"/>
        <w:rPr>
          <w:sz w:val="20"/>
          <w:szCs w:val="20"/>
          <w:color w:val="auto"/>
        </w:rPr>
      </w:pPr>
    </w:p>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Item 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Item 2.</w:t>
        </w:r>
      </w:hyperlink>
    </w:p>
    <w:p>
      <w:pPr>
        <w:spacing w:after="0" w:line="21" w:lineRule="exact"/>
        <w:rPr>
          <w:sz w:val="20"/>
          <w:szCs w:val="20"/>
          <w:color w:val="auto"/>
        </w:rPr>
      </w:pPr>
    </w:p>
    <w:p>
      <w:pP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Item 3.</w:t>
        </w:r>
      </w:hyperlink>
    </w:p>
    <w:p>
      <w:pPr>
        <w:spacing w:after="0" w:line="21" w:lineRule="exact"/>
        <w:rPr>
          <w:sz w:val="20"/>
          <w:szCs w:val="20"/>
          <w:color w:val="auto"/>
        </w:rPr>
      </w:pPr>
    </w:p>
    <w:p>
      <w:pP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Item 4.</w:t>
        </w:r>
      </w:hyperlink>
    </w:p>
    <w:p>
      <w:pPr>
        <w:spacing w:after="0" w:line="288" w:lineRule="exact"/>
        <w:rPr>
          <w:sz w:val="20"/>
          <w:szCs w:val="20"/>
          <w:color w:val="auto"/>
        </w:rPr>
      </w:pPr>
    </w:p>
    <w:p>
      <w:pPr>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PART II</w:t>
        </w:r>
      </w:hyperlink>
    </w:p>
    <w:p>
      <w:pPr>
        <w:spacing w:after="0" w:line="21" w:lineRule="exact"/>
        <w:rPr>
          <w:sz w:val="20"/>
          <w:szCs w:val="20"/>
          <w:color w:val="auto"/>
        </w:rPr>
      </w:pPr>
    </w:p>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Item 1.</w:t>
        </w:r>
      </w:hyperlink>
    </w:p>
    <w:p>
      <w:pPr>
        <w:spacing w:after="0" w:line="21" w:lineRule="exact"/>
        <w:rPr>
          <w:sz w:val="20"/>
          <w:szCs w:val="20"/>
          <w:color w:val="auto"/>
        </w:rPr>
      </w:pPr>
    </w:p>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Item 1A.</w:t>
        </w:r>
      </w:hyperlink>
    </w:p>
    <w:p>
      <w:pPr>
        <w:spacing w:after="0" w:line="382" w:lineRule="exact"/>
        <w:rPr>
          <w:sz w:val="20"/>
          <w:szCs w:val="20"/>
          <w:color w:val="auto"/>
        </w:rPr>
      </w:pPr>
    </w:p>
    <w:p>
      <w:pPr>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Item 2.</w:t>
        </w:r>
      </w:hyperlink>
    </w:p>
    <w:p>
      <w:pPr>
        <w:spacing w:after="0" w:line="61" w:lineRule="exact"/>
        <w:rPr>
          <w:sz w:val="20"/>
          <w:szCs w:val="20"/>
          <w:color w:val="auto"/>
        </w:rPr>
      </w:pPr>
    </w:p>
    <w:p>
      <w:pPr>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Item 3.</w:t>
        </w:r>
      </w:hyperlink>
    </w:p>
    <w:p>
      <w:pPr>
        <w:spacing w:after="0" w:line="61" w:lineRule="exact"/>
        <w:rPr>
          <w:sz w:val="20"/>
          <w:szCs w:val="20"/>
          <w:color w:val="auto"/>
        </w:rPr>
      </w:pPr>
    </w:p>
    <w:p>
      <w:pPr>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Item 4.</w:t>
        </w:r>
      </w:hyperlink>
    </w:p>
    <w:p>
      <w:pPr>
        <w:spacing w:after="0" w:line="21" w:lineRule="exact"/>
        <w:rPr>
          <w:sz w:val="20"/>
          <w:szCs w:val="20"/>
          <w:color w:val="auto"/>
        </w:rPr>
      </w:pPr>
    </w:p>
    <w:p>
      <w:pPr>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Item 5.</w:t>
        </w:r>
      </w:hyperlink>
    </w:p>
    <w:p>
      <w:pPr>
        <w:spacing w:after="0" w:line="61" w:lineRule="exact"/>
        <w:rPr>
          <w:sz w:val="20"/>
          <w:szCs w:val="20"/>
          <w:color w:val="auto"/>
        </w:rPr>
      </w:pPr>
    </w:p>
    <w:p>
      <w:pPr>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Item 6.</w:t>
        </w:r>
      </w:hyperlink>
    </w:p>
    <w:p>
      <w:pPr>
        <w:spacing w:after="0" w:line="288" w:lineRule="exact"/>
        <w:rPr>
          <w:sz w:val="20"/>
          <w:szCs w:val="20"/>
          <w:color w:val="auto"/>
        </w:rPr>
      </w:pPr>
    </w:p>
    <w:p>
      <w:pPr>
        <w:spacing w:after="0"/>
        <w:rPr>
          <w:rFonts w:ascii="Arial" w:cs="Arial" w:eastAsia="Arial" w:hAnsi="Arial"/>
          <w:sz w:val="17"/>
          <w:szCs w:val="17"/>
          <w:u w:val="single" w:color="auto"/>
          <w:color w:val="0000FF"/>
        </w:rPr>
      </w:pPr>
      <w:hyperlink w:anchor="page89">
        <w:r>
          <w:rPr>
            <w:rFonts w:ascii="Arial" w:cs="Arial" w:eastAsia="Arial" w:hAnsi="Arial"/>
            <w:sz w:val="17"/>
            <w:szCs w:val="17"/>
            <w:u w:val="single" w:color="auto"/>
            <w:color w:val="0000FF"/>
          </w:rPr>
          <w:t>Signatures</w:t>
        </w:r>
      </w:hyperlink>
    </w:p>
    <w:p>
      <w:pPr>
        <w:spacing w:after="0" w:line="20" w:lineRule="exact"/>
        <w:rPr>
          <w:sz w:val="20"/>
          <w:szCs w:val="20"/>
          <w:color w:val="auto"/>
        </w:rPr>
      </w:pPr>
      <w:r>
        <w:rPr>
          <w:sz w:val="20"/>
          <w:szCs w:val="20"/>
          <w:color w:val="auto"/>
        </w:rPr>
        <w:br w:type="column"/>
      </w:r>
    </w:p>
    <w:p>
      <w:pPr>
        <w:ind w:left="4000"/>
        <w:spacing w:after="0"/>
        <w:rPr>
          <w:sz w:val="20"/>
          <w:szCs w:val="20"/>
          <w:color w:val="auto"/>
        </w:rPr>
      </w:pPr>
      <w:r>
        <w:rPr>
          <w:rFonts w:ascii="Arial" w:cs="Arial" w:eastAsia="Arial" w:hAnsi="Arial"/>
          <w:sz w:val="18"/>
          <w:szCs w:val="18"/>
          <w:b w:val="1"/>
          <w:bCs w:val="1"/>
          <w:color w:val="auto"/>
        </w:rPr>
        <w:t>INDEX</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189"/>
        </w:trPr>
        <w:tc>
          <w:tcPr>
            <w:tcW w:w="2240" w:type="dxa"/>
            <w:vAlign w:val="bottom"/>
            <w:tcBorders>
              <w:bottom w:val="single" w:sz="8" w:color="0000FF"/>
            </w:tcBorders>
            <w:gridSpan w:val="9"/>
          </w:tcPr>
          <w:p>
            <w:pPr>
              <w:spacing w:after="0" w:line="189" w:lineRule="exact"/>
              <w:rPr>
                <w:rFonts w:ascii="Arial" w:cs="Arial" w:eastAsia="Arial" w:hAnsi="Arial"/>
                <w:sz w:val="18"/>
                <w:szCs w:val="18"/>
                <w:color w:val="0000FF"/>
                <w:w w:val="98"/>
              </w:rPr>
            </w:pPr>
            <w:hyperlink w:anchor="page4">
              <w:r>
                <w:rPr>
                  <w:rFonts w:ascii="Arial" w:cs="Arial" w:eastAsia="Arial" w:hAnsi="Arial"/>
                  <w:sz w:val="18"/>
                  <w:szCs w:val="18"/>
                  <w:color w:val="0000FF"/>
                  <w:w w:val="98"/>
                </w:rPr>
                <w:t>FINANCIAL INFORMATION</w:t>
              </w:r>
            </w:hyperlink>
          </w:p>
        </w:tc>
        <w:tc>
          <w:tcPr>
            <w:tcW w:w="5980" w:type="dxa"/>
            <w:vAlign w:val="bottom"/>
            <w:gridSpan w:val="9"/>
          </w:tcPr>
          <w:p>
            <w:pPr>
              <w:spacing w:after="0"/>
              <w:rPr>
                <w:sz w:val="16"/>
                <w:szCs w:val="16"/>
                <w:color w:val="auto"/>
              </w:rPr>
            </w:pPr>
          </w:p>
        </w:tc>
        <w:tc>
          <w:tcPr>
            <w:tcW w:w="1620" w:type="dxa"/>
            <w:vAlign w:val="bottom"/>
          </w:tcPr>
          <w:p>
            <w:pPr>
              <w:spacing w:after="0"/>
              <w:rPr>
                <w:sz w:val="16"/>
                <w:szCs w:val="16"/>
                <w:color w:val="auto"/>
              </w:rPr>
            </w:pPr>
          </w:p>
        </w:tc>
      </w:tr>
      <w:tr>
        <w:trPr>
          <w:trHeight w:val="489"/>
        </w:trPr>
        <w:tc>
          <w:tcPr>
            <w:tcW w:w="1680" w:type="dxa"/>
            <w:vAlign w:val="bottom"/>
            <w:tcBorders>
              <w:bottom w:val="single" w:sz="8" w:color="0000FF"/>
            </w:tcBorders>
            <w:gridSpan w:val="5"/>
          </w:tcPr>
          <w:p>
            <w:pPr>
              <w:spacing w:after="0"/>
              <w:rPr>
                <w:rFonts w:ascii="Arial" w:cs="Arial" w:eastAsia="Arial" w:hAnsi="Arial"/>
                <w:sz w:val="18"/>
                <w:szCs w:val="18"/>
                <w:color w:val="0000FF"/>
                <w:w w:val="98"/>
              </w:rPr>
            </w:pPr>
            <w:hyperlink w:anchor="page5">
              <w:r>
                <w:rPr>
                  <w:rFonts w:ascii="Arial" w:cs="Arial" w:eastAsia="Arial" w:hAnsi="Arial"/>
                  <w:sz w:val="18"/>
                  <w:szCs w:val="18"/>
                  <w:color w:val="0000FF"/>
                  <w:w w:val="98"/>
                </w:rPr>
                <w:t>Financial Statements</w:t>
              </w:r>
            </w:hyperlink>
          </w:p>
        </w:tc>
        <w:tc>
          <w:tcPr>
            <w:tcW w:w="6540" w:type="dxa"/>
            <w:vAlign w:val="bottom"/>
            <w:gridSpan w:val="13"/>
          </w:tcPr>
          <w:p>
            <w:pPr>
              <w:spacing w:after="0"/>
              <w:rPr>
                <w:sz w:val="24"/>
                <w:szCs w:val="24"/>
                <w:color w:val="auto"/>
              </w:rPr>
            </w:pPr>
          </w:p>
        </w:tc>
        <w:tc>
          <w:tcPr>
            <w:tcW w:w="1620" w:type="dxa"/>
            <w:vAlign w:val="bottom"/>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1</w:t>
              </w:r>
            </w:hyperlink>
          </w:p>
        </w:tc>
      </w:tr>
      <w:tr>
        <w:trPr>
          <w:trHeight w:val="234"/>
        </w:trPr>
        <w:tc>
          <w:tcPr>
            <w:tcW w:w="2220" w:type="dxa"/>
            <w:vAlign w:val="bottom"/>
            <w:tcBorders>
              <w:bottom w:val="single" w:sz="8" w:color="0000FF"/>
            </w:tcBorders>
            <w:gridSpan w:val="8"/>
          </w:tcPr>
          <w:p>
            <w:pPr>
              <w:spacing w:after="0"/>
              <w:rPr>
                <w:rFonts w:ascii="Arial" w:cs="Arial" w:eastAsia="Arial" w:hAnsi="Arial"/>
                <w:sz w:val="18"/>
                <w:szCs w:val="18"/>
                <w:color w:val="0000FF"/>
                <w:w w:val="98"/>
              </w:rPr>
            </w:pPr>
            <w:hyperlink w:anchor="page5">
              <w:r>
                <w:rPr>
                  <w:rFonts w:ascii="Arial" w:cs="Arial" w:eastAsia="Arial" w:hAnsi="Arial"/>
                  <w:sz w:val="18"/>
                  <w:szCs w:val="18"/>
                  <w:color w:val="0000FF"/>
                  <w:w w:val="98"/>
                </w:rPr>
                <w:t>Condensed Balance Sheets</w:t>
              </w:r>
            </w:hyperlink>
          </w:p>
        </w:tc>
        <w:tc>
          <w:tcPr>
            <w:tcW w:w="6000" w:type="dxa"/>
            <w:vAlign w:val="bottom"/>
            <w:gridSpan w:val="10"/>
          </w:tcPr>
          <w:p>
            <w:pPr>
              <w:spacing w:after="0"/>
              <w:rPr>
                <w:sz w:val="20"/>
                <w:szCs w:val="20"/>
                <w:color w:val="auto"/>
              </w:rPr>
            </w:pPr>
          </w:p>
        </w:tc>
        <w:tc>
          <w:tcPr>
            <w:tcW w:w="1620" w:type="dxa"/>
            <w:vAlign w:val="bottom"/>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1</w:t>
              </w:r>
            </w:hyperlink>
          </w:p>
        </w:tc>
      </w:tr>
      <w:tr>
        <w:trPr>
          <w:trHeight w:val="208"/>
        </w:trPr>
        <w:tc>
          <w:tcPr>
            <w:tcW w:w="8220" w:type="dxa"/>
            <w:vAlign w:val="bottom"/>
            <w:gridSpan w:val="18"/>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Statements of Operations and Comprehensive Loss</w:t>
              </w:r>
            </w:hyperlink>
          </w:p>
        </w:tc>
        <w:tc>
          <w:tcPr>
            <w:tcW w:w="1620" w:type="dxa"/>
            <w:vAlign w:val="bottom"/>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2</w:t>
              </w:r>
            </w:hyperlink>
          </w:p>
        </w:tc>
      </w:tr>
      <w:tr>
        <w:trPr>
          <w:trHeight w:val="20"/>
        </w:trPr>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08"/>
        </w:trPr>
        <w:tc>
          <w:tcPr>
            <w:tcW w:w="8220" w:type="dxa"/>
            <w:vAlign w:val="bottom"/>
            <w:gridSpan w:val="18"/>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Statements of Convertible Preferred Stock and Stockholders’ Equity (Deficit)</w:t>
              </w:r>
            </w:hyperlink>
          </w:p>
        </w:tc>
        <w:tc>
          <w:tcPr>
            <w:tcW w:w="1620" w:type="dxa"/>
            <w:vAlign w:val="bottom"/>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3</w:t>
              </w:r>
            </w:hyperlink>
          </w:p>
        </w:tc>
      </w:tr>
      <w:tr>
        <w:trPr>
          <w:trHeight w:val="208"/>
        </w:trPr>
        <w:tc>
          <w:tcPr>
            <w:tcW w:w="6980" w:type="dxa"/>
            <w:vAlign w:val="bottom"/>
            <w:tcBorders>
              <w:top w:val="single" w:sz="8" w:color="0000FF"/>
            </w:tcBorders>
            <w:gridSpan w:val="16"/>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Condensed Statements of Cash Flows</w:t>
              </w:r>
            </w:hyperlink>
          </w:p>
        </w:tc>
        <w:tc>
          <w:tcPr>
            <w:tcW w:w="1240" w:type="dxa"/>
            <w:vAlign w:val="bottom"/>
            <w:gridSpan w:val="2"/>
          </w:tcPr>
          <w:p>
            <w:pPr>
              <w:spacing w:after="0"/>
              <w:rPr>
                <w:sz w:val="18"/>
                <w:szCs w:val="18"/>
                <w:color w:val="auto"/>
              </w:rPr>
            </w:pPr>
          </w:p>
        </w:tc>
        <w:tc>
          <w:tcPr>
            <w:tcW w:w="1620" w:type="dxa"/>
            <w:vAlign w:val="bottom"/>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5</w:t>
              </w:r>
            </w:hyperlink>
          </w:p>
        </w:tc>
      </w:tr>
      <w:tr>
        <w:trPr>
          <w:trHeight w:val="20"/>
        </w:trPr>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15"/>
        </w:trPr>
        <w:tc>
          <w:tcPr>
            <w:tcW w:w="4220" w:type="dxa"/>
            <w:vAlign w:val="bottom"/>
            <w:tcBorders>
              <w:bottom w:val="single" w:sz="8" w:color="0000FF"/>
            </w:tcBorders>
            <w:gridSpan w:val="12"/>
          </w:tcPr>
          <w:p>
            <w:pPr>
              <w:spacing w:after="0"/>
              <w:rPr>
                <w:rFonts w:ascii="Arial" w:cs="Arial" w:eastAsia="Arial" w:hAnsi="Arial"/>
                <w:sz w:val="18"/>
                <w:szCs w:val="18"/>
                <w:color w:val="0000FF"/>
                <w:w w:val="98"/>
              </w:rPr>
            </w:pPr>
            <w:hyperlink w:anchor="page9">
              <w:r>
                <w:rPr>
                  <w:rFonts w:ascii="Arial" w:cs="Arial" w:eastAsia="Arial" w:hAnsi="Arial"/>
                  <w:sz w:val="18"/>
                  <w:szCs w:val="18"/>
                  <w:color w:val="0000FF"/>
                  <w:w w:val="98"/>
                </w:rPr>
                <w:t>Notes to Unaudited Condensed Financial Statements</w:t>
              </w:r>
            </w:hyperlink>
          </w:p>
        </w:tc>
        <w:tc>
          <w:tcPr>
            <w:tcW w:w="4000" w:type="dxa"/>
            <w:vAlign w:val="bottom"/>
            <w:gridSpan w:val="6"/>
          </w:tcPr>
          <w:p>
            <w:pPr>
              <w:spacing w:after="0"/>
              <w:rPr>
                <w:sz w:val="24"/>
                <w:szCs w:val="24"/>
                <w:color w:val="auto"/>
              </w:rPr>
            </w:pPr>
          </w:p>
        </w:tc>
        <w:tc>
          <w:tcPr>
            <w:tcW w:w="1620" w:type="dxa"/>
            <w:vAlign w:val="bottom"/>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6</w:t>
              </w:r>
            </w:hyperlink>
          </w:p>
        </w:tc>
      </w:tr>
      <w:tr>
        <w:trPr>
          <w:trHeight w:val="221"/>
        </w:trPr>
        <w:tc>
          <w:tcPr>
            <w:tcW w:w="7020" w:type="dxa"/>
            <w:vAlign w:val="bottom"/>
            <w:tcBorders>
              <w:bottom w:val="single" w:sz="8" w:color="0000FF"/>
            </w:tcBorders>
            <w:gridSpan w:val="17"/>
          </w:tcPr>
          <w:p>
            <w:pPr>
              <w:spacing w:after="0"/>
              <w:rPr>
                <w:rFonts w:ascii="Arial" w:cs="Arial" w:eastAsia="Arial" w:hAnsi="Arial"/>
                <w:sz w:val="18"/>
                <w:szCs w:val="18"/>
                <w:color w:val="0000FF"/>
                <w:w w:val="98"/>
              </w:rPr>
            </w:pPr>
            <w:hyperlink w:anchor="page26">
              <w:r>
                <w:rPr>
                  <w:rFonts w:ascii="Arial" w:cs="Arial" w:eastAsia="Arial" w:hAnsi="Arial"/>
                  <w:sz w:val="18"/>
                  <w:szCs w:val="18"/>
                  <w:color w:val="0000FF"/>
                  <w:w w:val="98"/>
                </w:rPr>
                <w:t>Management’s Discussion and Analysis of Financial Condition and Results of Operations</w:t>
              </w:r>
            </w:hyperlink>
          </w:p>
        </w:tc>
        <w:tc>
          <w:tcPr>
            <w:tcW w:w="1200" w:type="dxa"/>
            <w:vAlign w:val="bottom"/>
          </w:tcPr>
          <w:p>
            <w:pPr>
              <w:spacing w:after="0"/>
              <w:rPr>
                <w:sz w:val="19"/>
                <w:szCs w:val="19"/>
                <w:color w:val="auto"/>
              </w:rPr>
            </w:pPr>
          </w:p>
        </w:tc>
        <w:tc>
          <w:tcPr>
            <w:tcW w:w="1620" w:type="dxa"/>
            <w:vAlign w:val="bottom"/>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23</w:t>
              </w:r>
            </w:hyperlink>
          </w:p>
        </w:tc>
      </w:tr>
      <w:tr>
        <w:trPr>
          <w:trHeight w:val="234"/>
        </w:trPr>
        <w:tc>
          <w:tcPr>
            <w:tcW w:w="4660" w:type="dxa"/>
            <w:vAlign w:val="bottom"/>
            <w:tcBorders>
              <w:bottom w:val="single" w:sz="8" w:color="0000FF"/>
            </w:tcBorders>
            <w:gridSpan w:val="13"/>
          </w:tcPr>
          <w:p>
            <w:pPr>
              <w:spacing w:after="0"/>
              <w:rPr>
                <w:rFonts w:ascii="Arial" w:cs="Arial" w:eastAsia="Arial" w:hAnsi="Arial"/>
                <w:sz w:val="18"/>
                <w:szCs w:val="18"/>
                <w:color w:val="0000FF"/>
                <w:w w:val="98"/>
              </w:rPr>
            </w:pPr>
            <w:hyperlink w:anchor="page38">
              <w:r>
                <w:rPr>
                  <w:rFonts w:ascii="Arial" w:cs="Arial" w:eastAsia="Arial" w:hAnsi="Arial"/>
                  <w:sz w:val="18"/>
                  <w:szCs w:val="18"/>
                  <w:color w:val="0000FF"/>
                  <w:w w:val="98"/>
                </w:rPr>
                <w:t>Quantitative and Qualitative Disclosures about Market Risk</w:t>
              </w:r>
            </w:hyperlink>
          </w:p>
        </w:tc>
        <w:tc>
          <w:tcPr>
            <w:tcW w:w="3560" w:type="dxa"/>
            <w:vAlign w:val="bottom"/>
            <w:gridSpan w:val="5"/>
          </w:tcPr>
          <w:p>
            <w:pPr>
              <w:spacing w:after="0"/>
              <w:rPr>
                <w:sz w:val="20"/>
                <w:szCs w:val="20"/>
                <w:color w:val="auto"/>
              </w:rPr>
            </w:pPr>
          </w:p>
        </w:tc>
        <w:tc>
          <w:tcPr>
            <w:tcW w:w="1620" w:type="dxa"/>
            <w:vAlign w:val="bottom"/>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34</w:t>
              </w:r>
            </w:hyperlink>
          </w:p>
        </w:tc>
      </w:tr>
      <w:tr>
        <w:trPr>
          <w:trHeight w:val="208"/>
        </w:trPr>
        <w:tc>
          <w:tcPr>
            <w:tcW w:w="1980" w:type="dxa"/>
            <w:vAlign w:val="bottom"/>
            <w:tcBorders>
              <w:bottom w:val="single" w:sz="8" w:color="0000FF"/>
            </w:tcBorders>
            <w:gridSpan w:val="7"/>
          </w:tcPr>
          <w:p>
            <w:pPr>
              <w:spacing w:after="0"/>
              <w:rPr>
                <w:rFonts w:ascii="Arial" w:cs="Arial" w:eastAsia="Arial" w:hAnsi="Arial"/>
                <w:sz w:val="18"/>
                <w:szCs w:val="18"/>
                <w:color w:val="0000FF"/>
                <w:w w:val="98"/>
              </w:rPr>
            </w:pPr>
            <w:hyperlink w:anchor="page38">
              <w:r>
                <w:rPr>
                  <w:rFonts w:ascii="Arial" w:cs="Arial" w:eastAsia="Arial" w:hAnsi="Arial"/>
                  <w:sz w:val="18"/>
                  <w:szCs w:val="18"/>
                  <w:color w:val="0000FF"/>
                  <w:w w:val="98"/>
                </w:rPr>
                <w:t>Controls and Procedures</w:t>
              </w:r>
            </w:hyperlink>
          </w:p>
        </w:tc>
        <w:tc>
          <w:tcPr>
            <w:tcW w:w="6240" w:type="dxa"/>
            <w:vAlign w:val="bottom"/>
            <w:gridSpan w:val="11"/>
          </w:tcPr>
          <w:p>
            <w:pPr>
              <w:spacing w:after="0"/>
              <w:rPr>
                <w:sz w:val="18"/>
                <w:szCs w:val="18"/>
                <w:color w:val="auto"/>
              </w:rPr>
            </w:pPr>
          </w:p>
        </w:tc>
        <w:tc>
          <w:tcPr>
            <w:tcW w:w="1620" w:type="dxa"/>
            <w:vAlign w:val="bottom"/>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34</w:t>
              </w:r>
            </w:hyperlink>
          </w:p>
        </w:tc>
      </w:tr>
      <w:tr>
        <w:trPr>
          <w:trHeight w:val="475"/>
        </w:trPr>
        <w:tc>
          <w:tcPr>
            <w:tcW w:w="1920" w:type="dxa"/>
            <w:vAlign w:val="bottom"/>
            <w:tcBorders>
              <w:bottom w:val="single" w:sz="8" w:color="0000FF"/>
            </w:tcBorders>
            <w:gridSpan w:val="6"/>
          </w:tcPr>
          <w:p>
            <w:pPr>
              <w:spacing w:after="0"/>
              <w:rPr>
                <w:rFonts w:ascii="Arial" w:cs="Arial" w:eastAsia="Arial" w:hAnsi="Arial"/>
                <w:sz w:val="18"/>
                <w:szCs w:val="18"/>
                <w:color w:val="0000FF"/>
                <w:w w:val="97"/>
              </w:rPr>
            </w:pPr>
            <w:hyperlink w:anchor="page39">
              <w:r>
                <w:rPr>
                  <w:rFonts w:ascii="Arial" w:cs="Arial" w:eastAsia="Arial" w:hAnsi="Arial"/>
                  <w:sz w:val="18"/>
                  <w:szCs w:val="18"/>
                  <w:color w:val="0000FF"/>
                  <w:w w:val="97"/>
                </w:rPr>
                <w:t>OTHER INFORMATION</w:t>
              </w:r>
            </w:hyperlink>
          </w:p>
        </w:tc>
        <w:tc>
          <w:tcPr>
            <w:tcW w:w="6300" w:type="dxa"/>
            <w:vAlign w:val="bottom"/>
            <w:gridSpan w:val="12"/>
          </w:tcPr>
          <w:p>
            <w:pPr>
              <w:spacing w:after="0"/>
              <w:rPr>
                <w:sz w:val="24"/>
                <w:szCs w:val="24"/>
                <w:color w:val="auto"/>
              </w:rPr>
            </w:pPr>
          </w:p>
        </w:tc>
        <w:tc>
          <w:tcPr>
            <w:tcW w:w="1620" w:type="dxa"/>
            <w:vAlign w:val="bottom"/>
          </w:tcPr>
          <w:p>
            <w:pPr>
              <w:spacing w:after="0"/>
              <w:rPr>
                <w:sz w:val="24"/>
                <w:szCs w:val="24"/>
                <w:color w:val="auto"/>
              </w:rPr>
            </w:pPr>
          </w:p>
        </w:tc>
      </w:tr>
      <w:tr>
        <w:trPr>
          <w:trHeight w:val="208"/>
        </w:trPr>
        <w:tc>
          <w:tcPr>
            <w:tcW w:w="8220" w:type="dxa"/>
            <w:vAlign w:val="bottom"/>
            <w:gridSpan w:val="18"/>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Legal Proceedings</w:t>
              </w:r>
            </w:hyperlink>
          </w:p>
        </w:tc>
        <w:tc>
          <w:tcPr>
            <w:tcW w:w="1620" w:type="dxa"/>
            <w:vAlign w:val="bottom"/>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36</w:t>
              </w:r>
            </w:hyperlink>
          </w:p>
        </w:tc>
      </w:tr>
      <w:tr>
        <w:trPr>
          <w:trHeight w:val="208"/>
        </w:trPr>
        <w:tc>
          <w:tcPr>
            <w:tcW w:w="100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7"/>
              </w:rPr>
            </w:pPr>
            <w:hyperlink w:anchor="page40">
              <w:r>
                <w:rPr>
                  <w:rFonts w:ascii="Arial" w:cs="Arial" w:eastAsia="Arial" w:hAnsi="Arial"/>
                  <w:sz w:val="18"/>
                  <w:szCs w:val="18"/>
                  <w:color w:val="0000FF"/>
                  <w:w w:val="97"/>
                </w:rPr>
                <w:t>Risk Factors</w:t>
              </w:r>
            </w:hyperlink>
          </w:p>
        </w:tc>
        <w:tc>
          <w:tcPr>
            <w:tcW w:w="480" w:type="dxa"/>
            <w:vAlign w:val="bottom"/>
            <w:tcBorders>
              <w:top w:val="single" w:sz="8" w:color="0000FF"/>
            </w:tcBorders>
            <w:gridSpan w:val="2"/>
          </w:tcPr>
          <w:p>
            <w:pPr>
              <w:spacing w:after="0"/>
              <w:rPr>
                <w:sz w:val="18"/>
                <w:szCs w:val="18"/>
                <w:color w:val="auto"/>
              </w:rPr>
            </w:pPr>
          </w:p>
        </w:tc>
        <w:tc>
          <w:tcPr>
            <w:tcW w:w="6740" w:type="dxa"/>
            <w:vAlign w:val="bottom"/>
            <w:gridSpan w:val="14"/>
          </w:tcPr>
          <w:p>
            <w:pPr>
              <w:spacing w:after="0"/>
              <w:rPr>
                <w:sz w:val="18"/>
                <w:szCs w:val="18"/>
                <w:color w:val="auto"/>
              </w:rPr>
            </w:pPr>
          </w:p>
        </w:tc>
        <w:tc>
          <w:tcPr>
            <w:tcW w:w="1620" w:type="dxa"/>
            <w:vAlign w:val="bottom"/>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36</w:t>
              </w:r>
            </w:hyperlink>
          </w:p>
        </w:tc>
      </w:tr>
      <w:tr>
        <w:trPr>
          <w:trHeight w:val="542"/>
        </w:trPr>
        <w:tc>
          <w:tcPr>
            <w:tcW w:w="4820" w:type="dxa"/>
            <w:vAlign w:val="bottom"/>
            <w:tcBorders>
              <w:bottom w:val="single" w:sz="8" w:color="0000FF"/>
            </w:tcBorders>
            <w:gridSpan w:val="14"/>
          </w:tcPr>
          <w:p>
            <w:pPr>
              <w:spacing w:after="0"/>
              <w:rPr>
                <w:rFonts w:ascii="Arial" w:cs="Arial" w:eastAsia="Arial" w:hAnsi="Arial"/>
                <w:sz w:val="18"/>
                <w:szCs w:val="18"/>
                <w:color w:val="0000FF"/>
                <w:w w:val="98"/>
              </w:rPr>
            </w:pPr>
            <w:hyperlink w:anchor="page87">
              <w:r>
                <w:rPr>
                  <w:rFonts w:ascii="Arial" w:cs="Arial" w:eastAsia="Arial" w:hAnsi="Arial"/>
                  <w:sz w:val="18"/>
                  <w:szCs w:val="18"/>
                  <w:color w:val="0000FF"/>
                  <w:w w:val="98"/>
                </w:rPr>
                <w:t>Unregistered Sales of Equity Securities and Use of Proceeds</w:t>
              </w:r>
            </w:hyperlink>
          </w:p>
        </w:tc>
        <w:tc>
          <w:tcPr>
            <w:tcW w:w="3400" w:type="dxa"/>
            <w:vAlign w:val="bottom"/>
            <w:gridSpan w:val="4"/>
          </w:tcPr>
          <w:p>
            <w:pPr>
              <w:spacing w:after="0"/>
              <w:rPr>
                <w:sz w:val="24"/>
                <w:szCs w:val="24"/>
                <w:color w:val="auto"/>
              </w:rPr>
            </w:pPr>
          </w:p>
        </w:tc>
        <w:tc>
          <w:tcPr>
            <w:tcW w:w="1620" w:type="dxa"/>
            <w:vAlign w:val="bottom"/>
          </w:tcPr>
          <w:p>
            <w:pPr>
              <w:jc w:val="right"/>
              <w:spacing w:after="0"/>
              <w:rPr>
                <w:rFonts w:ascii="Arial" w:cs="Arial" w:eastAsia="Arial" w:hAnsi="Arial"/>
                <w:sz w:val="18"/>
                <w:szCs w:val="18"/>
                <w:color w:val="0000FF"/>
              </w:rPr>
            </w:pPr>
            <w:hyperlink w:anchor="page87">
              <w:r>
                <w:rPr>
                  <w:rFonts w:ascii="Arial" w:cs="Arial" w:eastAsia="Arial" w:hAnsi="Arial"/>
                  <w:sz w:val="18"/>
                  <w:szCs w:val="18"/>
                  <w:color w:val="0000FF"/>
                </w:rPr>
                <w:t>84</w:t>
              </w:r>
            </w:hyperlink>
          </w:p>
        </w:tc>
      </w:tr>
      <w:tr>
        <w:trPr>
          <w:trHeight w:val="248"/>
        </w:trPr>
        <w:tc>
          <w:tcPr>
            <w:tcW w:w="2540" w:type="dxa"/>
            <w:vAlign w:val="bottom"/>
            <w:tcBorders>
              <w:bottom w:val="single" w:sz="8" w:color="0000FF"/>
            </w:tcBorders>
            <w:gridSpan w:val="10"/>
          </w:tcPr>
          <w:p>
            <w:pPr>
              <w:spacing w:after="0"/>
              <w:rPr>
                <w:rFonts w:ascii="Arial" w:cs="Arial" w:eastAsia="Arial" w:hAnsi="Arial"/>
                <w:sz w:val="18"/>
                <w:szCs w:val="18"/>
                <w:color w:val="0000FF"/>
                <w:w w:val="98"/>
              </w:rPr>
            </w:pPr>
            <w:hyperlink w:anchor="page88">
              <w:r>
                <w:rPr>
                  <w:rFonts w:ascii="Arial" w:cs="Arial" w:eastAsia="Arial" w:hAnsi="Arial"/>
                  <w:sz w:val="18"/>
                  <w:szCs w:val="18"/>
                  <w:color w:val="0000FF"/>
                  <w:w w:val="98"/>
                </w:rPr>
                <w:t>Defaults Upon Senior Securities</w:t>
              </w:r>
            </w:hyperlink>
          </w:p>
        </w:tc>
        <w:tc>
          <w:tcPr>
            <w:tcW w:w="5680" w:type="dxa"/>
            <w:vAlign w:val="bottom"/>
            <w:gridSpan w:val="8"/>
          </w:tcPr>
          <w:p>
            <w:pPr>
              <w:spacing w:after="0"/>
              <w:rPr>
                <w:sz w:val="21"/>
                <w:szCs w:val="21"/>
                <w:color w:val="auto"/>
              </w:rPr>
            </w:pPr>
          </w:p>
        </w:tc>
        <w:tc>
          <w:tcPr>
            <w:tcW w:w="1620" w:type="dxa"/>
            <w:vAlign w:val="bottom"/>
          </w:tcPr>
          <w:p>
            <w:pPr>
              <w:jc w:val="right"/>
              <w:spacing w:after="0"/>
              <w:rPr>
                <w:rFonts w:ascii="Arial" w:cs="Arial" w:eastAsia="Arial" w:hAnsi="Arial"/>
                <w:sz w:val="18"/>
                <w:szCs w:val="18"/>
                <w:color w:val="0000FF"/>
              </w:rPr>
            </w:pPr>
            <w:hyperlink w:anchor="page88">
              <w:r>
                <w:rPr>
                  <w:rFonts w:ascii="Arial" w:cs="Arial" w:eastAsia="Arial" w:hAnsi="Arial"/>
                  <w:sz w:val="18"/>
                  <w:szCs w:val="18"/>
                  <w:color w:val="0000FF"/>
                </w:rPr>
                <w:t>84</w:t>
              </w:r>
            </w:hyperlink>
          </w:p>
        </w:tc>
      </w:tr>
      <w:tr>
        <w:trPr>
          <w:trHeight w:val="248"/>
        </w:trPr>
        <w:tc>
          <w:tcPr>
            <w:tcW w:w="1920" w:type="dxa"/>
            <w:vAlign w:val="bottom"/>
            <w:tcBorders>
              <w:bottom w:val="single" w:sz="8" w:color="0000FF"/>
            </w:tcBorders>
            <w:gridSpan w:val="6"/>
          </w:tcPr>
          <w:p>
            <w:pPr>
              <w:spacing w:after="0"/>
              <w:rPr>
                <w:rFonts w:ascii="Arial" w:cs="Arial" w:eastAsia="Arial" w:hAnsi="Arial"/>
                <w:sz w:val="18"/>
                <w:szCs w:val="18"/>
                <w:color w:val="0000FF"/>
                <w:w w:val="98"/>
              </w:rPr>
            </w:pPr>
            <w:hyperlink w:anchor="page88">
              <w:r>
                <w:rPr>
                  <w:rFonts w:ascii="Arial" w:cs="Arial" w:eastAsia="Arial" w:hAnsi="Arial"/>
                  <w:sz w:val="18"/>
                  <w:szCs w:val="18"/>
                  <w:color w:val="0000FF"/>
                  <w:w w:val="98"/>
                </w:rPr>
                <w:t>Mine Safety Disclosures</w:t>
              </w:r>
            </w:hyperlink>
          </w:p>
        </w:tc>
        <w:tc>
          <w:tcPr>
            <w:tcW w:w="6300" w:type="dxa"/>
            <w:vAlign w:val="bottom"/>
            <w:gridSpan w:val="12"/>
          </w:tcPr>
          <w:p>
            <w:pPr>
              <w:spacing w:after="0"/>
              <w:rPr>
                <w:sz w:val="21"/>
                <w:szCs w:val="21"/>
                <w:color w:val="auto"/>
              </w:rPr>
            </w:pPr>
          </w:p>
        </w:tc>
        <w:tc>
          <w:tcPr>
            <w:tcW w:w="1620" w:type="dxa"/>
            <w:vAlign w:val="bottom"/>
          </w:tcPr>
          <w:p>
            <w:pPr>
              <w:jc w:val="right"/>
              <w:spacing w:after="0"/>
              <w:rPr>
                <w:rFonts w:ascii="Arial" w:cs="Arial" w:eastAsia="Arial" w:hAnsi="Arial"/>
                <w:sz w:val="18"/>
                <w:szCs w:val="18"/>
                <w:color w:val="0000FF"/>
              </w:rPr>
            </w:pPr>
            <w:hyperlink w:anchor="page88">
              <w:r>
                <w:rPr>
                  <w:rFonts w:ascii="Arial" w:cs="Arial" w:eastAsia="Arial" w:hAnsi="Arial"/>
                  <w:sz w:val="18"/>
                  <w:szCs w:val="18"/>
                  <w:color w:val="0000FF"/>
                </w:rPr>
                <w:t>84</w:t>
              </w:r>
            </w:hyperlink>
          </w:p>
        </w:tc>
      </w:tr>
      <w:tr>
        <w:trPr>
          <w:trHeight w:val="234"/>
        </w:trPr>
        <w:tc>
          <w:tcPr>
            <w:tcW w:w="1400" w:type="dxa"/>
            <w:vAlign w:val="bottom"/>
            <w:tcBorders>
              <w:bottom w:val="single" w:sz="8" w:color="0000FF"/>
            </w:tcBorders>
            <w:gridSpan w:val="3"/>
          </w:tcPr>
          <w:p>
            <w:pPr>
              <w:spacing w:after="0"/>
              <w:rPr>
                <w:rFonts w:ascii="Arial" w:cs="Arial" w:eastAsia="Arial" w:hAnsi="Arial"/>
                <w:sz w:val="18"/>
                <w:szCs w:val="18"/>
                <w:color w:val="0000FF"/>
                <w:w w:val="98"/>
              </w:rPr>
            </w:pPr>
            <w:hyperlink w:anchor="page88">
              <w:r>
                <w:rPr>
                  <w:rFonts w:ascii="Arial" w:cs="Arial" w:eastAsia="Arial" w:hAnsi="Arial"/>
                  <w:sz w:val="18"/>
                  <w:szCs w:val="18"/>
                  <w:color w:val="0000FF"/>
                  <w:w w:val="98"/>
                </w:rPr>
                <w:t>Other Information</w:t>
              </w:r>
            </w:hyperlink>
          </w:p>
        </w:tc>
        <w:tc>
          <w:tcPr>
            <w:tcW w:w="6820" w:type="dxa"/>
            <w:vAlign w:val="bottom"/>
            <w:gridSpan w:val="15"/>
          </w:tcPr>
          <w:p>
            <w:pPr>
              <w:spacing w:after="0"/>
              <w:rPr>
                <w:sz w:val="20"/>
                <w:szCs w:val="20"/>
                <w:color w:val="auto"/>
              </w:rPr>
            </w:pPr>
          </w:p>
        </w:tc>
        <w:tc>
          <w:tcPr>
            <w:tcW w:w="1620" w:type="dxa"/>
            <w:vAlign w:val="bottom"/>
          </w:tcPr>
          <w:p>
            <w:pPr>
              <w:jc w:val="right"/>
              <w:spacing w:after="0"/>
              <w:rPr>
                <w:rFonts w:ascii="Arial" w:cs="Arial" w:eastAsia="Arial" w:hAnsi="Arial"/>
                <w:sz w:val="18"/>
                <w:szCs w:val="18"/>
                <w:color w:val="0000FF"/>
              </w:rPr>
            </w:pPr>
            <w:hyperlink w:anchor="page88">
              <w:r>
                <w:rPr>
                  <w:rFonts w:ascii="Arial" w:cs="Arial" w:eastAsia="Arial" w:hAnsi="Arial"/>
                  <w:sz w:val="18"/>
                  <w:szCs w:val="18"/>
                  <w:color w:val="0000FF"/>
                </w:rPr>
                <w:t>84</w:t>
              </w:r>
            </w:hyperlink>
          </w:p>
        </w:tc>
      </w:tr>
      <w:tr>
        <w:trPr>
          <w:trHeight w:val="221"/>
        </w:trPr>
        <w:tc>
          <w:tcPr>
            <w:tcW w:w="8220" w:type="dxa"/>
            <w:vAlign w:val="bottom"/>
            <w:gridSpan w:val="18"/>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Exhibits</w:t>
              </w:r>
            </w:hyperlink>
          </w:p>
        </w:tc>
        <w:tc>
          <w:tcPr>
            <w:tcW w:w="1620" w:type="dxa"/>
            <w:vAlign w:val="bottom"/>
          </w:tcPr>
          <w:p>
            <w:pPr>
              <w:jc w:val="right"/>
              <w:spacing w:after="0"/>
              <w:rPr>
                <w:rFonts w:ascii="Arial" w:cs="Arial" w:eastAsia="Arial" w:hAnsi="Arial"/>
                <w:sz w:val="18"/>
                <w:szCs w:val="18"/>
                <w:color w:val="0000FF"/>
              </w:rPr>
            </w:pPr>
            <w:hyperlink w:anchor="page88">
              <w:r>
                <w:rPr>
                  <w:rFonts w:ascii="Arial" w:cs="Arial" w:eastAsia="Arial" w:hAnsi="Arial"/>
                  <w:sz w:val="18"/>
                  <w:szCs w:val="18"/>
                  <w:color w:val="0000FF"/>
                </w:rPr>
                <w:t>85</w:t>
              </w:r>
            </w:hyperlink>
          </w:p>
        </w:tc>
      </w:tr>
      <w:tr>
        <w:trPr>
          <w:trHeight w:val="20"/>
        </w:trPr>
        <w:tc>
          <w:tcPr>
            <w:tcW w:w="6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1101090</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2">
            <w:col w:w="840" w:space="460"/>
            <w:col w:w="9840"/>
          </w:cols>
          <w:pgMar w:left="380" w:top="1121" w:right="3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68"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ARCUTIS BIOTHERAPEUTICS, INC.</w:t>
      </w:r>
    </w:p>
    <w:p>
      <w:pPr>
        <w:spacing w:after="0" w:line="6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Condensed Balance Sheets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par value)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6"/>
                <w:szCs w:val="16"/>
                <w:color w:val="auto"/>
              </w:rPr>
            </w:pPr>
          </w:p>
        </w:tc>
        <w:tc>
          <w:tcPr>
            <w:tcW w:w="1160" w:type="dxa"/>
            <w:vAlign w:val="bottom"/>
          </w:tcPr>
          <w:p>
            <w:pPr>
              <w:jc w:val="right"/>
              <w:ind w:right="112"/>
              <w:spacing w:after="0"/>
              <w:rPr>
                <w:sz w:val="20"/>
                <w:szCs w:val="20"/>
                <w:color w:val="auto"/>
              </w:rPr>
            </w:pPr>
            <w:r>
              <w:rPr>
                <w:rFonts w:ascii="Arial" w:cs="Arial" w:eastAsia="Arial" w:hAnsi="Arial"/>
                <w:sz w:val="14"/>
                <w:szCs w:val="14"/>
                <w:b w:val="1"/>
                <w:bCs w:val="1"/>
                <w:color w:val="auto"/>
              </w:rPr>
              <w:t>December 31,</w:t>
            </w:r>
          </w:p>
        </w:tc>
      </w:tr>
      <w:tr>
        <w:trPr>
          <w:trHeight w:val="181"/>
        </w:trPr>
        <w:tc>
          <w:tcPr>
            <w:tcW w:w="848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r>
      <w:tr>
        <w:trPr>
          <w:trHeight w:val="156"/>
        </w:trPr>
        <w:tc>
          <w:tcPr>
            <w:tcW w:w="8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ind w:right="133"/>
              <w:spacing w:after="0"/>
              <w:rPr>
                <w:sz w:val="20"/>
                <w:szCs w:val="20"/>
                <w:color w:val="auto"/>
              </w:rPr>
            </w:pPr>
            <w:r>
              <w:rPr>
                <w:rFonts w:ascii="Arial" w:cs="Arial" w:eastAsia="Arial" w:hAnsi="Arial"/>
                <w:sz w:val="12"/>
                <w:szCs w:val="12"/>
                <w:b w:val="1"/>
                <w:bCs w:val="1"/>
                <w:color w:val="auto"/>
              </w:rPr>
              <w:t>(unaudited)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38"/>
        </w:trPr>
        <w:tc>
          <w:tcPr>
            <w:tcW w:w="84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8"/>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7"/>
        </w:trPr>
        <w:tc>
          <w:tcPr>
            <w:tcW w:w="848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89,128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65,082</w:t>
            </w:r>
          </w:p>
        </w:tc>
      </w:tr>
      <w:tr>
        <w:trPr>
          <w:trHeight w:val="228"/>
        </w:trPr>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w:t>
            </w:r>
          </w:p>
        </w:tc>
      </w:tr>
      <w:tr>
        <w:trPr>
          <w:trHeight w:val="227"/>
        </w:trPr>
        <w:tc>
          <w:tcPr>
            <w:tcW w:w="8480" w:type="dxa"/>
            <w:vAlign w:val="bottom"/>
          </w:tcPr>
          <w:p>
            <w:pPr>
              <w:ind w:left="34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320,236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219,359</w:t>
            </w:r>
          </w:p>
        </w:tc>
      </w:tr>
      <w:tr>
        <w:trPr>
          <w:trHeight w:val="228"/>
        </w:trPr>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6,843</w:t>
            </w:r>
          </w:p>
        </w:tc>
      </w:tr>
      <w:tr>
        <w:trPr>
          <w:trHeight w:val="220"/>
        </w:trPr>
        <w:tc>
          <w:tcPr>
            <w:tcW w:w="8480" w:type="dxa"/>
            <w:vAlign w:val="bottom"/>
          </w:tcPr>
          <w:p>
            <w:pPr>
              <w:ind w:left="66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427,554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292,826</w:t>
            </w:r>
          </w:p>
        </w:tc>
      </w:tr>
      <w:tr>
        <w:trPr>
          <w:trHeight w:val="228"/>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r>
      <w:tr>
        <w:trPr>
          <w:trHeight w:val="227"/>
        </w:trPr>
        <w:tc>
          <w:tcPr>
            <w:tcW w:w="8480" w:type="dxa"/>
            <w:vAlign w:val="bottom"/>
          </w:tcPr>
          <w:p>
            <w:pPr>
              <w:ind w:left="20"/>
              <w:spacing w:after="0"/>
              <w:rPr>
                <w:sz w:val="20"/>
                <w:szCs w:val="20"/>
                <w:color w:val="auto"/>
              </w:rPr>
            </w:pPr>
            <w:r>
              <w:rPr>
                <w:rFonts w:ascii="Arial" w:cs="Arial" w:eastAsia="Arial" w:hAnsi="Arial"/>
                <w:sz w:val="18"/>
                <w:szCs w:val="18"/>
                <w:color w:val="auto"/>
              </w:rPr>
              <w:t>Operating lease right-of-use asset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3,349</w:t>
            </w:r>
          </w:p>
        </w:tc>
      </w:tr>
      <w:tr>
        <w:trPr>
          <w:trHeight w:val="228"/>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20"/>
        </w:trPr>
        <w:tc>
          <w:tcPr>
            <w:tcW w:w="84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432,892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298,269</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5"/>
        </w:trPr>
        <w:tc>
          <w:tcPr>
            <w:tcW w:w="84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27"/>
        </w:trPr>
        <w:tc>
          <w:tcPr>
            <w:tcW w:w="84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8"/>
        </w:trPr>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7,140</w:t>
            </w:r>
          </w:p>
        </w:tc>
      </w:tr>
      <w:tr>
        <w:trPr>
          <w:trHeight w:val="227"/>
        </w:trPr>
        <w:tc>
          <w:tcPr>
            <w:tcW w:w="848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15,462</w:t>
            </w:r>
          </w:p>
        </w:tc>
      </w:tr>
      <w:tr>
        <w:trPr>
          <w:trHeight w:val="228"/>
        </w:trPr>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liability</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848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22,602</w:t>
            </w:r>
          </w:p>
        </w:tc>
      </w:tr>
      <w:tr>
        <w:trPr>
          <w:trHeight w:val="228"/>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liability, noncurrent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4,964</w:t>
            </w:r>
          </w:p>
        </w:tc>
      </w:tr>
      <w:tr>
        <w:trPr>
          <w:trHeight w:val="227"/>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r>
      <w:tr>
        <w:trPr>
          <w:trHeight w:val="222"/>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27,648</w:t>
            </w:r>
          </w:p>
        </w:tc>
      </w:tr>
      <w:tr>
        <w:trPr>
          <w:trHeight w:val="207"/>
        </w:trPr>
        <w:tc>
          <w:tcPr>
            <w:tcW w:w="8480" w:type="dxa"/>
            <w:vAlign w:val="bottom"/>
          </w:tcPr>
          <w:p>
            <w:pPr>
              <w:ind w:left="20"/>
              <w:spacing w:after="0"/>
              <w:rPr>
                <w:sz w:val="20"/>
                <w:szCs w:val="20"/>
                <w:color w:val="auto"/>
              </w:rPr>
            </w:pPr>
            <w:r>
              <w:rPr>
                <w:rFonts w:ascii="Arial" w:cs="Arial" w:eastAsia="Arial" w:hAnsi="Arial"/>
                <w:sz w:val="18"/>
                <w:szCs w:val="18"/>
                <w:color w:val="auto"/>
              </w:rPr>
              <w:t>Commitments and contingencies (Note 7)</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8"/>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187"/>
        </w:trPr>
        <w:tc>
          <w:tcPr>
            <w:tcW w:w="8480" w:type="dxa"/>
            <w:vAlign w:val="bottom"/>
          </w:tcPr>
          <w:p>
            <w:pPr>
              <w:ind w:left="500"/>
              <w:spacing w:after="0" w:line="187" w:lineRule="exact"/>
              <w:rPr>
                <w:sz w:val="20"/>
                <w:szCs w:val="20"/>
                <w:color w:val="auto"/>
              </w:rPr>
            </w:pPr>
            <w:r>
              <w:rPr>
                <w:rFonts w:ascii="Arial" w:cs="Arial" w:eastAsia="Arial" w:hAnsi="Arial"/>
                <w:sz w:val="18"/>
                <w:szCs w:val="18"/>
                <w:color w:val="auto"/>
              </w:rPr>
              <w:t>Preferred stock, $0.0001 par value; 10,000,000 shares authorized at June 30, 2021 and December</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4"/>
        </w:trPr>
        <w:tc>
          <w:tcPr>
            <w:tcW w:w="8480" w:type="dxa"/>
            <w:vAlign w:val="bottom"/>
          </w:tcPr>
          <w:p>
            <w:pPr>
              <w:ind w:left="500"/>
              <w:spacing w:after="0"/>
              <w:rPr>
                <w:sz w:val="20"/>
                <w:szCs w:val="20"/>
                <w:color w:val="auto"/>
              </w:rPr>
            </w:pPr>
            <w:r>
              <w:rPr>
                <w:rFonts w:ascii="Arial" w:cs="Arial" w:eastAsia="Arial" w:hAnsi="Arial"/>
                <w:sz w:val="18"/>
                <w:szCs w:val="18"/>
                <w:color w:val="auto"/>
              </w:rPr>
              <w:t>31, 2020; no shares issued and outstanding at June 30, 2021 and December 31, 2020;</w:t>
            </w:r>
          </w:p>
        </w:tc>
        <w:tc>
          <w:tcPr>
            <w:tcW w:w="2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7"/>
        </w:trPr>
        <w:tc>
          <w:tcPr>
            <w:tcW w:w="8480" w:type="dxa"/>
            <w:vAlign w:val="bottom"/>
            <w:shd w:val="clear" w:color="auto" w:fill="CCEEFF"/>
          </w:tcPr>
          <w:p>
            <w:pPr>
              <w:ind w:left="500"/>
              <w:spacing w:after="0" w:line="188" w:lineRule="exact"/>
              <w:rPr>
                <w:sz w:val="20"/>
                <w:szCs w:val="20"/>
                <w:color w:val="auto"/>
              </w:rPr>
            </w:pPr>
            <w:r>
              <w:rPr>
                <w:rFonts w:ascii="Arial" w:cs="Arial" w:eastAsia="Arial" w:hAnsi="Arial"/>
                <w:sz w:val="18"/>
                <w:szCs w:val="18"/>
                <w:color w:val="auto"/>
              </w:rPr>
              <w:t>Common stock, $0.0001 par value; 300,000,000 shares authorized at June 30, 2021 and</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74"/>
        </w:trPr>
        <w:tc>
          <w:tcPr>
            <w:tcW w:w="8480" w:type="dxa"/>
            <w:vAlign w:val="bottom"/>
            <w:shd w:val="clear" w:color="auto" w:fill="CCEEFF"/>
          </w:tcPr>
          <w:p>
            <w:pPr>
              <w:ind w:left="500"/>
              <w:spacing w:after="0" w:line="174" w:lineRule="exact"/>
              <w:rPr>
                <w:sz w:val="20"/>
                <w:szCs w:val="20"/>
                <w:color w:val="auto"/>
              </w:rPr>
            </w:pPr>
            <w:r>
              <w:rPr>
                <w:rFonts w:ascii="Arial" w:cs="Arial" w:eastAsia="Arial" w:hAnsi="Arial"/>
                <w:sz w:val="18"/>
                <w:szCs w:val="18"/>
                <w:color w:val="auto"/>
                <w:w w:val="99"/>
              </w:rPr>
              <w:t>December 31, 2020; 50,231,433 and 43,677,817 shares issued at June 30, 2021 and December 31,</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74"/>
        </w:trPr>
        <w:tc>
          <w:tcPr>
            <w:tcW w:w="8480" w:type="dxa"/>
            <w:vAlign w:val="bottom"/>
            <w:shd w:val="clear" w:color="auto" w:fill="CCEEFF"/>
          </w:tcPr>
          <w:p>
            <w:pPr>
              <w:ind w:left="500"/>
              <w:spacing w:after="0" w:line="174" w:lineRule="exact"/>
              <w:rPr>
                <w:sz w:val="20"/>
                <w:szCs w:val="20"/>
                <w:color w:val="auto"/>
              </w:rPr>
            </w:pPr>
            <w:r>
              <w:rPr>
                <w:rFonts w:ascii="Arial" w:cs="Arial" w:eastAsia="Arial" w:hAnsi="Arial"/>
                <w:sz w:val="18"/>
                <w:szCs w:val="18"/>
                <w:color w:val="auto"/>
              </w:rPr>
              <w:t>2020, respectively; 50,045,602 and 43,338,438 shares outstanding at June 30, 2021 and</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15"/>
        </w:trPr>
        <w:tc>
          <w:tcPr>
            <w:tcW w:w="84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December 31, 2020, respectively</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7"/>
        </w:trPr>
        <w:tc>
          <w:tcPr>
            <w:tcW w:w="848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694,519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472,569</w:t>
            </w:r>
          </w:p>
        </w:tc>
      </w:tr>
      <w:tr>
        <w:trPr>
          <w:trHeight w:val="228"/>
        </w:trPr>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7"/>
        </w:trPr>
        <w:tc>
          <w:tcPr>
            <w:tcW w:w="84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(280,000)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(201,950)</w:t>
            </w:r>
          </w:p>
        </w:tc>
      </w:tr>
      <w:tr>
        <w:trPr>
          <w:trHeight w:val="222"/>
        </w:trPr>
        <w:tc>
          <w:tcPr>
            <w:tcW w:w="84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414,488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270,621</w:t>
            </w:r>
          </w:p>
        </w:tc>
      </w:tr>
      <w:tr>
        <w:trPr>
          <w:trHeight w:val="220"/>
        </w:trPr>
        <w:tc>
          <w:tcPr>
            <w:tcW w:w="848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432,892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298,269</w:t>
            </w:r>
          </w:p>
        </w:tc>
      </w:tr>
      <w:tr>
        <w:trPr>
          <w:trHeight w:val="21"/>
        </w:trPr>
        <w:tc>
          <w:tcPr>
            <w:tcW w:w="8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1"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ARCUTIS BIOTHERAPEUTICS, INC.</w:t>
      </w:r>
    </w:p>
    <w:p>
      <w:pPr>
        <w:spacing w:after="0" w:line="61"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84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1"/>
        </w:trPr>
        <w:tc>
          <w:tcPr>
            <w:tcW w:w="514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8"/>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51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30,765</w:t>
            </w:r>
          </w:p>
        </w:tc>
        <w:tc>
          <w:tcPr>
            <w:tcW w:w="100" w:type="dxa"/>
            <w:vAlign w:val="bottom"/>
          </w:tcPr>
          <w:p>
            <w:pPr>
              <w:spacing w:after="0"/>
              <w:rPr>
                <w:sz w:val="23"/>
                <w:szCs w:val="23"/>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30,009</w:t>
            </w:r>
          </w:p>
        </w:tc>
        <w:tc>
          <w:tcPr>
            <w:tcW w:w="160" w:type="dxa"/>
            <w:vAlign w:val="bottom"/>
          </w:tcPr>
          <w:p>
            <w:pPr>
              <w:spacing w:after="0"/>
              <w:rPr>
                <w:sz w:val="23"/>
                <w:szCs w:val="23"/>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52,396</w:t>
            </w:r>
          </w:p>
        </w:tc>
        <w:tc>
          <w:tcPr>
            <w:tcW w:w="100" w:type="dxa"/>
            <w:vAlign w:val="bottom"/>
          </w:tcPr>
          <w:p>
            <w:pPr>
              <w:spacing w:after="0"/>
              <w:rPr>
                <w:sz w:val="23"/>
                <w:szCs w:val="23"/>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55,191</w:t>
            </w:r>
          </w:p>
        </w:tc>
        <w:tc>
          <w:tcPr>
            <w:tcW w:w="0" w:type="dxa"/>
            <w:vAlign w:val="bottom"/>
          </w:tcPr>
          <w:p>
            <w:pPr>
              <w:spacing w:after="0"/>
              <w:rPr>
                <w:sz w:val="1"/>
                <w:szCs w:val="1"/>
                <w:color w:val="auto"/>
              </w:rPr>
            </w:pPr>
          </w:p>
        </w:tc>
      </w:tr>
      <w:tr>
        <w:trPr>
          <w:trHeight w:val="269"/>
        </w:trPr>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5,618</w:t>
            </w:r>
          </w:p>
        </w:tc>
        <w:tc>
          <w:tcPr>
            <w:tcW w:w="16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25,769</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9,087</w:t>
            </w:r>
          </w:p>
        </w:tc>
        <w:tc>
          <w:tcPr>
            <w:tcW w:w="0" w:type="dxa"/>
            <w:vAlign w:val="bottom"/>
          </w:tcPr>
          <w:p>
            <w:pPr>
              <w:spacing w:after="0"/>
              <w:rPr>
                <w:sz w:val="1"/>
                <w:szCs w:val="1"/>
                <w:color w:val="auto"/>
              </w:rPr>
            </w:pPr>
          </w:p>
        </w:tc>
      </w:tr>
      <w:tr>
        <w:trPr>
          <w:trHeight w:val="247"/>
        </w:trPr>
        <w:tc>
          <w:tcPr>
            <w:tcW w:w="514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42,080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35,627</w:t>
            </w:r>
          </w:p>
        </w:tc>
        <w:tc>
          <w:tcPr>
            <w:tcW w:w="1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78,165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64,278</w:t>
            </w:r>
          </w:p>
        </w:tc>
        <w:tc>
          <w:tcPr>
            <w:tcW w:w="0" w:type="dxa"/>
            <w:vAlign w:val="bottom"/>
          </w:tcPr>
          <w:p>
            <w:pPr>
              <w:spacing w:after="0"/>
              <w:rPr>
                <w:sz w:val="1"/>
                <w:szCs w:val="1"/>
                <w:color w:val="auto"/>
              </w:rPr>
            </w:pPr>
          </w:p>
        </w:tc>
      </w:tr>
      <w:tr>
        <w:trPr>
          <w:trHeight w:val="24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(35,627)</w:t>
            </w:r>
          </w:p>
        </w:tc>
        <w:tc>
          <w:tcPr>
            <w:tcW w:w="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(78,165)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(64,278)</w:t>
            </w:r>
          </w:p>
        </w:tc>
        <w:tc>
          <w:tcPr>
            <w:tcW w:w="0" w:type="dxa"/>
            <w:vAlign w:val="bottom"/>
          </w:tcPr>
          <w:p>
            <w:pPr>
              <w:spacing w:after="0"/>
              <w:rPr>
                <w:sz w:val="1"/>
                <w:szCs w:val="1"/>
                <w:color w:val="auto"/>
              </w:rPr>
            </w:pPr>
          </w:p>
        </w:tc>
      </w:tr>
      <w:tr>
        <w:trPr>
          <w:trHeight w:val="267"/>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6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46"/>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(42,008)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(35,412)</w:t>
            </w:r>
          </w:p>
        </w:tc>
        <w:tc>
          <w:tcPr>
            <w:tcW w:w="1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(78,050)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(63,425)</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1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gains on marketable securities</w:t>
            </w: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1"/>
        </w:trPr>
        <w:tc>
          <w:tcPr>
            <w:tcW w:w="514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(42,086)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(35,431)</w:t>
            </w: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(78,084)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(63,424)</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140" w:type="dxa"/>
            <w:vAlign w:val="bottom"/>
            <w:shd w:val="clear" w:color="auto" w:fill="CCEEFF"/>
          </w:tcPr>
          <w:p>
            <w:pPr>
              <w:ind w:left="20"/>
              <w:spacing w:after="0" w:line="194" w:lineRule="exact"/>
              <w:rPr>
                <w:sz w:val="20"/>
                <w:szCs w:val="20"/>
                <w:color w:val="auto"/>
              </w:rPr>
            </w:pPr>
            <w:r>
              <w:rPr>
                <w:rFonts w:ascii="Arial" w:cs="Arial" w:eastAsia="Arial" w:hAnsi="Arial"/>
                <w:sz w:val="18"/>
                <w:szCs w:val="18"/>
                <w:color w:val="auto"/>
              </w:rPr>
              <w:t>Per share information:</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5140" w:type="dxa"/>
            <w:vAlign w:val="bottom"/>
          </w:tcPr>
          <w:p>
            <w:pPr>
              <w:ind w:left="340"/>
              <w:spacing w:after="0"/>
              <w:rPr>
                <w:sz w:val="20"/>
                <w:szCs w:val="20"/>
                <w:color w:val="auto"/>
              </w:rPr>
            </w:pPr>
            <w:r>
              <w:rPr>
                <w:rFonts w:ascii="Arial" w:cs="Arial" w:eastAsia="Arial" w:hAnsi="Arial"/>
                <w:sz w:val="18"/>
                <w:szCs w:val="18"/>
                <w:color w:val="auto"/>
              </w:rPr>
              <w:t>Net loss per share, basic and diluted</w:t>
            </w: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(0.94)</w:t>
            </w: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5140" w:type="dxa"/>
            <w:vAlign w:val="bottom"/>
            <w:shd w:val="clear" w:color="auto" w:fill="CCEEFF"/>
          </w:tcPr>
          <w:p>
            <w:pPr>
              <w:ind w:left="340"/>
              <w:spacing w:after="0" w:line="154" w:lineRule="exact"/>
              <w:rPr>
                <w:sz w:val="20"/>
                <w:szCs w:val="20"/>
                <w:color w:val="auto"/>
              </w:rPr>
            </w:pPr>
            <w:r>
              <w:rPr>
                <w:rFonts w:ascii="Arial" w:cs="Arial" w:eastAsia="Arial" w:hAnsi="Arial"/>
                <w:sz w:val="17"/>
                <w:szCs w:val="17"/>
                <w:color w:val="auto"/>
              </w:rPr>
              <w:t>Weighted-average shares used in computing net loss per</w:t>
            </w:r>
          </w:p>
        </w:tc>
        <w:tc>
          <w:tcPr>
            <w:tcW w:w="2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50,000,716</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37,587,330</w:t>
            </w:r>
          </w:p>
        </w:tc>
        <w:tc>
          <w:tcPr>
            <w:tcW w:w="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48,648,262</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30,921,866</w:t>
            </w:r>
          </w:p>
        </w:tc>
        <w:tc>
          <w:tcPr>
            <w:tcW w:w="0" w:type="dxa"/>
            <w:vAlign w:val="bottom"/>
          </w:tcPr>
          <w:p>
            <w:pPr>
              <w:spacing w:after="0"/>
              <w:rPr>
                <w:sz w:val="1"/>
                <w:szCs w:val="1"/>
                <w:color w:val="auto"/>
              </w:rPr>
            </w:pPr>
          </w:p>
        </w:tc>
      </w:tr>
      <w:tr>
        <w:trPr>
          <w:trHeight w:val="208"/>
        </w:trPr>
        <w:tc>
          <w:tcPr>
            <w:tcW w:w="5140" w:type="dxa"/>
            <w:vAlign w:val="bottom"/>
            <w:tcBorders>
              <w:bottom w:val="single" w:sz="8" w:color="CCEEFF"/>
            </w:tcBorders>
            <w:shd w:val="clear" w:color="auto" w:fill="CCEEFF"/>
          </w:tcPr>
          <w:p>
            <w:pPr>
              <w:ind w:left="340"/>
              <w:spacing w:after="0" w:line="189" w:lineRule="exact"/>
              <w:rPr>
                <w:sz w:val="20"/>
                <w:szCs w:val="20"/>
                <w:color w:val="auto"/>
              </w:rPr>
            </w:pPr>
            <w:r>
              <w:rPr>
                <w:rFonts w:ascii="Arial" w:cs="Arial" w:eastAsia="Arial" w:hAnsi="Arial"/>
                <w:sz w:val="18"/>
                <w:szCs w:val="18"/>
                <w:color w:val="auto"/>
              </w:rPr>
              <w:t>share, basic and diluted</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46"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ARCUTIS BIOTHERAPEUTICS, INC.</w:t>
      </w:r>
    </w:p>
    <w:p>
      <w:pPr>
        <w:spacing w:after="0" w:line="10"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Condensed Statements of Convertible Preferred Stock and Stockholders’ Equity (Deficit)</w:t>
      </w:r>
    </w:p>
    <w:p>
      <w:pPr>
        <w:jc w:val="center"/>
        <w:spacing w:after="0" w:line="201" w:lineRule="auto"/>
        <w:rPr>
          <w:sz w:val="20"/>
          <w:szCs w:val="20"/>
          <w:color w:val="auto"/>
        </w:rPr>
      </w:pPr>
      <w:r>
        <w:rPr>
          <w:rFonts w:ascii="Arial" w:cs="Arial" w:eastAsia="Arial" w:hAnsi="Arial"/>
          <w:sz w:val="18"/>
          <w:szCs w:val="18"/>
          <w:b w:val="1"/>
          <w:bCs w:val="1"/>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2680" w:type="dxa"/>
            <w:vAlign w:val="bottom"/>
          </w:tcPr>
          <w:p>
            <w:pPr>
              <w:spacing w:after="0"/>
              <w:rPr>
                <w:sz w:val="23"/>
                <w:szCs w:val="23"/>
                <w:color w:val="auto"/>
              </w:rPr>
            </w:pPr>
          </w:p>
        </w:tc>
        <w:tc>
          <w:tcPr>
            <w:tcW w:w="1340" w:type="dxa"/>
            <w:vAlign w:val="bottom"/>
            <w:gridSpan w:val="3"/>
          </w:tcPr>
          <w:p>
            <w:pPr>
              <w:jc w:val="center"/>
              <w:ind w:left="631"/>
              <w:spacing w:after="0"/>
              <w:rPr>
                <w:sz w:val="20"/>
                <w:szCs w:val="20"/>
                <w:color w:val="auto"/>
              </w:rPr>
            </w:pPr>
            <w:r>
              <w:rPr>
                <w:rFonts w:ascii="Arial" w:cs="Arial" w:eastAsia="Arial" w:hAnsi="Arial"/>
                <w:sz w:val="11"/>
                <w:szCs w:val="11"/>
                <w:b w:val="1"/>
                <w:bCs w:val="1"/>
                <w:color w:val="auto"/>
                <w:w w:val="99"/>
              </w:rPr>
              <w:t>Convertible</w:t>
            </w:r>
          </w:p>
        </w:tc>
        <w:tc>
          <w:tcPr>
            <w:tcW w:w="70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800" w:type="dxa"/>
            <w:vAlign w:val="bottom"/>
            <w:gridSpan w:val="3"/>
            <w:vMerge w:val="restart"/>
          </w:tcPr>
          <w:p>
            <w:pPr>
              <w:jc w:val="right"/>
              <w:ind w:right="313"/>
              <w:spacing w:after="0"/>
              <w:rPr>
                <w:sz w:val="20"/>
                <w:szCs w:val="20"/>
                <w:color w:val="auto"/>
              </w:rPr>
            </w:pPr>
            <w:r>
              <w:rPr>
                <w:rFonts w:ascii="Arial" w:cs="Arial" w:eastAsia="Arial" w:hAnsi="Arial"/>
                <w:sz w:val="11"/>
                <w:szCs w:val="11"/>
                <w:b w:val="1"/>
                <w:bCs w:val="1"/>
                <w:color w:val="auto"/>
              </w:rPr>
              <w:t>Common Stock</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4"/>
        </w:trPr>
        <w:tc>
          <w:tcPr>
            <w:tcW w:w="2680" w:type="dxa"/>
            <w:vAlign w:val="bottom"/>
          </w:tcPr>
          <w:p>
            <w:pPr>
              <w:spacing w:after="0"/>
              <w:rPr>
                <w:sz w:val="13"/>
                <w:szCs w:val="13"/>
                <w:color w:val="auto"/>
              </w:rPr>
            </w:pPr>
          </w:p>
        </w:tc>
        <w:tc>
          <w:tcPr>
            <w:tcW w:w="214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1"/>
                <w:szCs w:val="11"/>
                <w:b w:val="1"/>
                <w:bCs w:val="1"/>
                <w:color w:val="auto"/>
                <w:w w:val="97"/>
              </w:rPr>
              <w:t>Preferred Stock</w:t>
            </w:r>
          </w:p>
        </w:tc>
        <w:tc>
          <w:tcPr>
            <w:tcW w:w="60" w:type="dxa"/>
            <w:vAlign w:val="bottom"/>
          </w:tcPr>
          <w:p>
            <w:pPr>
              <w:spacing w:after="0"/>
              <w:rPr>
                <w:sz w:val="13"/>
                <w:szCs w:val="13"/>
                <w:color w:val="auto"/>
              </w:rPr>
            </w:pPr>
          </w:p>
        </w:tc>
        <w:tc>
          <w:tcPr>
            <w:tcW w:w="180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8"/>
              </w:rPr>
              <w:t>Accumulated</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680" w:type="dxa"/>
            <w:vAlign w:val="bottom"/>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6"/>
              </w:rPr>
              <w:t>Additional</w:t>
            </w:r>
          </w:p>
        </w:tc>
        <w:tc>
          <w:tcPr>
            <w:tcW w:w="10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26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tcPr>
          <w:p>
            <w:pPr>
              <w:jc w:val="center"/>
              <w:ind w:right="200"/>
              <w:spacing w:after="0" w:line="107" w:lineRule="exact"/>
              <w:rPr>
                <w:sz w:val="20"/>
                <w:szCs w:val="20"/>
                <w:color w:val="auto"/>
              </w:rPr>
            </w:pPr>
            <w:r>
              <w:rPr>
                <w:rFonts w:ascii="Arial" w:cs="Arial" w:eastAsia="Arial" w:hAnsi="Arial"/>
                <w:sz w:val="11"/>
                <w:szCs w:val="11"/>
                <w:b w:val="1"/>
                <w:bCs w:val="1"/>
                <w:color w:val="auto"/>
                <w:w w:val="95"/>
              </w:rPr>
              <w:t>Other</w:t>
            </w:r>
          </w:p>
        </w:tc>
        <w:tc>
          <w:tcPr>
            <w:tcW w:w="120" w:type="dxa"/>
            <w:vAlign w:val="bottom"/>
          </w:tcPr>
          <w:p>
            <w:pPr>
              <w:spacing w:after="0"/>
              <w:rPr>
                <w:sz w:val="9"/>
                <w:szCs w:val="9"/>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Accumulated</w:t>
            </w:r>
          </w:p>
        </w:tc>
        <w:tc>
          <w:tcPr>
            <w:tcW w:w="10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w w:val="97"/>
              </w:rPr>
              <w:t>Total Stockholders’</w:t>
            </w:r>
          </w:p>
        </w:tc>
        <w:tc>
          <w:tcPr>
            <w:tcW w:w="0" w:type="dxa"/>
            <w:vAlign w:val="bottom"/>
          </w:tcPr>
          <w:p>
            <w:pPr>
              <w:spacing w:after="0"/>
              <w:rPr>
                <w:sz w:val="1"/>
                <w:szCs w:val="1"/>
                <w:color w:val="auto"/>
              </w:rPr>
            </w:pPr>
          </w:p>
        </w:tc>
      </w:tr>
      <w:tr>
        <w:trPr>
          <w:trHeight w:val="107"/>
        </w:trPr>
        <w:tc>
          <w:tcPr>
            <w:tcW w:w="2680" w:type="dxa"/>
            <w:vAlign w:val="bottom"/>
          </w:tcPr>
          <w:p>
            <w:pPr>
              <w:spacing w:after="0"/>
              <w:rPr>
                <w:sz w:val="9"/>
                <w:szCs w:val="9"/>
                <w:color w:val="auto"/>
              </w:rPr>
            </w:pPr>
          </w:p>
        </w:tc>
        <w:tc>
          <w:tcPr>
            <w:tcW w:w="980" w:type="dxa"/>
            <w:vAlign w:val="bottom"/>
            <w:vMerge w:val="restart"/>
          </w:tcPr>
          <w:p>
            <w:pPr>
              <w:jc w:val="right"/>
              <w:ind w:right="231"/>
              <w:spacing w:after="0"/>
              <w:rPr>
                <w:sz w:val="20"/>
                <w:szCs w:val="20"/>
                <w:color w:val="auto"/>
              </w:rPr>
            </w:pPr>
            <w:r>
              <w:rPr>
                <w:rFonts w:ascii="Arial" w:cs="Arial" w:eastAsia="Arial" w:hAnsi="Arial"/>
                <w:sz w:val="11"/>
                <w:szCs w:val="11"/>
                <w:b w:val="1"/>
                <w:bCs w:val="1"/>
                <w:color w:val="auto"/>
              </w:rPr>
              <w:t>Shares</w:t>
            </w:r>
          </w:p>
        </w:tc>
        <w:tc>
          <w:tcPr>
            <w:tcW w:w="100" w:type="dxa"/>
            <w:vAlign w:val="bottom"/>
            <w:vMerge w:val="restart"/>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vMerge w:val="restart"/>
          </w:tcPr>
          <w:p>
            <w:pPr>
              <w:jc w:val="right"/>
              <w:ind w:right="210"/>
              <w:spacing w:after="0"/>
              <w:rPr>
                <w:sz w:val="20"/>
                <w:szCs w:val="20"/>
                <w:color w:val="auto"/>
              </w:rPr>
            </w:pPr>
            <w:r>
              <w:rPr>
                <w:rFonts w:ascii="Arial" w:cs="Arial" w:eastAsia="Arial" w:hAnsi="Arial"/>
                <w:sz w:val="11"/>
                <w:szCs w:val="11"/>
                <w:b w:val="1"/>
                <w:bCs w:val="1"/>
                <w:color w:val="auto"/>
                <w:w w:val="96"/>
              </w:rPr>
              <w:t>Amount</w:t>
            </w:r>
          </w:p>
        </w:tc>
        <w:tc>
          <w:tcPr>
            <w:tcW w:w="100" w:type="dxa"/>
            <w:vAlign w:val="bottom"/>
            <w:tcBorders>
              <w:right w:val="single" w:sz="8" w:color="auto"/>
            </w:tcBorders>
            <w:vMerge w:val="restart"/>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vMerge w:val="restart"/>
          </w:tcPr>
          <w:p>
            <w:pPr>
              <w:jc w:val="right"/>
              <w:ind w:right="250"/>
              <w:spacing w:after="0"/>
              <w:rPr>
                <w:sz w:val="20"/>
                <w:szCs w:val="20"/>
                <w:color w:val="auto"/>
              </w:rPr>
            </w:pPr>
            <w:r>
              <w:rPr>
                <w:rFonts w:ascii="Arial" w:cs="Arial" w:eastAsia="Arial" w:hAnsi="Arial"/>
                <w:sz w:val="11"/>
                <w:szCs w:val="11"/>
                <w:b w:val="1"/>
                <w:bCs w:val="1"/>
                <w:color w:val="auto"/>
              </w:rPr>
              <w:t>Shares</w:t>
            </w:r>
          </w:p>
        </w:tc>
        <w:tc>
          <w:tcPr>
            <w:tcW w:w="100" w:type="dxa"/>
            <w:vAlign w:val="bottom"/>
            <w:vMerge w:val="restart"/>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Amount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gridSpan w:val="2"/>
          </w:tcPr>
          <w:p>
            <w:pPr>
              <w:jc w:val="center"/>
              <w:ind w:right="220"/>
              <w:spacing w:after="0" w:line="107" w:lineRule="exact"/>
              <w:rPr>
                <w:sz w:val="20"/>
                <w:szCs w:val="20"/>
                <w:color w:val="auto"/>
              </w:rPr>
            </w:pPr>
            <w:r>
              <w:rPr>
                <w:rFonts w:ascii="Arial" w:cs="Arial" w:eastAsia="Arial" w:hAnsi="Arial"/>
                <w:sz w:val="11"/>
                <w:szCs w:val="11"/>
                <w:b w:val="1"/>
                <w:bCs w:val="1"/>
                <w:color w:val="auto"/>
                <w:w w:val="98"/>
              </w:rPr>
              <w:t>Paid-In</w:t>
            </w:r>
          </w:p>
        </w:tc>
        <w:tc>
          <w:tcPr>
            <w:tcW w:w="1060" w:type="dxa"/>
            <w:vAlign w:val="bottom"/>
            <w:gridSpan w:val="3"/>
          </w:tcPr>
          <w:p>
            <w:pPr>
              <w:jc w:val="center"/>
              <w:ind w:right="100"/>
              <w:spacing w:after="0" w:line="107" w:lineRule="exact"/>
              <w:rPr>
                <w:sz w:val="20"/>
                <w:szCs w:val="20"/>
                <w:color w:val="auto"/>
              </w:rPr>
            </w:pPr>
            <w:r>
              <w:rPr>
                <w:rFonts w:ascii="Arial" w:cs="Arial" w:eastAsia="Arial" w:hAnsi="Arial"/>
                <w:sz w:val="11"/>
                <w:szCs w:val="11"/>
                <w:b w:val="1"/>
                <w:bCs w:val="1"/>
                <w:color w:val="auto"/>
                <w:w w:val="96"/>
              </w:rPr>
              <w:t>Comprehensive</w:t>
            </w:r>
          </w:p>
        </w:tc>
        <w:tc>
          <w:tcPr>
            <w:tcW w:w="12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26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right w:val="single" w:sz="8" w:color="auto"/>
            </w:tcBorders>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71"/>
              <w:spacing w:after="0"/>
              <w:rPr>
                <w:sz w:val="20"/>
                <w:szCs w:val="20"/>
                <w:color w:val="auto"/>
              </w:rPr>
            </w:pPr>
            <w:r>
              <w:rPr>
                <w:rFonts w:ascii="Arial" w:cs="Arial" w:eastAsia="Arial" w:hAnsi="Arial"/>
                <w:sz w:val="11"/>
                <w:szCs w:val="11"/>
                <w:b w:val="1"/>
                <w:bCs w:val="1"/>
                <w:color w:val="auto"/>
                <w:w w:val="98"/>
              </w:rPr>
              <w:t>Capital</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51"/>
              <w:spacing w:after="0"/>
              <w:rPr>
                <w:sz w:val="20"/>
                <w:szCs w:val="20"/>
                <w:color w:val="auto"/>
              </w:rPr>
            </w:pPr>
            <w:r>
              <w:rPr>
                <w:rFonts w:ascii="Arial" w:cs="Arial" w:eastAsia="Arial" w:hAnsi="Arial"/>
                <w:sz w:val="11"/>
                <w:szCs w:val="11"/>
                <w:b w:val="1"/>
                <w:bCs w:val="1"/>
                <w:color w:val="auto"/>
                <w:w w:val="96"/>
              </w:rPr>
              <w:t>Income (Loss)</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ind w:left="200"/>
              <w:spacing w:after="0"/>
              <w:rPr>
                <w:sz w:val="20"/>
                <w:szCs w:val="20"/>
                <w:color w:val="auto"/>
              </w:rPr>
            </w:pPr>
            <w:r>
              <w:rPr>
                <w:rFonts w:ascii="Arial" w:cs="Arial" w:eastAsia="Arial" w:hAnsi="Arial"/>
                <w:sz w:val="11"/>
                <w:szCs w:val="11"/>
                <w:b w:val="1"/>
                <w:bCs w:val="1"/>
                <w:color w:val="auto"/>
              </w:rPr>
              <w:t>Deficit</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1"/>
                <w:szCs w:val="11"/>
                <w:b w:val="1"/>
                <w:bCs w:val="1"/>
                <w:color w:val="auto"/>
              </w:rPr>
              <w:t>Equity (Deficit)</w:t>
            </w:r>
          </w:p>
        </w:tc>
        <w:tc>
          <w:tcPr>
            <w:tcW w:w="0" w:type="dxa"/>
            <w:vAlign w:val="bottom"/>
          </w:tcPr>
          <w:p>
            <w:pPr>
              <w:spacing w:after="0"/>
              <w:rPr>
                <w:sz w:val="1"/>
                <w:szCs w:val="1"/>
                <w:color w:val="auto"/>
              </w:rPr>
            </w:pPr>
          </w:p>
        </w:tc>
      </w:tr>
      <w:tr>
        <w:trPr>
          <w:trHeight w:val="187"/>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Balance—December 31, 2019</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24,385,388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166,491</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2,120,853</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573"/>
              <w:spacing w:after="0"/>
              <w:rPr>
                <w:sz w:val="20"/>
                <w:szCs w:val="20"/>
                <w:color w:val="auto"/>
              </w:rPr>
            </w:pPr>
            <w:r>
              <w:rPr>
                <w:rFonts w:ascii="Arial" w:cs="Arial" w:eastAsia="Arial" w:hAnsi="Arial"/>
                <w:sz w:val="14"/>
                <w:szCs w:val="14"/>
                <w:color w:val="auto"/>
                <w:w w:val="76"/>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1,244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(66,272)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(65,029)</w:t>
            </w:r>
          </w:p>
        </w:tc>
        <w:tc>
          <w:tcPr>
            <w:tcW w:w="0" w:type="dxa"/>
            <w:vAlign w:val="bottom"/>
          </w:tcPr>
          <w:p>
            <w:pPr>
              <w:spacing w:after="0"/>
              <w:rPr>
                <w:sz w:val="1"/>
                <w:szCs w:val="1"/>
                <w:color w:val="auto"/>
              </w:rPr>
            </w:pPr>
          </w:p>
        </w:tc>
      </w:tr>
      <w:tr>
        <w:trPr>
          <w:trHeight w:val="152"/>
        </w:trPr>
        <w:tc>
          <w:tcPr>
            <w:tcW w:w="2680" w:type="dxa"/>
            <w:vAlign w:val="bottom"/>
          </w:tcPr>
          <w:p>
            <w:pPr>
              <w:ind w:left="20"/>
              <w:spacing w:after="0" w:line="152" w:lineRule="exact"/>
              <w:rPr>
                <w:sz w:val="20"/>
                <w:szCs w:val="20"/>
                <w:color w:val="auto"/>
              </w:rPr>
            </w:pPr>
            <w:r>
              <w:rPr>
                <w:rFonts w:ascii="Arial" w:cs="Arial" w:eastAsia="Arial" w:hAnsi="Arial"/>
                <w:sz w:val="14"/>
                <w:szCs w:val="14"/>
                <w:color w:val="auto"/>
              </w:rPr>
              <w:t>Conversion of preferred stock into</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(24,385,388)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(166,491)</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24,385,388</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vMerge w:val="restart"/>
          </w:tcPr>
          <w:p>
            <w:pPr>
              <w:jc w:val="right"/>
              <w:ind w:right="9"/>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ind w:right="11"/>
              <w:spacing w:after="0"/>
              <w:rPr>
                <w:sz w:val="20"/>
                <w:szCs w:val="20"/>
                <w:color w:val="auto"/>
              </w:rPr>
            </w:pPr>
            <w:r>
              <w:rPr>
                <w:rFonts w:ascii="Arial" w:cs="Arial" w:eastAsia="Arial" w:hAnsi="Arial"/>
                <w:sz w:val="14"/>
                <w:szCs w:val="14"/>
                <w:color w:val="auto"/>
              </w:rPr>
              <w:t>166,489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4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166,491</w:t>
            </w:r>
          </w:p>
        </w:tc>
        <w:tc>
          <w:tcPr>
            <w:tcW w:w="0" w:type="dxa"/>
            <w:vAlign w:val="bottom"/>
          </w:tcPr>
          <w:p>
            <w:pPr>
              <w:spacing w:after="0"/>
              <w:rPr>
                <w:sz w:val="1"/>
                <w:szCs w:val="1"/>
                <w:color w:val="auto"/>
              </w:rPr>
            </w:pPr>
          </w:p>
        </w:tc>
      </w:tr>
      <w:tr>
        <w:trPr>
          <w:trHeight w:val="169"/>
        </w:trPr>
        <w:tc>
          <w:tcPr>
            <w:tcW w:w="2680" w:type="dxa"/>
            <w:vAlign w:val="bottom"/>
          </w:tcPr>
          <w:p>
            <w:pPr>
              <w:ind w:left="20"/>
              <w:spacing w:after="0"/>
              <w:rPr>
                <w:sz w:val="20"/>
                <w:szCs w:val="20"/>
                <w:color w:val="auto"/>
              </w:rPr>
            </w:pPr>
            <w:r>
              <w:rPr>
                <w:rFonts w:ascii="Arial" w:cs="Arial" w:eastAsia="Arial" w:hAnsi="Arial"/>
                <w:sz w:val="14"/>
                <w:szCs w:val="14"/>
                <w:color w:val="auto"/>
              </w:rPr>
              <w:t>common stock upon initial public offering</w:t>
            </w: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680" w:type="dxa"/>
            <w:vAlign w:val="bottom"/>
            <w:shd w:val="clear" w:color="auto" w:fill="CCEEFF"/>
          </w:tcPr>
          <w:p>
            <w:pPr>
              <w:ind w:left="20"/>
              <w:spacing w:after="0" w:line="152" w:lineRule="exact"/>
              <w:rPr>
                <w:sz w:val="20"/>
                <w:szCs w:val="20"/>
                <w:color w:val="auto"/>
              </w:rPr>
            </w:pPr>
            <w:r>
              <w:rPr>
                <w:rFonts w:ascii="Arial" w:cs="Arial" w:eastAsia="Arial" w:hAnsi="Arial"/>
                <w:sz w:val="14"/>
                <w:szCs w:val="14"/>
                <w:color w:val="auto"/>
              </w:rPr>
              <w:t>Issuance of shares of common stock for</w:t>
            </w: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68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rPr>
              <w:t>initial public offering, net of issuance</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8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10,781,250</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167,240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167,241</w:t>
            </w:r>
          </w:p>
        </w:tc>
        <w:tc>
          <w:tcPr>
            <w:tcW w:w="0" w:type="dxa"/>
            <w:vAlign w:val="bottom"/>
          </w:tcPr>
          <w:p>
            <w:pPr>
              <w:spacing w:after="0"/>
              <w:rPr>
                <w:sz w:val="1"/>
                <w:szCs w:val="1"/>
                <w:color w:val="auto"/>
              </w:rPr>
            </w:pPr>
          </w:p>
        </w:tc>
      </w:tr>
      <w:tr>
        <w:trPr>
          <w:trHeight w:val="169"/>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 of $16,040</w:t>
            </w:r>
          </w:p>
        </w:tc>
        <w:tc>
          <w:tcPr>
            <w:tcW w:w="108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680" w:type="dxa"/>
            <w:vAlign w:val="bottom"/>
          </w:tcPr>
          <w:p>
            <w:pPr>
              <w:ind w:left="20"/>
              <w:spacing w:after="0" w:line="152" w:lineRule="exact"/>
              <w:rPr>
                <w:sz w:val="20"/>
                <w:szCs w:val="20"/>
                <w:color w:val="auto"/>
              </w:rPr>
            </w:pPr>
            <w:r>
              <w:rPr>
                <w:rFonts w:ascii="Arial" w:cs="Arial" w:eastAsia="Arial" w:hAnsi="Arial"/>
                <w:sz w:val="14"/>
                <w:szCs w:val="14"/>
                <w:color w:val="auto"/>
              </w:rPr>
              <w:t>Issuance of shares of common stock</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0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51,147</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3"/>
                <w:szCs w:val="13"/>
                <w:color w:val="auto"/>
              </w:rPr>
            </w:pPr>
          </w:p>
        </w:tc>
        <w:tc>
          <w:tcPr>
            <w:tcW w:w="820" w:type="dxa"/>
            <w:vAlign w:val="bottom"/>
            <w:vMerge w:val="restart"/>
          </w:tcPr>
          <w:p>
            <w:pPr>
              <w:jc w:val="right"/>
              <w:ind w:right="11"/>
              <w:spacing w:after="0"/>
              <w:rPr>
                <w:sz w:val="20"/>
                <w:szCs w:val="20"/>
                <w:color w:val="auto"/>
              </w:rPr>
            </w:pPr>
            <w:r>
              <w:rPr>
                <w:rFonts w:ascii="Arial" w:cs="Arial" w:eastAsia="Arial" w:hAnsi="Arial"/>
                <w:sz w:val="14"/>
                <w:szCs w:val="14"/>
                <w:color w:val="auto"/>
              </w:rPr>
              <w:t>152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4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69"/>
        </w:trPr>
        <w:tc>
          <w:tcPr>
            <w:tcW w:w="2680" w:type="dxa"/>
            <w:vAlign w:val="bottom"/>
          </w:tcPr>
          <w:p>
            <w:pPr>
              <w:ind w:left="20"/>
              <w:spacing w:after="0"/>
              <w:rPr>
                <w:sz w:val="20"/>
                <w:szCs w:val="20"/>
                <w:color w:val="auto"/>
              </w:rPr>
            </w:pPr>
            <w:r>
              <w:rPr>
                <w:rFonts w:ascii="Arial" w:cs="Arial" w:eastAsia="Arial" w:hAnsi="Arial"/>
                <w:sz w:val="14"/>
                <w:szCs w:val="14"/>
                <w:color w:val="auto"/>
              </w:rPr>
              <w:t>upon the exercise of stock options</w:t>
            </w:r>
          </w:p>
        </w:tc>
        <w:tc>
          <w:tcPr>
            <w:tcW w:w="10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680" w:type="dxa"/>
            <w:vAlign w:val="bottom"/>
            <w:shd w:val="clear" w:color="auto" w:fill="CCEEFF"/>
          </w:tcPr>
          <w:p>
            <w:pPr>
              <w:ind w:left="20"/>
              <w:spacing w:after="0" w:line="152" w:lineRule="exact"/>
              <w:rPr>
                <w:sz w:val="20"/>
                <w:szCs w:val="20"/>
                <w:color w:val="auto"/>
              </w:rPr>
            </w:pPr>
            <w:r>
              <w:rPr>
                <w:rFonts w:ascii="Arial" w:cs="Arial" w:eastAsia="Arial" w:hAnsi="Arial"/>
                <w:sz w:val="14"/>
                <w:szCs w:val="14"/>
                <w:color w:val="auto"/>
              </w:rPr>
              <w:t>Vesting of founder shares subject to</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68,931</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w:t>
            </w:r>
          </w:p>
        </w:tc>
        <w:tc>
          <w:tcPr>
            <w:tcW w:w="108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680" w:type="dxa"/>
            <w:vAlign w:val="bottom"/>
          </w:tcPr>
          <w:p>
            <w:pPr>
              <w:ind w:left="20"/>
              <w:spacing w:after="0" w:line="152" w:lineRule="exact"/>
              <w:rPr>
                <w:sz w:val="20"/>
                <w:szCs w:val="20"/>
                <w:color w:val="auto"/>
              </w:rPr>
            </w:pPr>
            <w:r>
              <w:rPr>
                <w:rFonts w:ascii="Arial" w:cs="Arial" w:eastAsia="Arial" w:hAnsi="Arial"/>
                <w:sz w:val="14"/>
                <w:szCs w:val="14"/>
                <w:color w:val="auto"/>
              </w:rPr>
              <w:t>Lapse of repurchase rights related to</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680" w:type="dxa"/>
            <w:vAlign w:val="bottom"/>
          </w:tcPr>
          <w:p>
            <w:pPr>
              <w:ind w:left="20"/>
              <w:spacing w:after="0" w:line="134" w:lineRule="exact"/>
              <w:rPr>
                <w:sz w:val="20"/>
                <w:szCs w:val="20"/>
                <w:color w:val="auto"/>
              </w:rPr>
            </w:pPr>
            <w:r>
              <w:rPr>
                <w:rFonts w:ascii="Arial" w:cs="Arial" w:eastAsia="Arial" w:hAnsi="Arial"/>
                <w:sz w:val="14"/>
                <w:szCs w:val="14"/>
                <w:color w:val="auto"/>
              </w:rPr>
              <w:t>common stock issued pursuant to early</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80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64,428</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1"/>
                <w:szCs w:val="11"/>
                <w:color w:val="auto"/>
              </w:rPr>
            </w:pPr>
          </w:p>
        </w:tc>
        <w:tc>
          <w:tcPr>
            <w:tcW w:w="820" w:type="dxa"/>
            <w:vAlign w:val="bottom"/>
            <w:vMerge w:val="restart"/>
          </w:tcPr>
          <w:p>
            <w:pPr>
              <w:jc w:val="right"/>
              <w:ind w:right="11"/>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4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69"/>
        </w:trPr>
        <w:tc>
          <w:tcPr>
            <w:tcW w:w="2680" w:type="dxa"/>
            <w:vAlign w:val="bottom"/>
          </w:tcPr>
          <w:p>
            <w:pPr>
              <w:ind w:left="20"/>
              <w:spacing w:after="0"/>
              <w:rPr>
                <w:sz w:val="20"/>
                <w:szCs w:val="20"/>
                <w:color w:val="auto"/>
              </w:rPr>
            </w:pPr>
            <w:r>
              <w:rPr>
                <w:rFonts w:ascii="Arial" w:cs="Arial" w:eastAsia="Arial" w:hAnsi="Arial"/>
                <w:sz w:val="14"/>
                <w:szCs w:val="14"/>
                <w:color w:val="auto"/>
              </w:rPr>
              <w:t>exercises</w:t>
            </w:r>
          </w:p>
        </w:tc>
        <w:tc>
          <w:tcPr>
            <w:tcW w:w="10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990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w:t>
            </w:r>
          </w:p>
        </w:tc>
        <w:tc>
          <w:tcPr>
            <w:tcW w:w="0" w:type="dxa"/>
            <w:vAlign w:val="bottom"/>
          </w:tcPr>
          <w:p>
            <w:pPr>
              <w:spacing w:after="0"/>
              <w:rPr>
                <w:sz w:val="1"/>
                <w:szCs w:val="1"/>
                <w:color w:val="auto"/>
              </w:rPr>
            </w:pPr>
          </w:p>
        </w:tc>
      </w:tr>
      <w:tr>
        <w:trPr>
          <w:trHeight w:val="187"/>
        </w:trPr>
        <w:tc>
          <w:tcPr>
            <w:tcW w:w="2680" w:type="dxa"/>
            <w:vAlign w:val="bottom"/>
          </w:tcPr>
          <w:p>
            <w:pPr>
              <w:ind w:left="20"/>
              <w:spacing w:after="0"/>
              <w:rPr>
                <w:sz w:val="20"/>
                <w:szCs w:val="20"/>
                <w:color w:val="auto"/>
              </w:rPr>
            </w:pPr>
            <w:r>
              <w:rPr>
                <w:rFonts w:ascii="Arial" w:cs="Arial" w:eastAsia="Arial" w:hAnsi="Arial"/>
                <w:sz w:val="14"/>
                <w:szCs w:val="14"/>
                <w:color w:val="auto"/>
              </w:rPr>
              <w:t>Unrealized gain on marketable securities</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7"/>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(28,013)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(28,013)</w:t>
            </w:r>
          </w:p>
        </w:tc>
        <w:tc>
          <w:tcPr>
            <w:tcW w:w="0" w:type="dxa"/>
            <w:vAlign w:val="bottom"/>
          </w:tcPr>
          <w:p>
            <w:pPr>
              <w:spacing w:after="0"/>
              <w:rPr>
                <w:sz w:val="1"/>
                <w:szCs w:val="1"/>
                <w:color w:val="auto"/>
              </w:rPr>
            </w:pPr>
          </w:p>
        </w:tc>
      </w:tr>
      <w:tr>
        <w:trPr>
          <w:trHeight w:val="181"/>
        </w:trPr>
        <w:tc>
          <w:tcPr>
            <w:tcW w:w="2680" w:type="dxa"/>
            <w:vAlign w:val="bottom"/>
          </w:tcPr>
          <w:p>
            <w:pPr>
              <w:ind w:left="20"/>
              <w:spacing w:after="0"/>
              <w:rPr>
                <w:sz w:val="20"/>
                <w:szCs w:val="20"/>
                <w:color w:val="auto"/>
              </w:rPr>
            </w:pPr>
            <w:r>
              <w:rPr>
                <w:rFonts w:ascii="Arial" w:cs="Arial" w:eastAsia="Arial" w:hAnsi="Arial"/>
                <w:sz w:val="14"/>
                <w:szCs w:val="14"/>
                <w:color w:val="auto"/>
              </w:rPr>
              <w:t>Balance—March 31, 2020</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37,471,997</w:t>
            </w:r>
          </w:p>
        </w:tc>
        <w:tc>
          <w:tcPr>
            <w:tcW w:w="100" w:type="dxa"/>
            <w:vAlign w:val="bottom"/>
          </w:tcPr>
          <w:p>
            <w:pPr>
              <w:spacing w:after="0"/>
              <w:rPr>
                <w:sz w:val="15"/>
                <w:szCs w:val="15"/>
                <w:color w:val="auto"/>
              </w:rPr>
            </w:pPr>
          </w:p>
        </w:tc>
        <w:tc>
          <w:tcPr>
            <w:tcW w:w="720" w:type="dxa"/>
            <w:vAlign w:val="bottom"/>
          </w:tcPr>
          <w:p>
            <w:pPr>
              <w:jc w:val="right"/>
              <w:ind w:right="573"/>
              <w:spacing w:after="0"/>
              <w:rPr>
                <w:sz w:val="20"/>
                <w:szCs w:val="20"/>
                <w:color w:val="auto"/>
              </w:rPr>
            </w:pPr>
            <w:r>
              <w:rPr>
                <w:rFonts w:ascii="Arial" w:cs="Arial" w:eastAsia="Arial" w:hAnsi="Arial"/>
                <w:sz w:val="14"/>
                <w:szCs w:val="14"/>
                <w:color w:val="auto"/>
                <w:w w:val="76"/>
              </w:rPr>
              <w:t>$</w:t>
            </w:r>
          </w:p>
        </w:tc>
        <w:tc>
          <w:tcPr>
            <w:tcW w:w="240" w:type="dxa"/>
            <w:vAlign w:val="bottom"/>
          </w:tcPr>
          <w:p>
            <w:pPr>
              <w:jc w:val="right"/>
              <w:ind w:right="9"/>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336,145</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(94,285)</w:t>
            </w:r>
          </w:p>
        </w:tc>
        <w:tc>
          <w:tcPr>
            <w:tcW w:w="10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241,882</w:t>
            </w:r>
          </w:p>
        </w:tc>
        <w:tc>
          <w:tcPr>
            <w:tcW w:w="0" w:type="dxa"/>
            <w:vAlign w:val="bottom"/>
          </w:tcPr>
          <w:p>
            <w:pPr>
              <w:spacing w:after="0"/>
              <w:rPr>
                <w:sz w:val="1"/>
                <w:szCs w:val="1"/>
                <w:color w:val="auto"/>
              </w:rPr>
            </w:pPr>
          </w:p>
        </w:tc>
      </w:tr>
      <w:tr>
        <w:trPr>
          <w:trHeight w:val="152"/>
        </w:trPr>
        <w:tc>
          <w:tcPr>
            <w:tcW w:w="2680" w:type="dxa"/>
            <w:vAlign w:val="bottom"/>
            <w:shd w:val="clear" w:color="auto" w:fill="CCEEFF"/>
          </w:tcPr>
          <w:p>
            <w:pPr>
              <w:ind w:left="20"/>
              <w:spacing w:after="0" w:line="152" w:lineRule="exact"/>
              <w:rPr>
                <w:sz w:val="20"/>
                <w:szCs w:val="20"/>
                <w:color w:val="auto"/>
              </w:rPr>
            </w:pPr>
            <w:r>
              <w:rPr>
                <w:rFonts w:ascii="Arial" w:cs="Arial" w:eastAsia="Arial" w:hAnsi="Arial"/>
                <w:sz w:val="14"/>
                <w:szCs w:val="14"/>
                <w:color w:val="auto"/>
              </w:rPr>
              <w:t>Issuance of common stock upon the</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14,875</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69"/>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 of stock options</w:t>
            </w:r>
          </w:p>
        </w:tc>
        <w:tc>
          <w:tcPr>
            <w:tcW w:w="108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680" w:type="dxa"/>
            <w:vAlign w:val="bottom"/>
          </w:tcPr>
          <w:p>
            <w:pPr>
              <w:ind w:left="20"/>
              <w:spacing w:after="0" w:line="152" w:lineRule="exact"/>
              <w:rPr>
                <w:sz w:val="20"/>
                <w:szCs w:val="20"/>
                <w:color w:val="auto"/>
              </w:rPr>
            </w:pPr>
            <w:r>
              <w:rPr>
                <w:rFonts w:ascii="Arial" w:cs="Arial" w:eastAsia="Arial" w:hAnsi="Arial"/>
                <w:sz w:val="14"/>
                <w:szCs w:val="14"/>
                <w:color w:val="auto"/>
              </w:rPr>
              <w:t>Vesting of founder shares subject to</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0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68,932</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3"/>
                <w:szCs w:val="13"/>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4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680" w:type="dxa"/>
            <w:vAlign w:val="bottom"/>
          </w:tcPr>
          <w:p>
            <w:pPr>
              <w:ind w:left="20"/>
              <w:spacing w:after="0"/>
              <w:rPr>
                <w:sz w:val="20"/>
                <w:szCs w:val="20"/>
                <w:color w:val="auto"/>
              </w:rPr>
            </w:pPr>
            <w:r>
              <w:rPr>
                <w:rFonts w:ascii="Arial" w:cs="Arial" w:eastAsia="Arial" w:hAnsi="Arial"/>
                <w:sz w:val="14"/>
                <w:szCs w:val="14"/>
                <w:color w:val="auto"/>
              </w:rPr>
              <w:t>repurchase</w:t>
            </w:r>
          </w:p>
        </w:tc>
        <w:tc>
          <w:tcPr>
            <w:tcW w:w="10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680" w:type="dxa"/>
            <w:vAlign w:val="bottom"/>
            <w:shd w:val="clear" w:color="auto" w:fill="CCEEFF"/>
          </w:tcPr>
          <w:p>
            <w:pPr>
              <w:ind w:left="20"/>
              <w:spacing w:after="0" w:line="152" w:lineRule="exact"/>
              <w:rPr>
                <w:sz w:val="20"/>
                <w:szCs w:val="20"/>
                <w:color w:val="auto"/>
              </w:rPr>
            </w:pPr>
            <w:r>
              <w:rPr>
                <w:rFonts w:ascii="Arial" w:cs="Arial" w:eastAsia="Arial" w:hAnsi="Arial"/>
                <w:sz w:val="14"/>
                <w:szCs w:val="14"/>
                <w:color w:val="auto"/>
              </w:rPr>
              <w:t>Lapse of repurchase rights related to</w:t>
            </w: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68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rPr>
              <w:t>common stock issued pursuant to early</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8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114,392</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111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69"/>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exercises</w:t>
            </w:r>
          </w:p>
        </w:tc>
        <w:tc>
          <w:tcPr>
            <w:tcW w:w="108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680" w:type="dxa"/>
            <w:vAlign w:val="bottom"/>
          </w:tcPr>
          <w:p>
            <w:pPr>
              <w:ind w:left="20"/>
              <w:spacing w:after="0" w:line="152" w:lineRule="exact"/>
              <w:rPr>
                <w:sz w:val="20"/>
                <w:szCs w:val="20"/>
                <w:color w:val="auto"/>
              </w:rPr>
            </w:pPr>
            <w:r>
              <w:rPr>
                <w:rFonts w:ascii="Arial" w:cs="Arial" w:eastAsia="Arial" w:hAnsi="Arial"/>
                <w:sz w:val="14"/>
                <w:szCs w:val="14"/>
                <w:color w:val="auto"/>
              </w:rPr>
              <w:t>Shares issued pursuant to the employee</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19,862</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3"/>
                <w:szCs w:val="13"/>
                <w:color w:val="auto"/>
              </w:rPr>
            </w:pPr>
          </w:p>
        </w:tc>
        <w:tc>
          <w:tcPr>
            <w:tcW w:w="820" w:type="dxa"/>
            <w:vAlign w:val="bottom"/>
            <w:vMerge w:val="restart"/>
          </w:tcPr>
          <w:p>
            <w:pPr>
              <w:jc w:val="right"/>
              <w:ind w:right="11"/>
              <w:spacing w:after="0"/>
              <w:rPr>
                <w:sz w:val="20"/>
                <w:szCs w:val="20"/>
                <w:color w:val="auto"/>
              </w:rPr>
            </w:pPr>
            <w:r>
              <w:rPr>
                <w:rFonts w:ascii="Arial" w:cs="Arial" w:eastAsia="Arial" w:hAnsi="Arial"/>
                <w:sz w:val="14"/>
                <w:szCs w:val="14"/>
                <w:color w:val="auto"/>
              </w:rPr>
              <w:t>287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4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169"/>
        </w:trPr>
        <w:tc>
          <w:tcPr>
            <w:tcW w:w="2680" w:type="dxa"/>
            <w:vAlign w:val="bottom"/>
          </w:tcPr>
          <w:p>
            <w:pPr>
              <w:ind w:left="20"/>
              <w:spacing w:after="0"/>
              <w:rPr>
                <w:sz w:val="20"/>
                <w:szCs w:val="20"/>
                <w:color w:val="auto"/>
              </w:rPr>
            </w:pPr>
            <w:r>
              <w:rPr>
                <w:rFonts w:ascii="Arial" w:cs="Arial" w:eastAsia="Arial" w:hAnsi="Arial"/>
                <w:sz w:val="14"/>
                <w:szCs w:val="14"/>
                <w:color w:val="auto"/>
              </w:rPr>
              <w:t>stock purchase plan</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2,049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2,049</w:t>
            </w:r>
          </w:p>
        </w:tc>
        <w:tc>
          <w:tcPr>
            <w:tcW w:w="0" w:type="dxa"/>
            <w:vAlign w:val="bottom"/>
          </w:tcPr>
          <w:p>
            <w:pPr>
              <w:spacing w:after="0"/>
              <w:rPr>
                <w:sz w:val="1"/>
                <w:szCs w:val="1"/>
                <w:color w:val="auto"/>
              </w:rPr>
            </w:pPr>
          </w:p>
        </w:tc>
      </w:tr>
      <w:tr>
        <w:trPr>
          <w:trHeight w:val="187"/>
        </w:trPr>
        <w:tc>
          <w:tcPr>
            <w:tcW w:w="2680" w:type="dxa"/>
            <w:vAlign w:val="bottom"/>
          </w:tcPr>
          <w:p>
            <w:pPr>
              <w:ind w:left="20"/>
              <w:spacing w:after="0"/>
              <w:rPr>
                <w:sz w:val="20"/>
                <w:szCs w:val="20"/>
                <w:color w:val="auto"/>
              </w:rPr>
            </w:pPr>
            <w:r>
              <w:rPr>
                <w:rFonts w:ascii="Arial" w:cs="Arial" w:eastAsia="Arial" w:hAnsi="Arial"/>
                <w:sz w:val="14"/>
                <w:szCs w:val="14"/>
                <w:color w:val="auto"/>
              </w:rPr>
              <w:t>Unrealized loss on marketable securities</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7"/>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(35,412)</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(35,412)</w:t>
            </w:r>
          </w:p>
        </w:tc>
        <w:tc>
          <w:tcPr>
            <w:tcW w:w="0" w:type="dxa"/>
            <w:vAlign w:val="bottom"/>
          </w:tcPr>
          <w:p>
            <w:pPr>
              <w:spacing w:after="0"/>
              <w:rPr>
                <w:sz w:val="1"/>
                <w:szCs w:val="1"/>
                <w:color w:val="auto"/>
              </w:rPr>
            </w:pPr>
          </w:p>
        </w:tc>
      </w:tr>
      <w:tr>
        <w:trPr>
          <w:trHeight w:val="221"/>
        </w:trPr>
        <w:tc>
          <w:tcPr>
            <w:tcW w:w="2680" w:type="dxa"/>
            <w:vAlign w:val="bottom"/>
          </w:tcPr>
          <w:p>
            <w:pPr>
              <w:ind w:left="20"/>
              <w:spacing w:after="0"/>
              <w:rPr>
                <w:sz w:val="20"/>
                <w:szCs w:val="20"/>
                <w:color w:val="auto"/>
              </w:rPr>
            </w:pPr>
            <w:r>
              <w:rPr>
                <w:rFonts w:ascii="Arial" w:cs="Arial" w:eastAsia="Arial" w:hAnsi="Arial"/>
                <w:sz w:val="14"/>
                <w:szCs w:val="14"/>
                <w:color w:val="auto"/>
              </w:rPr>
              <w:t>Balance—June 30, 2020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37,690,058</w:t>
            </w:r>
          </w:p>
        </w:tc>
        <w:tc>
          <w:tcPr>
            <w:tcW w:w="100" w:type="dxa"/>
            <w:vAlign w:val="bottom"/>
          </w:tcPr>
          <w:p>
            <w:pPr>
              <w:spacing w:after="0"/>
              <w:rPr>
                <w:sz w:val="19"/>
                <w:szCs w:val="19"/>
                <w:color w:val="auto"/>
              </w:rPr>
            </w:pPr>
          </w:p>
        </w:tc>
        <w:tc>
          <w:tcPr>
            <w:tcW w:w="7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color w:val="auto"/>
                <w:w w:val="76"/>
              </w:rPr>
              <w:t>$</w:t>
            </w:r>
          </w:p>
        </w:tc>
        <w:tc>
          <w:tcPr>
            <w:tcW w:w="2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338,617</w:t>
            </w: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(129,697)</w:t>
            </w:r>
          </w:p>
        </w:tc>
        <w:tc>
          <w:tcPr>
            <w:tcW w:w="10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208,923</w:t>
            </w:r>
          </w:p>
        </w:tc>
        <w:tc>
          <w:tcPr>
            <w:tcW w:w="0" w:type="dxa"/>
            <w:vAlign w:val="bottom"/>
          </w:tcPr>
          <w:p>
            <w:pPr>
              <w:spacing w:after="0"/>
              <w:rPr>
                <w:sz w:val="1"/>
                <w:szCs w:val="1"/>
                <w:color w:val="auto"/>
              </w:rPr>
            </w:pPr>
          </w:p>
        </w:tc>
      </w:tr>
    </w:tbl>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46"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ARCUTIS BIOTHERAPEUTICS, INC.</w:t>
      </w:r>
    </w:p>
    <w:p>
      <w:pPr>
        <w:spacing w:after="0" w:line="10"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Condensed Statements of Convertible Preferred Stock and Stockholders’ Equity (Deficit)</w:t>
      </w:r>
    </w:p>
    <w:p>
      <w:pPr>
        <w:jc w:val="center"/>
        <w:spacing w:after="0" w:line="201" w:lineRule="auto"/>
        <w:rPr>
          <w:sz w:val="20"/>
          <w:szCs w:val="20"/>
          <w:color w:val="auto"/>
        </w:rPr>
      </w:pPr>
      <w:r>
        <w:rPr>
          <w:rFonts w:ascii="Arial" w:cs="Arial" w:eastAsia="Arial" w:hAnsi="Arial"/>
          <w:sz w:val="18"/>
          <w:szCs w:val="18"/>
          <w:b w:val="1"/>
          <w:bCs w:val="1"/>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gridSpan w:val="3"/>
          </w:tcPr>
          <w:p>
            <w:pPr>
              <w:ind w:left="20"/>
              <w:spacing w:after="0"/>
              <w:rPr>
                <w:sz w:val="20"/>
                <w:szCs w:val="20"/>
                <w:color w:val="auto"/>
              </w:rPr>
            </w:pPr>
            <w:r>
              <w:rPr>
                <w:rFonts w:ascii="Arial" w:cs="Arial" w:eastAsia="Arial" w:hAnsi="Arial"/>
                <w:sz w:val="11"/>
                <w:szCs w:val="11"/>
                <w:b w:val="1"/>
                <w:bCs w:val="1"/>
                <w:color w:val="auto"/>
              </w:rPr>
              <w:t>Convertible</w:t>
            </w:r>
          </w:p>
        </w:tc>
        <w:tc>
          <w:tcPr>
            <w:tcW w:w="2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00" w:type="dxa"/>
            <w:vAlign w:val="bottom"/>
            <w:gridSpan w:val="3"/>
            <w:vMerge w:val="restart"/>
          </w:tcPr>
          <w:p>
            <w:pPr>
              <w:jc w:val="right"/>
              <w:ind w:right="313"/>
              <w:spacing w:after="0"/>
              <w:rPr>
                <w:sz w:val="20"/>
                <w:szCs w:val="20"/>
                <w:color w:val="auto"/>
              </w:rPr>
            </w:pPr>
            <w:r>
              <w:rPr>
                <w:rFonts w:ascii="Arial" w:cs="Arial" w:eastAsia="Arial" w:hAnsi="Arial"/>
                <w:sz w:val="11"/>
                <w:szCs w:val="11"/>
                <w:b w:val="1"/>
                <w:bCs w:val="1"/>
                <w:color w:val="auto"/>
              </w:rPr>
              <w:t>Common Stock</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96"/>
              </w:rPr>
              <w:t>Additional</w:t>
            </w:r>
          </w:p>
        </w:tc>
        <w:tc>
          <w:tcPr>
            <w:tcW w:w="10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8"/>
              </w:rPr>
              <w:t>Accumulated</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700" w:type="dxa"/>
            <w:vAlign w:val="bottom"/>
          </w:tcPr>
          <w:p>
            <w:pPr>
              <w:spacing w:after="0"/>
              <w:rPr>
                <w:sz w:val="9"/>
                <w:szCs w:val="9"/>
                <w:color w:val="auto"/>
              </w:rPr>
            </w:pPr>
          </w:p>
        </w:tc>
        <w:tc>
          <w:tcPr>
            <w:tcW w:w="1760" w:type="dxa"/>
            <w:vAlign w:val="bottom"/>
            <w:gridSpan w:val="4"/>
          </w:tcPr>
          <w:p>
            <w:pPr>
              <w:jc w:val="right"/>
              <w:ind w:right="293"/>
              <w:spacing w:after="0" w:line="107" w:lineRule="exact"/>
              <w:rPr>
                <w:sz w:val="20"/>
                <w:szCs w:val="20"/>
                <w:color w:val="auto"/>
              </w:rPr>
            </w:pPr>
            <w:r>
              <w:rPr>
                <w:rFonts w:ascii="Arial" w:cs="Arial" w:eastAsia="Arial" w:hAnsi="Arial"/>
                <w:sz w:val="11"/>
                <w:szCs w:val="11"/>
                <w:b w:val="1"/>
                <w:bCs w:val="1"/>
                <w:color w:val="auto"/>
              </w:rPr>
              <w:t>Preferred Stock</w:t>
            </w:r>
          </w:p>
        </w:tc>
        <w:tc>
          <w:tcPr>
            <w:tcW w:w="2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tcPr>
          <w:p>
            <w:pPr>
              <w:jc w:val="center"/>
              <w:ind w:right="200"/>
              <w:spacing w:after="0" w:line="107" w:lineRule="exact"/>
              <w:rPr>
                <w:sz w:val="20"/>
                <w:szCs w:val="20"/>
                <w:color w:val="auto"/>
              </w:rPr>
            </w:pPr>
            <w:r>
              <w:rPr>
                <w:rFonts w:ascii="Arial" w:cs="Arial" w:eastAsia="Arial" w:hAnsi="Arial"/>
                <w:sz w:val="11"/>
                <w:szCs w:val="11"/>
                <w:b w:val="1"/>
                <w:bCs w:val="1"/>
                <w:color w:val="auto"/>
                <w:w w:val="95"/>
              </w:rPr>
              <w:t>Other</w:t>
            </w: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7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gridSpan w:val="2"/>
            <w:vMerge w:val="restart"/>
          </w:tcPr>
          <w:p>
            <w:pPr>
              <w:jc w:val="center"/>
              <w:ind w:right="260"/>
              <w:spacing w:after="0" w:line="107" w:lineRule="exact"/>
              <w:rPr>
                <w:sz w:val="20"/>
                <w:szCs w:val="20"/>
                <w:color w:val="auto"/>
              </w:rPr>
            </w:pPr>
            <w:r>
              <w:rPr>
                <w:rFonts w:ascii="Arial" w:cs="Arial" w:eastAsia="Arial" w:hAnsi="Arial"/>
                <w:sz w:val="11"/>
                <w:szCs w:val="11"/>
                <w:b w:val="1"/>
                <w:bCs w:val="1"/>
                <w:color w:val="auto"/>
                <w:w w:val="98"/>
              </w:rPr>
              <w:t>Paid-In</w:t>
            </w:r>
          </w:p>
        </w:tc>
        <w:tc>
          <w:tcPr>
            <w:tcW w:w="1060" w:type="dxa"/>
            <w:vAlign w:val="bottom"/>
            <w:gridSpan w:val="3"/>
            <w:vMerge w:val="restart"/>
          </w:tcPr>
          <w:p>
            <w:pPr>
              <w:jc w:val="center"/>
              <w:ind w:right="100"/>
              <w:spacing w:after="0" w:line="107" w:lineRule="exact"/>
              <w:rPr>
                <w:sz w:val="20"/>
                <w:szCs w:val="20"/>
                <w:color w:val="auto"/>
              </w:rPr>
            </w:pPr>
            <w:r>
              <w:rPr>
                <w:rFonts w:ascii="Arial" w:cs="Arial" w:eastAsia="Arial" w:hAnsi="Arial"/>
                <w:sz w:val="11"/>
                <w:szCs w:val="11"/>
                <w:b w:val="1"/>
                <w:bCs w:val="1"/>
                <w:color w:val="auto"/>
                <w:w w:val="96"/>
              </w:rPr>
              <w:t>Comprehensive</w:t>
            </w:r>
          </w:p>
        </w:tc>
        <w:tc>
          <w:tcPr>
            <w:tcW w:w="120" w:type="dxa"/>
            <w:vAlign w:val="bottom"/>
          </w:tcPr>
          <w:p>
            <w:pPr>
              <w:spacing w:after="0"/>
              <w:rPr>
                <w:sz w:val="4"/>
                <w:szCs w:val="4"/>
                <w:color w:val="auto"/>
              </w:rPr>
            </w:pPr>
          </w:p>
        </w:tc>
        <w:tc>
          <w:tcPr>
            <w:tcW w:w="940" w:type="dxa"/>
            <w:vAlign w:val="bottom"/>
            <w:gridSpan w:val="2"/>
            <w:vMerge w:val="restart"/>
          </w:tcPr>
          <w:p>
            <w:pPr>
              <w:ind w:left="20"/>
              <w:spacing w:after="0" w:line="107" w:lineRule="exact"/>
              <w:rPr>
                <w:sz w:val="20"/>
                <w:szCs w:val="20"/>
                <w:color w:val="auto"/>
              </w:rPr>
            </w:pPr>
            <w:r>
              <w:rPr>
                <w:rFonts w:ascii="Arial" w:cs="Arial" w:eastAsia="Arial" w:hAnsi="Arial"/>
                <w:sz w:val="11"/>
                <w:szCs w:val="11"/>
                <w:b w:val="1"/>
                <w:bCs w:val="1"/>
                <w:color w:val="auto"/>
              </w:rPr>
              <w:t>Accumulated</w:t>
            </w:r>
          </w:p>
        </w:tc>
        <w:tc>
          <w:tcPr>
            <w:tcW w:w="1060" w:type="dxa"/>
            <w:vAlign w:val="bottom"/>
            <w:gridSpan w:val="2"/>
            <w:vMerge w:val="restart"/>
          </w:tcPr>
          <w:p>
            <w:pPr>
              <w:ind w:left="40"/>
              <w:spacing w:after="0" w:line="107" w:lineRule="exact"/>
              <w:rPr>
                <w:sz w:val="20"/>
                <w:szCs w:val="20"/>
                <w:color w:val="auto"/>
              </w:rPr>
            </w:pPr>
            <w:r>
              <w:rPr>
                <w:rFonts w:ascii="Arial" w:cs="Arial" w:eastAsia="Arial" w:hAnsi="Arial"/>
                <w:sz w:val="11"/>
                <w:szCs w:val="11"/>
                <w:b w:val="1"/>
                <w:bCs w:val="1"/>
                <w:color w:val="auto"/>
                <w:w w:val="97"/>
              </w:rPr>
              <w:t>Total Stockholders’</w:t>
            </w:r>
          </w:p>
        </w:tc>
        <w:tc>
          <w:tcPr>
            <w:tcW w:w="0" w:type="dxa"/>
            <w:vAlign w:val="bottom"/>
          </w:tcPr>
          <w:p>
            <w:pPr>
              <w:spacing w:after="0"/>
              <w:rPr>
                <w:sz w:val="1"/>
                <w:szCs w:val="1"/>
                <w:color w:val="auto"/>
              </w:rPr>
            </w:pPr>
          </w:p>
        </w:tc>
      </w:tr>
      <w:tr>
        <w:trPr>
          <w:trHeight w:val="34"/>
        </w:trPr>
        <w:tc>
          <w:tcPr>
            <w:tcW w:w="2700" w:type="dxa"/>
            <w:vAlign w:val="bottom"/>
          </w:tcPr>
          <w:p>
            <w:pPr>
              <w:spacing w:after="0"/>
              <w:rPr>
                <w:sz w:val="2"/>
                <w:szCs w:val="2"/>
                <w:color w:val="auto"/>
              </w:rPr>
            </w:pPr>
          </w:p>
        </w:tc>
        <w:tc>
          <w:tcPr>
            <w:tcW w:w="680" w:type="dxa"/>
            <w:vAlign w:val="bottom"/>
            <w:vMerge w:val="restart"/>
          </w:tcPr>
          <w:p>
            <w:pPr>
              <w:ind w:left="300"/>
              <w:spacing w:after="0"/>
              <w:rPr>
                <w:sz w:val="20"/>
                <w:szCs w:val="20"/>
                <w:color w:val="auto"/>
              </w:rPr>
            </w:pPr>
            <w:r>
              <w:rPr>
                <w:rFonts w:ascii="Arial" w:cs="Arial" w:eastAsia="Arial" w:hAnsi="Arial"/>
                <w:sz w:val="11"/>
                <w:szCs w:val="11"/>
                <w:b w:val="1"/>
                <w:bCs w:val="1"/>
                <w:color w:val="auto"/>
                <w:w w:val="97"/>
              </w:rPr>
              <w:t>Shares</w:t>
            </w: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Amount</w:t>
            </w:r>
          </w:p>
        </w:tc>
        <w:tc>
          <w:tcPr>
            <w:tcW w:w="2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vMerge w:val="restart"/>
          </w:tcPr>
          <w:p>
            <w:pPr>
              <w:jc w:val="right"/>
              <w:ind w:right="231"/>
              <w:spacing w:after="0"/>
              <w:rPr>
                <w:sz w:val="20"/>
                <w:szCs w:val="20"/>
                <w:color w:val="auto"/>
              </w:rPr>
            </w:pPr>
            <w:r>
              <w:rPr>
                <w:rFonts w:ascii="Arial" w:cs="Arial" w:eastAsia="Arial" w:hAnsi="Arial"/>
                <w:sz w:val="11"/>
                <w:szCs w:val="11"/>
                <w:b w:val="1"/>
                <w:bCs w:val="1"/>
                <w:color w:val="auto"/>
              </w:rPr>
              <w:t>Shares</w:t>
            </w:r>
          </w:p>
        </w:tc>
        <w:tc>
          <w:tcPr>
            <w:tcW w:w="100" w:type="dxa"/>
            <w:vAlign w:val="bottom"/>
            <w:vMerge w:val="restart"/>
          </w:tcPr>
          <w:p>
            <w:pPr>
              <w:spacing w:after="0"/>
              <w:rPr>
                <w:sz w:val="2"/>
                <w:szCs w:val="2"/>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Amount</w:t>
            </w: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7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CCEEFF"/>
              <w:right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111"/>
              <w:spacing w:after="0"/>
              <w:rPr>
                <w:sz w:val="20"/>
                <w:szCs w:val="20"/>
                <w:color w:val="auto"/>
              </w:rPr>
            </w:pPr>
            <w:r>
              <w:rPr>
                <w:rFonts w:ascii="Arial" w:cs="Arial" w:eastAsia="Arial" w:hAnsi="Arial"/>
                <w:sz w:val="11"/>
                <w:szCs w:val="11"/>
                <w:b w:val="1"/>
                <w:bCs w:val="1"/>
                <w:color w:val="auto"/>
                <w:w w:val="98"/>
              </w:rPr>
              <w:t>Capital</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51"/>
              <w:spacing w:after="0"/>
              <w:rPr>
                <w:sz w:val="20"/>
                <w:szCs w:val="20"/>
                <w:color w:val="auto"/>
              </w:rPr>
            </w:pPr>
            <w:r>
              <w:rPr>
                <w:rFonts w:ascii="Arial" w:cs="Arial" w:eastAsia="Arial" w:hAnsi="Arial"/>
                <w:sz w:val="11"/>
                <w:szCs w:val="11"/>
                <w:b w:val="1"/>
                <w:bCs w:val="1"/>
                <w:color w:val="auto"/>
                <w:w w:val="96"/>
              </w:rPr>
              <w:t>Income (Loss)</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ind w:left="200"/>
              <w:spacing w:after="0"/>
              <w:rPr>
                <w:sz w:val="20"/>
                <w:szCs w:val="20"/>
                <w:color w:val="auto"/>
              </w:rPr>
            </w:pPr>
            <w:r>
              <w:rPr>
                <w:rFonts w:ascii="Arial" w:cs="Arial" w:eastAsia="Arial" w:hAnsi="Arial"/>
                <w:sz w:val="11"/>
                <w:szCs w:val="11"/>
                <w:b w:val="1"/>
                <w:bCs w:val="1"/>
                <w:color w:val="auto"/>
              </w:rPr>
              <w:t>Deficit</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1"/>
                <w:szCs w:val="11"/>
                <w:b w:val="1"/>
                <w:bCs w:val="1"/>
                <w:color w:val="auto"/>
              </w:rPr>
              <w:t>Equity (Deficit)</w:t>
            </w:r>
          </w:p>
        </w:tc>
        <w:tc>
          <w:tcPr>
            <w:tcW w:w="0" w:type="dxa"/>
            <w:vAlign w:val="bottom"/>
          </w:tcPr>
          <w:p>
            <w:pPr>
              <w:spacing w:after="0"/>
              <w:rPr>
                <w:sz w:val="1"/>
                <w:szCs w:val="1"/>
                <w:color w:val="auto"/>
              </w:rPr>
            </w:pPr>
          </w:p>
        </w:tc>
      </w:tr>
      <w:tr>
        <w:trPr>
          <w:trHeight w:val="187"/>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Balance—December 31, 2020</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53"/>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43,338,438</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55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472,569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(201,950)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270,621</w:t>
            </w:r>
          </w:p>
        </w:tc>
        <w:tc>
          <w:tcPr>
            <w:tcW w:w="0" w:type="dxa"/>
            <w:vAlign w:val="bottom"/>
          </w:tcPr>
          <w:p>
            <w:pPr>
              <w:spacing w:after="0"/>
              <w:rPr>
                <w:sz w:val="1"/>
                <w:szCs w:val="1"/>
                <w:color w:val="auto"/>
              </w:rPr>
            </w:pPr>
          </w:p>
        </w:tc>
      </w:tr>
      <w:tr>
        <w:trPr>
          <w:trHeight w:val="152"/>
        </w:trPr>
        <w:tc>
          <w:tcPr>
            <w:tcW w:w="3380" w:type="dxa"/>
            <w:vAlign w:val="bottom"/>
            <w:gridSpan w:val="2"/>
          </w:tcPr>
          <w:p>
            <w:pPr>
              <w:ind w:left="20"/>
              <w:spacing w:after="0" w:line="152" w:lineRule="exact"/>
              <w:rPr>
                <w:sz w:val="20"/>
                <w:szCs w:val="20"/>
                <w:color w:val="auto"/>
              </w:rPr>
            </w:pPr>
            <w:r>
              <w:rPr>
                <w:rFonts w:ascii="Arial" w:cs="Arial" w:eastAsia="Arial" w:hAnsi="Arial"/>
                <w:sz w:val="14"/>
                <w:szCs w:val="14"/>
                <w:color w:val="auto"/>
              </w:rPr>
              <w:t>Issuance of shares of common stock for</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380" w:type="dxa"/>
            <w:vAlign w:val="bottom"/>
            <w:gridSpan w:val="2"/>
          </w:tcPr>
          <w:p>
            <w:pPr>
              <w:ind w:left="20"/>
              <w:spacing w:after="0" w:line="134" w:lineRule="exact"/>
              <w:rPr>
                <w:sz w:val="20"/>
                <w:szCs w:val="20"/>
                <w:color w:val="auto"/>
              </w:rPr>
            </w:pPr>
            <w:r>
              <w:rPr>
                <w:rFonts w:ascii="Arial" w:cs="Arial" w:eastAsia="Arial" w:hAnsi="Arial"/>
                <w:sz w:val="14"/>
                <w:szCs w:val="14"/>
                <w:color w:val="auto"/>
              </w:rPr>
              <w:t>public offering, net of issuance costs of</w:t>
            </w:r>
          </w:p>
        </w:tc>
        <w:tc>
          <w:tcPr>
            <w:tcW w:w="36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4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6,325,000</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ind w:right="11"/>
              <w:spacing w:after="0"/>
              <w:rPr>
                <w:sz w:val="20"/>
                <w:szCs w:val="20"/>
                <w:color w:val="auto"/>
              </w:rPr>
            </w:pPr>
            <w:r>
              <w:rPr>
                <w:rFonts w:ascii="Arial" w:cs="Arial" w:eastAsia="Arial" w:hAnsi="Arial"/>
                <w:sz w:val="14"/>
                <w:szCs w:val="14"/>
                <w:color w:val="auto"/>
              </w:rPr>
              <w:t>207,489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4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207,490</w:t>
            </w:r>
          </w:p>
        </w:tc>
        <w:tc>
          <w:tcPr>
            <w:tcW w:w="0" w:type="dxa"/>
            <w:vAlign w:val="bottom"/>
          </w:tcPr>
          <w:p>
            <w:pPr>
              <w:spacing w:after="0"/>
              <w:rPr>
                <w:sz w:val="1"/>
                <w:szCs w:val="1"/>
                <w:color w:val="auto"/>
              </w:rPr>
            </w:pPr>
          </w:p>
        </w:tc>
      </w:tr>
      <w:tr>
        <w:trPr>
          <w:trHeight w:val="169"/>
        </w:trPr>
        <w:tc>
          <w:tcPr>
            <w:tcW w:w="2700" w:type="dxa"/>
            <w:vAlign w:val="bottom"/>
          </w:tcPr>
          <w:p>
            <w:pPr>
              <w:ind w:left="20"/>
              <w:spacing w:after="0"/>
              <w:rPr>
                <w:sz w:val="20"/>
                <w:szCs w:val="20"/>
                <w:color w:val="auto"/>
              </w:rPr>
            </w:pPr>
            <w:r>
              <w:rPr>
                <w:rFonts w:ascii="Arial" w:cs="Arial" w:eastAsia="Arial" w:hAnsi="Arial"/>
                <w:sz w:val="14"/>
                <w:szCs w:val="14"/>
                <w:color w:val="auto"/>
              </w:rPr>
              <w:t>$603</w:t>
            </w:r>
          </w:p>
        </w:tc>
        <w:tc>
          <w:tcPr>
            <w:tcW w:w="68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380" w:type="dxa"/>
            <w:vAlign w:val="bottom"/>
            <w:gridSpan w:val="2"/>
            <w:shd w:val="clear" w:color="auto" w:fill="CCEEFF"/>
          </w:tcPr>
          <w:p>
            <w:pPr>
              <w:ind w:left="20"/>
              <w:spacing w:after="0" w:line="152" w:lineRule="exact"/>
              <w:rPr>
                <w:sz w:val="20"/>
                <w:szCs w:val="20"/>
                <w:color w:val="auto"/>
              </w:rPr>
            </w:pPr>
            <w:r>
              <w:rPr>
                <w:rFonts w:ascii="Arial" w:cs="Arial" w:eastAsia="Arial" w:hAnsi="Arial"/>
                <w:sz w:val="14"/>
                <w:szCs w:val="14"/>
                <w:color w:val="auto"/>
              </w:rPr>
              <w:t>Issuance of shares of common stock</w:t>
            </w:r>
          </w:p>
        </w:tc>
        <w:tc>
          <w:tcPr>
            <w:tcW w:w="36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3"/>
                <w:szCs w:val="13"/>
                <w:color w:val="auto"/>
              </w:rPr>
            </w:pPr>
          </w:p>
        </w:tc>
        <w:tc>
          <w:tcPr>
            <w:tcW w:w="340" w:type="dxa"/>
            <w:vAlign w:val="bottom"/>
            <w:tcBorders>
              <w:right w:val="single" w:sz="8" w:color="auto"/>
            </w:tcBorders>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111,282</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325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169"/>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upon the exercise of stock options</w:t>
            </w:r>
          </w:p>
        </w:tc>
        <w:tc>
          <w:tcPr>
            <w:tcW w:w="360" w:type="dxa"/>
            <w:vAlign w:val="bottom"/>
            <w:gridSpan w:val="2"/>
            <w:vMerge w:val="continue"/>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380" w:type="dxa"/>
            <w:vAlign w:val="bottom"/>
            <w:gridSpan w:val="2"/>
          </w:tcPr>
          <w:p>
            <w:pPr>
              <w:ind w:left="20"/>
              <w:spacing w:after="0"/>
              <w:rPr>
                <w:sz w:val="20"/>
                <w:szCs w:val="20"/>
                <w:color w:val="auto"/>
              </w:rPr>
            </w:pPr>
            <w:r>
              <w:rPr>
                <w:rFonts w:ascii="Arial" w:cs="Arial" w:eastAsia="Arial" w:hAnsi="Arial"/>
                <w:sz w:val="14"/>
                <w:szCs w:val="14"/>
                <w:color w:val="auto"/>
              </w:rPr>
              <w:t>Issuance of restricted stock units</w:t>
            </w: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40" w:type="dxa"/>
            <w:vAlign w:val="bottom"/>
            <w:tcBorders>
              <w:right w:val="single" w:sz="8" w:color="auto"/>
            </w:tcBorders>
            <w:gridSpan w:val="2"/>
          </w:tcPr>
          <w:p>
            <w:pPr>
              <w:ind w:lef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32,362</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2"/>
        </w:trPr>
        <w:tc>
          <w:tcPr>
            <w:tcW w:w="3380" w:type="dxa"/>
            <w:vAlign w:val="bottom"/>
            <w:gridSpan w:val="2"/>
            <w:shd w:val="clear" w:color="auto" w:fill="CCEEFF"/>
          </w:tcPr>
          <w:p>
            <w:pPr>
              <w:ind w:left="20"/>
              <w:spacing w:after="0" w:line="152" w:lineRule="exact"/>
              <w:rPr>
                <w:sz w:val="20"/>
                <w:szCs w:val="20"/>
                <w:color w:val="auto"/>
              </w:rPr>
            </w:pPr>
            <w:r>
              <w:rPr>
                <w:rFonts w:ascii="Arial" w:cs="Arial" w:eastAsia="Arial" w:hAnsi="Arial"/>
                <w:sz w:val="14"/>
                <w:szCs w:val="14"/>
                <w:color w:val="auto"/>
              </w:rPr>
              <w:t>Lapse of repurchase rights related to</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380" w:type="dxa"/>
            <w:vAlign w:val="bottom"/>
            <w:gridSpan w:val="2"/>
            <w:shd w:val="clear" w:color="auto" w:fill="CCEEFF"/>
          </w:tcPr>
          <w:p>
            <w:pPr>
              <w:ind w:left="20"/>
              <w:spacing w:after="0" w:line="134" w:lineRule="exact"/>
              <w:rPr>
                <w:sz w:val="20"/>
                <w:szCs w:val="20"/>
                <w:color w:val="auto"/>
              </w:rPr>
            </w:pPr>
            <w:r>
              <w:rPr>
                <w:rFonts w:ascii="Arial" w:cs="Arial" w:eastAsia="Arial" w:hAnsi="Arial"/>
                <w:sz w:val="14"/>
                <w:szCs w:val="14"/>
                <w:color w:val="auto"/>
              </w:rPr>
              <w:t>common stock issued pursuant to early</w:t>
            </w:r>
          </w:p>
        </w:tc>
        <w:tc>
          <w:tcPr>
            <w:tcW w:w="36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1"/>
                <w:szCs w:val="11"/>
                <w:color w:val="auto"/>
              </w:rPr>
            </w:pPr>
          </w:p>
        </w:tc>
        <w:tc>
          <w:tcPr>
            <w:tcW w:w="340" w:type="dxa"/>
            <w:vAlign w:val="bottom"/>
            <w:tcBorders>
              <w:right w:val="single" w:sz="8" w:color="auto"/>
            </w:tcBorders>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79,925</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53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69"/>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exercises</w:t>
            </w:r>
          </w:p>
        </w:tc>
        <w:tc>
          <w:tcPr>
            <w:tcW w:w="360" w:type="dxa"/>
            <w:vAlign w:val="bottom"/>
            <w:gridSpan w:val="2"/>
            <w:vMerge w:val="continue"/>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380" w:type="dxa"/>
            <w:vAlign w:val="bottom"/>
            <w:gridSpan w:val="2"/>
          </w:tcPr>
          <w:p>
            <w:pPr>
              <w:ind w:left="20"/>
              <w:spacing w:after="0"/>
              <w:rPr>
                <w:sz w:val="20"/>
                <w:szCs w:val="20"/>
                <w:color w:val="auto"/>
              </w:rPr>
            </w:pPr>
            <w:r>
              <w:rPr>
                <w:rFonts w:ascii="Arial" w:cs="Arial" w:eastAsia="Arial" w:hAnsi="Arial"/>
                <w:sz w:val="14"/>
                <w:szCs w:val="14"/>
                <w:color w:val="auto"/>
              </w:rPr>
              <w:t>Stock-based compensation expense</w:t>
            </w: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40" w:type="dxa"/>
            <w:vAlign w:val="bottom"/>
            <w:tcBorders>
              <w:right w:val="single" w:sz="8" w:color="auto"/>
            </w:tcBorders>
            <w:gridSpan w:val="2"/>
          </w:tcPr>
          <w:p>
            <w:pPr>
              <w:ind w:lef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8,503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8,503</w:t>
            </w:r>
          </w:p>
        </w:tc>
        <w:tc>
          <w:tcPr>
            <w:tcW w:w="0" w:type="dxa"/>
            <w:vAlign w:val="bottom"/>
          </w:tcPr>
          <w:p>
            <w:pPr>
              <w:spacing w:after="0"/>
              <w:rPr>
                <w:sz w:val="1"/>
                <w:szCs w:val="1"/>
                <w:color w:val="auto"/>
              </w:rPr>
            </w:pPr>
          </w:p>
        </w:tc>
      </w:tr>
      <w:tr>
        <w:trPr>
          <w:trHeight w:val="187"/>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Unrealized gain on marketable securities</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40" w:type="dxa"/>
            <w:vAlign w:val="bottom"/>
            <w:tcBorders>
              <w:right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7"/>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w:t>
            </w:r>
          </w:p>
        </w:tc>
        <w:tc>
          <w:tcPr>
            <w:tcW w:w="6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(36,042)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(36,042)</w:t>
            </w:r>
          </w:p>
        </w:tc>
        <w:tc>
          <w:tcPr>
            <w:tcW w:w="0" w:type="dxa"/>
            <w:vAlign w:val="bottom"/>
          </w:tcPr>
          <w:p>
            <w:pPr>
              <w:spacing w:after="0"/>
              <w:rPr>
                <w:sz w:val="1"/>
                <w:szCs w:val="1"/>
                <w:color w:val="auto"/>
              </w:rPr>
            </w:pPr>
          </w:p>
        </w:tc>
      </w:tr>
      <w:tr>
        <w:trPr>
          <w:trHeight w:val="181"/>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Balance—March 31, 2021</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53"/>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49,887,007</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5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688,939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(237,992)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450,994</w:t>
            </w:r>
          </w:p>
        </w:tc>
        <w:tc>
          <w:tcPr>
            <w:tcW w:w="0" w:type="dxa"/>
            <w:vAlign w:val="bottom"/>
          </w:tcPr>
          <w:p>
            <w:pPr>
              <w:spacing w:after="0"/>
              <w:rPr>
                <w:sz w:val="1"/>
                <w:szCs w:val="1"/>
                <w:color w:val="auto"/>
              </w:rPr>
            </w:pPr>
          </w:p>
        </w:tc>
      </w:tr>
      <w:tr>
        <w:trPr>
          <w:trHeight w:val="152"/>
        </w:trPr>
        <w:tc>
          <w:tcPr>
            <w:tcW w:w="3380" w:type="dxa"/>
            <w:vAlign w:val="bottom"/>
            <w:gridSpan w:val="2"/>
          </w:tcPr>
          <w:p>
            <w:pPr>
              <w:ind w:left="20"/>
              <w:spacing w:after="0" w:line="152" w:lineRule="exact"/>
              <w:rPr>
                <w:sz w:val="20"/>
                <w:szCs w:val="20"/>
                <w:color w:val="auto"/>
              </w:rPr>
            </w:pPr>
            <w:r>
              <w:rPr>
                <w:rFonts w:ascii="Arial" w:cs="Arial" w:eastAsia="Arial" w:hAnsi="Arial"/>
                <w:sz w:val="14"/>
                <w:szCs w:val="14"/>
                <w:color w:val="auto"/>
              </w:rPr>
              <w:t>Issuance of common stock upon the</w:t>
            </w:r>
          </w:p>
        </w:tc>
        <w:tc>
          <w:tcPr>
            <w:tcW w:w="36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3"/>
                <w:szCs w:val="13"/>
                <w:color w:val="auto"/>
              </w:rPr>
            </w:pPr>
          </w:p>
        </w:tc>
        <w:tc>
          <w:tcPr>
            <w:tcW w:w="34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62,314</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20" w:type="dxa"/>
            <w:vAlign w:val="bottom"/>
            <w:vMerge w:val="restart"/>
          </w:tcPr>
          <w:p>
            <w:pPr>
              <w:jc w:val="right"/>
              <w:ind w:right="11"/>
              <w:spacing w:after="0"/>
              <w:rPr>
                <w:sz w:val="20"/>
                <w:szCs w:val="20"/>
                <w:color w:val="auto"/>
              </w:rPr>
            </w:pPr>
            <w:r>
              <w:rPr>
                <w:rFonts w:ascii="Arial" w:cs="Arial" w:eastAsia="Arial" w:hAnsi="Arial"/>
                <w:sz w:val="14"/>
                <w:szCs w:val="14"/>
                <w:color w:val="auto"/>
              </w:rPr>
              <w:t>710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4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710</w:t>
            </w:r>
          </w:p>
        </w:tc>
        <w:tc>
          <w:tcPr>
            <w:tcW w:w="0" w:type="dxa"/>
            <w:vAlign w:val="bottom"/>
          </w:tcPr>
          <w:p>
            <w:pPr>
              <w:spacing w:after="0"/>
              <w:rPr>
                <w:sz w:val="1"/>
                <w:szCs w:val="1"/>
                <w:color w:val="auto"/>
              </w:rPr>
            </w:pPr>
          </w:p>
        </w:tc>
      </w:tr>
      <w:tr>
        <w:trPr>
          <w:trHeight w:val="169"/>
        </w:trPr>
        <w:tc>
          <w:tcPr>
            <w:tcW w:w="3380" w:type="dxa"/>
            <w:vAlign w:val="bottom"/>
            <w:gridSpan w:val="2"/>
          </w:tcPr>
          <w:p>
            <w:pPr>
              <w:ind w:left="20"/>
              <w:spacing w:after="0"/>
              <w:rPr>
                <w:sz w:val="20"/>
                <w:szCs w:val="20"/>
                <w:color w:val="auto"/>
              </w:rPr>
            </w:pPr>
            <w:r>
              <w:rPr>
                <w:rFonts w:ascii="Arial" w:cs="Arial" w:eastAsia="Arial" w:hAnsi="Arial"/>
                <w:sz w:val="14"/>
                <w:szCs w:val="14"/>
                <w:color w:val="auto"/>
              </w:rPr>
              <w:t>exercise of stock options</w:t>
            </w:r>
          </w:p>
        </w:tc>
        <w:tc>
          <w:tcPr>
            <w:tcW w:w="36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380" w:type="dxa"/>
            <w:vAlign w:val="bottom"/>
            <w:gridSpan w:val="2"/>
            <w:shd w:val="clear" w:color="auto" w:fill="CCEEFF"/>
          </w:tcPr>
          <w:p>
            <w:pPr>
              <w:ind w:left="20"/>
              <w:spacing w:after="0" w:line="152" w:lineRule="exact"/>
              <w:rPr>
                <w:sz w:val="20"/>
                <w:szCs w:val="20"/>
                <w:color w:val="auto"/>
              </w:rPr>
            </w:pPr>
            <w:r>
              <w:rPr>
                <w:rFonts w:ascii="Arial" w:cs="Arial" w:eastAsia="Arial" w:hAnsi="Arial"/>
                <w:sz w:val="14"/>
                <w:szCs w:val="14"/>
                <w:color w:val="auto"/>
              </w:rPr>
              <w:t>Lapse of repurchase rights related to</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380" w:type="dxa"/>
            <w:vAlign w:val="bottom"/>
            <w:gridSpan w:val="2"/>
            <w:shd w:val="clear" w:color="auto" w:fill="CCEEFF"/>
          </w:tcPr>
          <w:p>
            <w:pPr>
              <w:ind w:left="20"/>
              <w:spacing w:after="0" w:line="134" w:lineRule="exact"/>
              <w:rPr>
                <w:sz w:val="20"/>
                <w:szCs w:val="20"/>
                <w:color w:val="auto"/>
              </w:rPr>
            </w:pPr>
            <w:r>
              <w:rPr>
                <w:rFonts w:ascii="Arial" w:cs="Arial" w:eastAsia="Arial" w:hAnsi="Arial"/>
                <w:sz w:val="14"/>
                <w:szCs w:val="14"/>
                <w:color w:val="auto"/>
              </w:rPr>
              <w:t>common stock issued pursuant to early</w:t>
            </w:r>
          </w:p>
        </w:tc>
        <w:tc>
          <w:tcPr>
            <w:tcW w:w="36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1"/>
                <w:szCs w:val="11"/>
                <w:color w:val="auto"/>
              </w:rPr>
            </w:pPr>
          </w:p>
        </w:tc>
        <w:tc>
          <w:tcPr>
            <w:tcW w:w="340" w:type="dxa"/>
            <w:vAlign w:val="bottom"/>
            <w:tcBorders>
              <w:right w:val="single" w:sz="8" w:color="auto"/>
            </w:tcBorders>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73,623</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52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69"/>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exercises</w:t>
            </w:r>
          </w:p>
        </w:tc>
        <w:tc>
          <w:tcPr>
            <w:tcW w:w="360" w:type="dxa"/>
            <w:vAlign w:val="bottom"/>
            <w:gridSpan w:val="2"/>
            <w:vMerge w:val="continue"/>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380" w:type="dxa"/>
            <w:vAlign w:val="bottom"/>
            <w:gridSpan w:val="2"/>
          </w:tcPr>
          <w:p>
            <w:pPr>
              <w:ind w:left="20"/>
              <w:spacing w:after="0" w:line="152" w:lineRule="exact"/>
              <w:rPr>
                <w:sz w:val="20"/>
                <w:szCs w:val="20"/>
                <w:color w:val="auto"/>
              </w:rPr>
            </w:pPr>
            <w:r>
              <w:rPr>
                <w:rFonts w:ascii="Arial" w:cs="Arial" w:eastAsia="Arial" w:hAnsi="Arial"/>
                <w:sz w:val="14"/>
                <w:szCs w:val="14"/>
                <w:color w:val="auto"/>
              </w:rPr>
              <w:t>Shares issued pursuant to the employee</w:t>
            </w:r>
          </w:p>
        </w:tc>
        <w:tc>
          <w:tcPr>
            <w:tcW w:w="36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3"/>
                <w:szCs w:val="13"/>
                <w:color w:val="auto"/>
              </w:rPr>
            </w:pPr>
          </w:p>
        </w:tc>
        <w:tc>
          <w:tcPr>
            <w:tcW w:w="34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22,658</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20" w:type="dxa"/>
            <w:vAlign w:val="bottom"/>
            <w:vMerge w:val="restart"/>
          </w:tcPr>
          <w:p>
            <w:pPr>
              <w:jc w:val="right"/>
              <w:ind w:right="11"/>
              <w:spacing w:after="0"/>
              <w:rPr>
                <w:sz w:val="20"/>
                <w:szCs w:val="20"/>
                <w:color w:val="auto"/>
              </w:rPr>
            </w:pPr>
            <w:r>
              <w:rPr>
                <w:rFonts w:ascii="Arial" w:cs="Arial" w:eastAsia="Arial" w:hAnsi="Arial"/>
                <w:sz w:val="14"/>
                <w:szCs w:val="14"/>
                <w:color w:val="auto"/>
              </w:rPr>
              <w:t>478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4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478</w:t>
            </w:r>
          </w:p>
        </w:tc>
        <w:tc>
          <w:tcPr>
            <w:tcW w:w="0" w:type="dxa"/>
            <w:vAlign w:val="bottom"/>
          </w:tcPr>
          <w:p>
            <w:pPr>
              <w:spacing w:after="0"/>
              <w:rPr>
                <w:sz w:val="1"/>
                <w:szCs w:val="1"/>
                <w:color w:val="auto"/>
              </w:rPr>
            </w:pPr>
          </w:p>
        </w:tc>
      </w:tr>
      <w:tr>
        <w:trPr>
          <w:trHeight w:val="169"/>
        </w:trPr>
        <w:tc>
          <w:tcPr>
            <w:tcW w:w="3380" w:type="dxa"/>
            <w:vAlign w:val="bottom"/>
            <w:gridSpan w:val="2"/>
          </w:tcPr>
          <w:p>
            <w:pPr>
              <w:ind w:left="20"/>
              <w:spacing w:after="0"/>
              <w:rPr>
                <w:sz w:val="20"/>
                <w:szCs w:val="20"/>
                <w:color w:val="auto"/>
              </w:rPr>
            </w:pPr>
            <w:r>
              <w:rPr>
                <w:rFonts w:ascii="Arial" w:cs="Arial" w:eastAsia="Arial" w:hAnsi="Arial"/>
                <w:sz w:val="14"/>
                <w:szCs w:val="14"/>
                <w:color w:val="auto"/>
              </w:rPr>
              <w:t>stock purchase plan</w:t>
            </w:r>
          </w:p>
        </w:tc>
        <w:tc>
          <w:tcPr>
            <w:tcW w:w="36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40" w:type="dxa"/>
            <w:vAlign w:val="bottom"/>
            <w:tcBorders>
              <w:right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4,340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4,340</w:t>
            </w:r>
          </w:p>
        </w:tc>
        <w:tc>
          <w:tcPr>
            <w:tcW w:w="0" w:type="dxa"/>
            <w:vAlign w:val="bottom"/>
          </w:tcPr>
          <w:p>
            <w:pPr>
              <w:spacing w:after="0"/>
              <w:rPr>
                <w:sz w:val="1"/>
                <w:szCs w:val="1"/>
                <w:color w:val="auto"/>
              </w:rPr>
            </w:pPr>
          </w:p>
        </w:tc>
      </w:tr>
      <w:tr>
        <w:trPr>
          <w:trHeight w:val="187"/>
        </w:trPr>
        <w:tc>
          <w:tcPr>
            <w:tcW w:w="3380" w:type="dxa"/>
            <w:vAlign w:val="bottom"/>
            <w:gridSpan w:val="2"/>
          </w:tcPr>
          <w:p>
            <w:pPr>
              <w:ind w:left="20"/>
              <w:spacing w:after="0"/>
              <w:rPr>
                <w:sz w:val="20"/>
                <w:szCs w:val="20"/>
                <w:color w:val="auto"/>
              </w:rPr>
            </w:pPr>
            <w:r>
              <w:rPr>
                <w:rFonts w:ascii="Arial" w:cs="Arial" w:eastAsia="Arial" w:hAnsi="Arial"/>
                <w:sz w:val="14"/>
                <w:szCs w:val="14"/>
                <w:color w:val="auto"/>
              </w:rPr>
              <w:t>Unrealized loss on marketable securities</w:t>
            </w: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40" w:type="dxa"/>
            <w:vAlign w:val="bottom"/>
            <w:tcBorders>
              <w:right w:val="single" w:sz="8" w:color="auto"/>
            </w:tcBorders>
            <w:gridSpan w:val="2"/>
          </w:tcPr>
          <w:p>
            <w:pPr>
              <w:ind w:lef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87"/>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68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(42,008)</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(42,008)</w:t>
            </w:r>
          </w:p>
        </w:tc>
        <w:tc>
          <w:tcPr>
            <w:tcW w:w="0" w:type="dxa"/>
            <w:vAlign w:val="bottom"/>
          </w:tcPr>
          <w:p>
            <w:pPr>
              <w:spacing w:after="0"/>
              <w:rPr>
                <w:sz w:val="1"/>
                <w:szCs w:val="1"/>
                <w:color w:val="auto"/>
              </w:rPr>
            </w:pPr>
          </w:p>
        </w:tc>
      </w:tr>
      <w:tr>
        <w:trPr>
          <w:trHeight w:val="221"/>
        </w:trPr>
        <w:tc>
          <w:tcPr>
            <w:tcW w:w="2700" w:type="dxa"/>
            <w:vAlign w:val="bottom"/>
          </w:tcPr>
          <w:p>
            <w:pPr>
              <w:ind w:left="20"/>
              <w:spacing w:after="0"/>
              <w:rPr>
                <w:sz w:val="20"/>
                <w:szCs w:val="20"/>
                <w:color w:val="auto"/>
              </w:rPr>
            </w:pPr>
            <w:r>
              <w:rPr>
                <w:rFonts w:ascii="Arial" w:cs="Arial" w:eastAsia="Arial" w:hAnsi="Arial"/>
                <w:sz w:val="14"/>
                <w:szCs w:val="14"/>
                <w:color w:val="auto"/>
              </w:rPr>
              <w:t>Balance—June 30, 2021</w:t>
            </w:r>
          </w:p>
        </w:tc>
        <w:tc>
          <w:tcPr>
            <w:tcW w:w="6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7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50,045,602</w:t>
            </w:r>
          </w:p>
        </w:tc>
        <w:tc>
          <w:tcPr>
            <w:tcW w:w="100" w:type="dxa"/>
            <w:vAlign w:val="bottom"/>
          </w:tcPr>
          <w:p>
            <w:pPr>
              <w:spacing w:after="0"/>
              <w:rPr>
                <w:sz w:val="19"/>
                <w:szCs w:val="19"/>
                <w:color w:val="auto"/>
              </w:rPr>
            </w:pPr>
          </w:p>
        </w:tc>
        <w:tc>
          <w:tcPr>
            <w:tcW w:w="7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694,519</w:t>
            </w: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(280,000)</w:t>
            </w:r>
          </w:p>
        </w:tc>
        <w:tc>
          <w:tcPr>
            <w:tcW w:w="10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414,488</w:t>
            </w:r>
          </w:p>
        </w:tc>
        <w:tc>
          <w:tcPr>
            <w:tcW w:w="0" w:type="dxa"/>
            <w:vAlign w:val="bottom"/>
          </w:tcPr>
          <w:p>
            <w:pPr>
              <w:spacing w:after="0"/>
              <w:rPr>
                <w:sz w:val="1"/>
                <w:szCs w:val="1"/>
                <w:color w:val="auto"/>
              </w:rPr>
            </w:pP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46"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ARCUTIS BIOTHERAPEUTICS, INC.</w:t>
      </w:r>
    </w:p>
    <w:p>
      <w:pPr>
        <w:spacing w:after="0" w:line="6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Condensed Statements of Cash Flows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569"/>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1"/>
        </w:trPr>
        <w:tc>
          <w:tcPr>
            <w:tcW w:w="8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7"/>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8100" w:type="dxa"/>
            <w:vAlign w:val="bottom"/>
          </w:tcPr>
          <w:p>
            <w:pPr>
              <w:ind w:left="20"/>
              <w:spacing w:after="0"/>
              <w:rPr>
                <w:sz w:val="20"/>
                <w:szCs w:val="20"/>
                <w:color w:val="auto"/>
              </w:rPr>
            </w:pPr>
            <w:r>
              <w:rPr>
                <w:rFonts w:ascii="Arial" w:cs="Arial" w:eastAsia="Arial" w:hAnsi="Arial"/>
                <w:sz w:val="14"/>
                <w:szCs w:val="14"/>
                <w:color w:val="auto"/>
              </w:rPr>
              <w:t>Net loss</w:t>
            </w: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(78,050)</w:t>
            </w:r>
          </w:p>
        </w:tc>
        <w:tc>
          <w:tcPr>
            <w:tcW w:w="100" w:type="dxa"/>
            <w:vAlign w:val="bottom"/>
          </w:tcPr>
          <w:p>
            <w:pPr>
              <w:spacing w:after="0"/>
              <w:rPr>
                <w:sz w:val="16"/>
                <w:szCs w:val="16"/>
                <w:color w:val="auto"/>
              </w:rPr>
            </w:pP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(63,425)</w:t>
            </w:r>
          </w:p>
        </w:tc>
        <w:tc>
          <w:tcPr>
            <w:tcW w:w="0" w:type="dxa"/>
            <w:vAlign w:val="bottom"/>
          </w:tcPr>
          <w:p>
            <w:pPr>
              <w:spacing w:after="0"/>
              <w:rPr>
                <w:sz w:val="1"/>
                <w:szCs w:val="1"/>
                <w:color w:val="auto"/>
              </w:rPr>
            </w:pPr>
          </w:p>
        </w:tc>
      </w:tr>
      <w:tr>
        <w:trPr>
          <w:trHeight w:val="187"/>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100" w:type="dxa"/>
            <w:vAlign w:val="bottom"/>
          </w:tcPr>
          <w:p>
            <w:pPr>
              <w:ind w:left="660"/>
              <w:spacing w:after="0"/>
              <w:rPr>
                <w:sz w:val="20"/>
                <w:szCs w:val="20"/>
                <w:color w:val="auto"/>
              </w:rPr>
            </w:pPr>
            <w:r>
              <w:rPr>
                <w:rFonts w:ascii="Arial" w:cs="Arial" w:eastAsia="Arial" w:hAnsi="Arial"/>
                <w:sz w:val="14"/>
                <w:szCs w:val="14"/>
                <w:color w:val="auto"/>
              </w:rPr>
              <w:t>Depreciation</w:t>
            </w:r>
          </w:p>
        </w:tc>
        <w:tc>
          <w:tcPr>
            <w:tcW w:w="360" w:type="dxa"/>
            <w:vAlign w:val="bottom"/>
          </w:tcPr>
          <w:p>
            <w:pPr>
              <w:spacing w:after="0"/>
              <w:rPr>
                <w:sz w:val="16"/>
                <w:szCs w:val="16"/>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87"/>
        </w:trPr>
        <w:tc>
          <w:tcPr>
            <w:tcW w:w="81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Non-cash lease expense</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87"/>
        </w:trPr>
        <w:tc>
          <w:tcPr>
            <w:tcW w:w="8100" w:type="dxa"/>
            <w:vAlign w:val="bottom"/>
          </w:tcPr>
          <w:p>
            <w:pPr>
              <w:ind w:left="660"/>
              <w:spacing w:after="0"/>
              <w:rPr>
                <w:sz w:val="20"/>
                <w:szCs w:val="20"/>
                <w:color w:val="auto"/>
              </w:rPr>
            </w:pPr>
            <w:r>
              <w:rPr>
                <w:rFonts w:ascii="Arial" w:cs="Arial" w:eastAsia="Arial" w:hAnsi="Arial"/>
                <w:sz w:val="14"/>
                <w:szCs w:val="14"/>
                <w:color w:val="auto"/>
              </w:rPr>
              <w:t>Net amortization/accretion on marketable securities</w:t>
            </w:r>
          </w:p>
        </w:tc>
        <w:tc>
          <w:tcPr>
            <w:tcW w:w="360" w:type="dxa"/>
            <w:vAlign w:val="bottom"/>
          </w:tcPr>
          <w:p>
            <w:pPr>
              <w:spacing w:after="0"/>
              <w:rPr>
                <w:sz w:val="16"/>
                <w:szCs w:val="16"/>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1,415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187"/>
        </w:trPr>
        <w:tc>
          <w:tcPr>
            <w:tcW w:w="81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Stock-based compensation expense</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12,843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3,039</w:t>
            </w:r>
          </w:p>
        </w:tc>
        <w:tc>
          <w:tcPr>
            <w:tcW w:w="0" w:type="dxa"/>
            <w:vAlign w:val="bottom"/>
          </w:tcPr>
          <w:p>
            <w:pPr>
              <w:spacing w:after="0"/>
              <w:rPr>
                <w:sz w:val="1"/>
                <w:szCs w:val="1"/>
                <w:color w:val="auto"/>
              </w:rPr>
            </w:pPr>
          </w:p>
        </w:tc>
      </w:tr>
      <w:tr>
        <w:trPr>
          <w:trHeight w:val="187"/>
        </w:trPr>
        <w:tc>
          <w:tcPr>
            <w:tcW w:w="8100" w:type="dxa"/>
            <w:vAlign w:val="bottom"/>
          </w:tcPr>
          <w:p>
            <w:pPr>
              <w:ind w:left="660"/>
              <w:spacing w:after="0"/>
              <w:rPr>
                <w:sz w:val="20"/>
                <w:szCs w:val="20"/>
                <w:color w:val="auto"/>
              </w:rPr>
            </w:pPr>
            <w:r>
              <w:rPr>
                <w:rFonts w:ascii="Arial" w:cs="Arial" w:eastAsia="Arial" w:hAnsi="Arial"/>
                <w:sz w:val="14"/>
                <w:szCs w:val="14"/>
                <w:color w:val="auto"/>
              </w:rPr>
              <w:t>Changes in operating assets and liabilities: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100" w:type="dxa"/>
            <w:vAlign w:val="bottom"/>
            <w:shd w:val="clear" w:color="auto" w:fill="CCEEFF"/>
          </w:tcPr>
          <w:p>
            <w:pPr>
              <w:ind w:left="980"/>
              <w:spacing w:after="0"/>
              <w:rPr>
                <w:sz w:val="20"/>
                <w:szCs w:val="20"/>
                <w:color w:val="auto"/>
              </w:rPr>
            </w:pPr>
            <w:r>
              <w:rPr>
                <w:rFonts w:ascii="Arial" w:cs="Arial" w:eastAsia="Arial" w:hAnsi="Arial"/>
                <w:sz w:val="14"/>
                <w:szCs w:val="14"/>
                <w:color w:val="auto"/>
              </w:rPr>
              <w:t>Prepaid expenses and other current assets</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(9,805)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w:t>
            </w:r>
          </w:p>
        </w:tc>
        <w:tc>
          <w:tcPr>
            <w:tcW w:w="0" w:type="dxa"/>
            <w:vAlign w:val="bottom"/>
          </w:tcPr>
          <w:p>
            <w:pPr>
              <w:spacing w:after="0"/>
              <w:rPr>
                <w:sz w:val="1"/>
                <w:szCs w:val="1"/>
                <w:color w:val="auto"/>
              </w:rPr>
            </w:pPr>
          </w:p>
        </w:tc>
      </w:tr>
      <w:tr>
        <w:trPr>
          <w:trHeight w:val="187"/>
        </w:trPr>
        <w:tc>
          <w:tcPr>
            <w:tcW w:w="8100" w:type="dxa"/>
            <w:vAlign w:val="bottom"/>
          </w:tcPr>
          <w:p>
            <w:pPr>
              <w:ind w:left="980"/>
              <w:spacing w:after="0"/>
              <w:rPr>
                <w:sz w:val="20"/>
                <w:szCs w:val="20"/>
                <w:color w:val="auto"/>
              </w:rPr>
            </w:pPr>
            <w:r>
              <w:rPr>
                <w:rFonts w:ascii="Arial" w:cs="Arial" w:eastAsia="Arial" w:hAnsi="Arial"/>
                <w:sz w:val="14"/>
                <w:szCs w:val="14"/>
                <w:color w:val="auto"/>
              </w:rPr>
              <w:t>Accounts payable</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(4,386)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6,910</w:t>
            </w:r>
          </w:p>
        </w:tc>
        <w:tc>
          <w:tcPr>
            <w:tcW w:w="0" w:type="dxa"/>
            <w:vAlign w:val="bottom"/>
          </w:tcPr>
          <w:p>
            <w:pPr>
              <w:spacing w:after="0"/>
              <w:rPr>
                <w:sz w:val="1"/>
                <w:szCs w:val="1"/>
                <w:color w:val="auto"/>
              </w:rPr>
            </w:pPr>
          </w:p>
        </w:tc>
      </w:tr>
      <w:tr>
        <w:trPr>
          <w:trHeight w:val="187"/>
        </w:trPr>
        <w:tc>
          <w:tcPr>
            <w:tcW w:w="8100" w:type="dxa"/>
            <w:vAlign w:val="bottom"/>
            <w:shd w:val="clear" w:color="auto" w:fill="CCEEFF"/>
          </w:tcPr>
          <w:p>
            <w:pPr>
              <w:ind w:left="980"/>
              <w:spacing w:after="0"/>
              <w:rPr>
                <w:sz w:val="20"/>
                <w:szCs w:val="20"/>
                <w:color w:val="auto"/>
              </w:rPr>
            </w:pPr>
            <w:r>
              <w:rPr>
                <w:rFonts w:ascii="Arial" w:cs="Arial" w:eastAsia="Arial" w:hAnsi="Arial"/>
                <w:sz w:val="14"/>
                <w:szCs w:val="14"/>
                <w:color w:val="auto"/>
              </w:rPr>
              <w:t>Accrued liabilities</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7,595</w:t>
            </w:r>
          </w:p>
        </w:tc>
        <w:tc>
          <w:tcPr>
            <w:tcW w:w="0" w:type="dxa"/>
            <w:vAlign w:val="bottom"/>
          </w:tcPr>
          <w:p>
            <w:pPr>
              <w:spacing w:after="0"/>
              <w:rPr>
                <w:sz w:val="1"/>
                <w:szCs w:val="1"/>
                <w:color w:val="auto"/>
              </w:rPr>
            </w:pPr>
          </w:p>
        </w:tc>
      </w:tr>
      <w:tr>
        <w:trPr>
          <w:trHeight w:val="187"/>
        </w:trPr>
        <w:tc>
          <w:tcPr>
            <w:tcW w:w="8100" w:type="dxa"/>
            <w:vAlign w:val="bottom"/>
            <w:tcBorders>
              <w:bottom w:val="single" w:sz="8" w:color="CCEEFF"/>
            </w:tcBorders>
          </w:tcPr>
          <w:p>
            <w:pPr>
              <w:ind w:left="980"/>
              <w:spacing w:after="0"/>
              <w:rPr>
                <w:sz w:val="20"/>
                <w:szCs w:val="20"/>
                <w:color w:val="auto"/>
              </w:rPr>
            </w:pPr>
            <w:r>
              <w:rPr>
                <w:rFonts w:ascii="Arial" w:cs="Arial" w:eastAsia="Arial" w:hAnsi="Arial"/>
                <w:sz w:val="14"/>
                <w:szCs w:val="14"/>
                <w:color w:val="auto"/>
              </w:rPr>
              <w:t>Operating lease liabilities</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174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1440"/>
              <w:spacing w:after="0"/>
              <w:rPr>
                <w:sz w:val="20"/>
                <w:szCs w:val="20"/>
                <w:color w:val="auto"/>
              </w:rPr>
            </w:pPr>
            <w:r>
              <w:rPr>
                <w:rFonts w:ascii="Arial" w:cs="Arial" w:eastAsia="Arial" w:hAnsi="Arial"/>
                <w:sz w:val="14"/>
                <w:szCs w:val="14"/>
                <w:color w:val="auto"/>
              </w:rPr>
              <w:t>Net cash used in operating activities</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(82,034)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(46,771)</w:t>
            </w:r>
          </w:p>
        </w:tc>
        <w:tc>
          <w:tcPr>
            <w:tcW w:w="0" w:type="dxa"/>
            <w:vAlign w:val="bottom"/>
          </w:tcPr>
          <w:p>
            <w:pPr>
              <w:spacing w:after="0"/>
              <w:rPr>
                <w:sz w:val="1"/>
                <w:szCs w:val="1"/>
                <w:color w:val="auto"/>
              </w:rPr>
            </w:pPr>
          </w:p>
        </w:tc>
      </w:tr>
      <w:tr>
        <w:trPr>
          <w:trHeight w:val="187"/>
        </w:trPr>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marketable securities</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(211,876)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(62,763)</w:t>
            </w:r>
          </w:p>
        </w:tc>
        <w:tc>
          <w:tcPr>
            <w:tcW w:w="0" w:type="dxa"/>
            <w:vAlign w:val="bottom"/>
          </w:tcPr>
          <w:p>
            <w:pPr>
              <w:spacing w:after="0"/>
              <w:rPr>
                <w:sz w:val="1"/>
                <w:szCs w:val="1"/>
                <w:color w:val="auto"/>
              </w:rPr>
            </w:pPr>
          </w:p>
        </w:tc>
      </w:tr>
      <w:tr>
        <w:trPr>
          <w:trHeight w:val="187"/>
        </w:trPr>
        <w:tc>
          <w:tcPr>
            <w:tcW w:w="8100" w:type="dxa"/>
            <w:vAlign w:val="bottom"/>
          </w:tcPr>
          <w:p>
            <w:pPr>
              <w:ind w:left="20"/>
              <w:spacing w:after="0"/>
              <w:rPr>
                <w:sz w:val="20"/>
                <w:szCs w:val="20"/>
                <w:color w:val="auto"/>
              </w:rPr>
            </w:pPr>
            <w:r>
              <w:rPr>
                <w:rFonts w:ascii="Arial" w:cs="Arial" w:eastAsia="Arial" w:hAnsi="Arial"/>
                <w:sz w:val="14"/>
                <w:szCs w:val="14"/>
                <w:color w:val="auto"/>
              </w:rPr>
              <w:t>Proceeds from maturities of marketable securities</w:t>
            </w:r>
          </w:p>
        </w:tc>
        <w:tc>
          <w:tcPr>
            <w:tcW w:w="360" w:type="dxa"/>
            <w:vAlign w:val="bottom"/>
          </w:tcPr>
          <w:p>
            <w:pPr>
              <w:spacing w:after="0"/>
              <w:rPr>
                <w:sz w:val="16"/>
                <w:szCs w:val="16"/>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109,550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48,600</w:t>
            </w:r>
          </w:p>
        </w:tc>
        <w:tc>
          <w:tcPr>
            <w:tcW w:w="0" w:type="dxa"/>
            <w:vAlign w:val="bottom"/>
          </w:tcPr>
          <w:p>
            <w:pPr>
              <w:spacing w:after="0"/>
              <w:rPr>
                <w:sz w:val="1"/>
                <w:szCs w:val="1"/>
                <w:color w:val="auto"/>
              </w:rPr>
            </w:pPr>
          </w:p>
        </w:tc>
      </w:tr>
      <w:tr>
        <w:trPr>
          <w:trHeight w:val="187"/>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property and equipment</w:t>
            </w: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(597)</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81"/>
        </w:trPr>
        <w:tc>
          <w:tcPr>
            <w:tcW w:w="8100" w:type="dxa"/>
            <w:vAlign w:val="bottom"/>
          </w:tcPr>
          <w:p>
            <w:pPr>
              <w:ind w:left="1440"/>
              <w:spacing w:after="0"/>
              <w:rPr>
                <w:sz w:val="20"/>
                <w:szCs w:val="20"/>
                <w:color w:val="auto"/>
              </w:rPr>
            </w:pPr>
            <w:r>
              <w:rPr>
                <w:rFonts w:ascii="Arial" w:cs="Arial" w:eastAsia="Arial" w:hAnsi="Arial"/>
                <w:sz w:val="14"/>
                <w:szCs w:val="14"/>
                <w:color w:val="auto"/>
              </w:rPr>
              <w:t>Net cash used in investing activities</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(102,923)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(14,221)</w:t>
            </w:r>
          </w:p>
        </w:tc>
        <w:tc>
          <w:tcPr>
            <w:tcW w:w="0" w:type="dxa"/>
            <w:vAlign w:val="bottom"/>
          </w:tcPr>
          <w:p>
            <w:pPr>
              <w:spacing w:after="0"/>
              <w:rPr>
                <w:sz w:val="1"/>
                <w:szCs w:val="1"/>
                <w:color w:val="auto"/>
              </w:rPr>
            </w:pPr>
          </w:p>
        </w:tc>
      </w:tr>
      <w:tr>
        <w:trPr>
          <w:trHeight w:val="187"/>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100" w:type="dxa"/>
            <w:vAlign w:val="bottom"/>
          </w:tcPr>
          <w:p>
            <w:pPr>
              <w:ind w:left="20"/>
              <w:spacing w:after="0"/>
              <w:rPr>
                <w:sz w:val="20"/>
                <w:szCs w:val="20"/>
                <w:color w:val="auto"/>
              </w:rPr>
            </w:pPr>
            <w:r>
              <w:rPr>
                <w:rFonts w:ascii="Arial" w:cs="Arial" w:eastAsia="Arial" w:hAnsi="Arial"/>
                <w:sz w:val="14"/>
                <w:szCs w:val="14"/>
                <w:color w:val="auto"/>
              </w:rPr>
              <w:t>Proceeds from issuance of common stock upon exercise of stock options</w:t>
            </w:r>
          </w:p>
        </w:tc>
        <w:tc>
          <w:tcPr>
            <w:tcW w:w="360" w:type="dxa"/>
            <w:vAlign w:val="bottom"/>
          </w:tcPr>
          <w:p>
            <w:pPr>
              <w:spacing w:after="0"/>
              <w:rPr>
                <w:sz w:val="16"/>
                <w:szCs w:val="16"/>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1,035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187"/>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initial public offering, net of issuance costs</w:t>
            </w:r>
          </w:p>
        </w:tc>
        <w:tc>
          <w:tcPr>
            <w:tcW w:w="3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168,642</w:t>
            </w:r>
          </w:p>
        </w:tc>
        <w:tc>
          <w:tcPr>
            <w:tcW w:w="0" w:type="dxa"/>
            <w:vAlign w:val="bottom"/>
          </w:tcPr>
          <w:p>
            <w:pPr>
              <w:spacing w:after="0"/>
              <w:rPr>
                <w:sz w:val="1"/>
                <w:szCs w:val="1"/>
                <w:color w:val="auto"/>
              </w:rPr>
            </w:pPr>
          </w:p>
        </w:tc>
      </w:tr>
      <w:tr>
        <w:trPr>
          <w:trHeight w:val="187"/>
        </w:trPr>
        <w:tc>
          <w:tcPr>
            <w:tcW w:w="8100" w:type="dxa"/>
            <w:vAlign w:val="bottom"/>
          </w:tcPr>
          <w:p>
            <w:pPr>
              <w:ind w:left="20"/>
              <w:spacing w:after="0"/>
              <w:rPr>
                <w:sz w:val="20"/>
                <w:szCs w:val="20"/>
                <w:color w:val="auto"/>
              </w:rPr>
            </w:pPr>
            <w:r>
              <w:rPr>
                <w:rFonts w:ascii="Arial" w:cs="Arial" w:eastAsia="Arial" w:hAnsi="Arial"/>
                <w:sz w:val="14"/>
                <w:szCs w:val="14"/>
                <w:color w:val="auto"/>
              </w:rPr>
              <w:t>Proceeds from issuance of common stock, net of issuance costs</w:t>
            </w:r>
          </w:p>
        </w:tc>
        <w:tc>
          <w:tcPr>
            <w:tcW w:w="360" w:type="dxa"/>
            <w:vAlign w:val="bottom"/>
          </w:tcPr>
          <w:p>
            <w:pPr>
              <w:spacing w:after="0"/>
              <w:rPr>
                <w:sz w:val="16"/>
                <w:szCs w:val="16"/>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207,490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issuance of common stock pursuant to employee stock purchase plan</w:t>
            </w: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478</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181"/>
        </w:trPr>
        <w:tc>
          <w:tcPr>
            <w:tcW w:w="8100" w:type="dxa"/>
            <w:vAlign w:val="bottom"/>
          </w:tcPr>
          <w:p>
            <w:pPr>
              <w:ind w:left="1440"/>
              <w:spacing w:after="0"/>
              <w:rPr>
                <w:sz w:val="20"/>
                <w:szCs w:val="20"/>
                <w:color w:val="auto"/>
              </w:rPr>
            </w:pPr>
            <w:r>
              <w:rPr>
                <w:rFonts w:ascii="Arial" w:cs="Arial" w:eastAsia="Arial" w:hAnsi="Arial"/>
                <w:sz w:val="14"/>
                <w:szCs w:val="14"/>
                <w:color w:val="auto"/>
              </w:rPr>
              <w:t>Net cash provided by financing activities</w:t>
            </w:r>
          </w:p>
        </w:tc>
        <w:tc>
          <w:tcPr>
            <w:tcW w:w="360" w:type="dxa"/>
            <w:vAlign w:val="bottom"/>
          </w:tcPr>
          <w:p>
            <w:pPr>
              <w:spacing w:after="0"/>
              <w:rPr>
                <w:sz w:val="15"/>
                <w:szCs w:val="15"/>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209,003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169,202</w:t>
            </w:r>
          </w:p>
        </w:tc>
        <w:tc>
          <w:tcPr>
            <w:tcW w:w="0" w:type="dxa"/>
            <w:vAlign w:val="bottom"/>
          </w:tcPr>
          <w:p>
            <w:pPr>
              <w:spacing w:after="0"/>
              <w:rPr>
                <w:sz w:val="1"/>
                <w:szCs w:val="1"/>
                <w:color w:val="auto"/>
              </w:rPr>
            </w:pPr>
          </w:p>
        </w:tc>
      </w:tr>
      <w:tr>
        <w:trPr>
          <w:trHeight w:val="187"/>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in cash, cash equivalents, and restricted cash</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24,046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108,210</w:t>
            </w:r>
          </w:p>
        </w:tc>
        <w:tc>
          <w:tcPr>
            <w:tcW w:w="0" w:type="dxa"/>
            <w:vAlign w:val="bottom"/>
          </w:tcPr>
          <w:p>
            <w:pPr>
              <w:spacing w:after="0"/>
              <w:rPr>
                <w:sz w:val="1"/>
                <w:szCs w:val="1"/>
                <w:color w:val="auto"/>
              </w:rPr>
            </w:pPr>
          </w:p>
        </w:tc>
      </w:tr>
      <w:tr>
        <w:trPr>
          <w:trHeight w:val="187"/>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66,624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63,336</w:t>
            </w:r>
          </w:p>
        </w:tc>
        <w:tc>
          <w:tcPr>
            <w:tcW w:w="0" w:type="dxa"/>
            <w:vAlign w:val="bottom"/>
          </w:tcPr>
          <w:p>
            <w:pPr>
              <w:spacing w:after="0"/>
              <w:rPr>
                <w:sz w:val="1"/>
                <w:szCs w:val="1"/>
                <w:color w:val="auto"/>
              </w:rPr>
            </w:pPr>
          </w:p>
        </w:tc>
      </w:tr>
      <w:tr>
        <w:trPr>
          <w:trHeight w:val="206"/>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at end of period</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90,670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171,546</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0"/>
              <w:spacing w:after="0" w:line="147" w:lineRule="exact"/>
              <w:rPr>
                <w:sz w:val="20"/>
                <w:szCs w:val="20"/>
                <w:color w:val="auto"/>
              </w:rPr>
            </w:pPr>
            <w:r>
              <w:rPr>
                <w:rFonts w:ascii="Arial" w:cs="Arial" w:eastAsia="Arial" w:hAnsi="Arial"/>
                <w:sz w:val="14"/>
                <w:szCs w:val="14"/>
                <w:b w:val="1"/>
                <w:bCs w:val="1"/>
                <w:color w:val="auto"/>
              </w:rPr>
              <w:t>SUPPLEMENTAL DISCLOSURES OF NON-CASH INVESTING AND FINANCING INFORMATION: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8100" w:type="dxa"/>
            <w:vAlign w:val="bottom"/>
            <w:vMerge w:val="continue"/>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100" w:type="dxa"/>
            <w:vAlign w:val="bottom"/>
            <w:tcBorders>
              <w:bottom w:val="single" w:sz="8" w:color="CCEEFF"/>
            </w:tcBorders>
            <w:shd w:val="clear" w:color="auto" w:fill="CCEEFF"/>
          </w:tcPr>
          <w:p>
            <w:pPr>
              <w:ind w:left="340"/>
              <w:spacing w:after="0" w:line="156" w:lineRule="exact"/>
              <w:rPr>
                <w:sz w:val="20"/>
                <w:szCs w:val="20"/>
                <w:color w:val="auto"/>
              </w:rPr>
            </w:pPr>
            <w:r>
              <w:rPr>
                <w:rFonts w:ascii="Arial" w:cs="Arial" w:eastAsia="Arial" w:hAnsi="Arial"/>
                <w:sz w:val="14"/>
                <w:szCs w:val="14"/>
                <w:color w:val="auto"/>
              </w:rPr>
              <w:t>Right-of-use asset obtained in exchange for lease liability</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3,645</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340"/>
              <w:spacing w:after="0"/>
              <w:rPr>
                <w:sz w:val="20"/>
                <w:szCs w:val="20"/>
                <w:color w:val="auto"/>
              </w:rPr>
            </w:pPr>
            <w:r>
              <w:rPr>
                <w:rFonts w:ascii="Arial" w:cs="Arial" w:eastAsia="Arial" w:hAnsi="Arial"/>
                <w:sz w:val="14"/>
                <w:szCs w:val="14"/>
                <w:color w:val="auto"/>
              </w:rPr>
              <w:t>Reduction in right-of-use asset upon reassessment of lease term</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100" w:type="dxa"/>
            <w:vAlign w:val="bottom"/>
            <w:vMerge w:val="continue"/>
          </w:tcPr>
          <w:p>
            <w:pPr>
              <w:spacing w:after="0"/>
              <w:rPr>
                <w:sz w:val="14"/>
                <w:szCs w:val="14"/>
                <w:color w:val="auto"/>
              </w:rPr>
            </w:pP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ARCUTIS BIOTHERAPEUTICS, INC.</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Organization and Description of Business</w:t>
      </w:r>
    </w:p>
    <w:p>
      <w:pPr>
        <w:spacing w:after="0" w:line="163" w:lineRule="exact"/>
        <w:rPr>
          <w:sz w:val="20"/>
          <w:szCs w:val="20"/>
          <w:color w:val="auto"/>
        </w:rPr>
      </w:pPr>
    </w:p>
    <w:p>
      <w:pPr>
        <w:ind w:right="40" w:firstLine="643"/>
        <w:spacing w:after="0" w:line="249" w:lineRule="auto"/>
        <w:rPr>
          <w:sz w:val="20"/>
          <w:szCs w:val="20"/>
          <w:color w:val="auto"/>
        </w:rPr>
      </w:pPr>
      <w:r>
        <w:rPr>
          <w:rFonts w:ascii="Arial" w:cs="Arial" w:eastAsia="Arial" w:hAnsi="Arial"/>
          <w:sz w:val="18"/>
          <w:szCs w:val="18"/>
          <w:color w:val="auto"/>
        </w:rPr>
        <w:t>Arcutis Biotherapeutics, Inc., or the Company, is a late-stage biopharmaceutical company focused on developing meaningful innovations to address the urgent needs of patients living with immune-mediated dermatological diseases and conditions, or immuno-dermatology. The Company’s current portfolio is comprised of highly differentiated topical treatments with significant promise to treat immune-mediated dermatological diseases and conditions. The Company believes it has built the industry's leading platform for dermatologic product development. The Company’s strategy is to focus on validated biological targets and to use our platform and deep dermatology expertise to develop differentiated products that have the potential to address the major shortcomings of existing therapies in its targeted indications. The Company believes this strategy uniquely positions it to rapidly advance its goal of bridging the treatment innovation gap in dermatology while maximizing its probability of technical success.</w:t>
      </w:r>
    </w:p>
    <w:p>
      <w:pPr>
        <w:spacing w:after="0" w:line="143" w:lineRule="exact"/>
        <w:rPr>
          <w:sz w:val="20"/>
          <w:szCs w:val="20"/>
          <w:color w:val="auto"/>
        </w:rPr>
      </w:pPr>
    </w:p>
    <w:p>
      <w:pPr>
        <w:ind w:right="40" w:firstLine="643"/>
        <w:spacing w:after="0" w:line="250" w:lineRule="auto"/>
        <w:rPr>
          <w:sz w:val="20"/>
          <w:szCs w:val="20"/>
          <w:color w:val="auto"/>
        </w:rPr>
      </w:pPr>
      <w:r>
        <w:rPr>
          <w:rFonts w:ascii="Arial" w:cs="Arial" w:eastAsia="Arial" w:hAnsi="Arial"/>
          <w:sz w:val="18"/>
          <w:szCs w:val="18"/>
          <w:color w:val="auto"/>
        </w:rPr>
        <w:t>On January 17, 2020, the Company's board of directors approved a 1-for-2.0007 reverse stock split of the Company’s capital stock and the Company filed a certificate of amendment to its restated certificate of incorporation to effect the split. The par value and authorized shares of common stock and convertible preferred stock were not adjusted as a result of the reverse split. All share and per share information included in the accompanying financial statements has been adjusted to reflect this reverse stock split.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 and Follow-On Financings</w:t>
      </w:r>
    </w:p>
    <w:p>
      <w:pPr>
        <w:spacing w:after="0" w:line="163" w:lineRule="exact"/>
        <w:rPr>
          <w:sz w:val="20"/>
          <w:szCs w:val="20"/>
          <w:color w:val="auto"/>
        </w:rPr>
      </w:pPr>
    </w:p>
    <w:p>
      <w:pPr>
        <w:ind w:right="20" w:firstLine="643"/>
        <w:spacing w:after="0" w:line="249" w:lineRule="auto"/>
        <w:rPr>
          <w:sz w:val="20"/>
          <w:szCs w:val="20"/>
          <w:color w:val="auto"/>
        </w:rPr>
      </w:pPr>
      <w:r>
        <w:rPr>
          <w:rFonts w:ascii="Arial" w:cs="Arial" w:eastAsia="Arial" w:hAnsi="Arial"/>
          <w:sz w:val="18"/>
          <w:szCs w:val="18"/>
          <w:color w:val="auto"/>
        </w:rPr>
        <w:t>On February 4, 2020, the Company closed an initial public offering (IPO) issuing and selling 10,781,250 shares of common stock at a public offering price of $17.00 per share, including 1,406,250 shares sold pursuant to the underwriters’ full exercise of their option to purchase additional shares. The aggregate net proceeds received by the Company from the offering were approximately $167.2 million, after deducting underwriting discounts, commissions, and offering related transaction costs. Upon the closing of the IPO, all of the outstanding shares of convertible preferred stock automatically converted into shares of common stock. Subsequent to the closing of the IPO, there were no shares of convertible preferred stock outstanding.</w:t>
      </w:r>
    </w:p>
    <w:p>
      <w:pPr>
        <w:spacing w:after="0" w:line="144" w:lineRule="exact"/>
        <w:rPr>
          <w:sz w:val="20"/>
          <w:szCs w:val="20"/>
          <w:color w:val="auto"/>
        </w:rPr>
      </w:pPr>
    </w:p>
    <w:p>
      <w:pPr>
        <w:ind w:firstLine="643"/>
        <w:spacing w:after="0" w:line="250" w:lineRule="auto"/>
        <w:rPr>
          <w:sz w:val="20"/>
          <w:szCs w:val="20"/>
          <w:color w:val="auto"/>
        </w:rPr>
      </w:pPr>
      <w:r>
        <w:rPr>
          <w:rFonts w:ascii="Arial" w:cs="Arial" w:eastAsia="Arial" w:hAnsi="Arial"/>
          <w:sz w:val="18"/>
          <w:szCs w:val="18"/>
          <w:color w:val="auto"/>
        </w:rPr>
        <w:t>On October 6, 2020, the Company completed a public offering of 4,000,000 shares of common stock at an offering price of $25.00 per share, receiving aggregate net proceeds of approximately $93.4 million after deducting the underwriting discounts, commissions, and offering related transaction costs. In addition, the Company concurrently sold 1,400,000 shares of common stock in a private placement exempt from the registration requirements of the Securities Act of 1933, as amended, at a price per share equal to the public offering price, receiving net proceeds of $35.0 million.</w:t>
      </w:r>
    </w:p>
    <w:p>
      <w:pPr>
        <w:spacing w:after="0" w:line="140" w:lineRule="exact"/>
        <w:rPr>
          <w:sz w:val="20"/>
          <w:szCs w:val="20"/>
          <w:color w:val="auto"/>
        </w:rPr>
      </w:pPr>
    </w:p>
    <w:p>
      <w:pPr>
        <w:ind w:right="100" w:firstLine="643"/>
        <w:spacing w:after="0" w:line="250" w:lineRule="auto"/>
        <w:rPr>
          <w:sz w:val="20"/>
          <w:szCs w:val="20"/>
          <w:color w:val="auto"/>
        </w:rPr>
      </w:pPr>
      <w:r>
        <w:rPr>
          <w:rFonts w:ascii="Arial" w:cs="Arial" w:eastAsia="Arial" w:hAnsi="Arial"/>
          <w:sz w:val="18"/>
          <w:szCs w:val="18"/>
          <w:color w:val="auto"/>
        </w:rPr>
        <w:t>On February 5, 2021, the Company completed a public offering of 6,325,000 shares of stock at an offering price of $35.00 per share, including 825,000 shares sold pursuant to the underwriters full exercise of their option to purchase additional shares. The aggregate net proceeds received by the Company were approximately $207.5 million, after deducting underwriting discounts, commissions, and offering related transaction costs.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(ATM) Offerings</w:t>
      </w:r>
    </w:p>
    <w:p>
      <w:pPr>
        <w:spacing w:after="0" w:line="177" w:lineRule="exact"/>
        <w:rPr>
          <w:sz w:val="20"/>
          <w:szCs w:val="20"/>
          <w:color w:val="auto"/>
        </w:rPr>
      </w:pPr>
    </w:p>
    <w:p>
      <w:pPr>
        <w:ind w:right="60" w:firstLine="643"/>
        <w:spacing w:after="0" w:line="250" w:lineRule="auto"/>
        <w:rPr>
          <w:sz w:val="20"/>
          <w:szCs w:val="20"/>
          <w:color w:val="auto"/>
        </w:rPr>
      </w:pPr>
      <w:r>
        <w:rPr>
          <w:rFonts w:ascii="Arial" w:cs="Arial" w:eastAsia="Arial" w:hAnsi="Arial"/>
          <w:sz w:val="18"/>
          <w:szCs w:val="18"/>
          <w:color w:val="auto"/>
        </w:rPr>
        <w:t>On May 6, 2021, the Company entered into a sales agreement (Sales Agreement) with Cowen and Company, LLC (Cowen), under which the Company may from time to time issue and sell shares of its common stock through ATM offerings for an aggregate offering price of up to $100 million. Cowen will act as the Company's sales agent for the ATM program and is entitled to compensation for its services equal to 3% of the gross proceeds of any shares of common stock sold under the Sales Agreement. The Company has not yet issued or sold any shares of common stock through the ATM.</w:t>
      </w: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232" w:right="37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ARCUTIS BIOTHERAPEUTICS, INC.</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63" w:lineRule="exact"/>
        <w:rPr>
          <w:sz w:val="20"/>
          <w:szCs w:val="20"/>
          <w:color w:val="auto"/>
        </w:rPr>
      </w:pPr>
    </w:p>
    <w:p>
      <w:pPr>
        <w:ind w:right="160" w:firstLine="643"/>
        <w:spacing w:after="0" w:line="250" w:lineRule="auto"/>
        <w:rPr>
          <w:sz w:val="20"/>
          <w:szCs w:val="20"/>
          <w:color w:val="auto"/>
        </w:rPr>
      </w:pPr>
      <w:r>
        <w:rPr>
          <w:rFonts w:ascii="Arial" w:cs="Arial" w:eastAsia="Arial" w:hAnsi="Arial"/>
          <w:sz w:val="18"/>
          <w:szCs w:val="18"/>
          <w:color w:val="auto"/>
        </w:rPr>
        <w:t>The Company has incurred significant losses and negative cash flows from operations since its inception and had an accumulated deficit of $280.0 million and $202.0 million as of June 30, 2021 and December 31, 2020, respectively. The Company had cash, cash equivalents, restricted cash, and marketable securities of $410.9 million and $286.0 million as of June 30, 2021 and December 31, 2020, respectively. Prior to selling common stock in its IPO and follow-on financings, the Company had historically financed its operations primarily through the sale of its convertible preferred stock. Management expects operating losses to continue for the foreseeable future.</w:t>
      </w:r>
    </w:p>
    <w:p>
      <w:pPr>
        <w:spacing w:after="0" w:line="140" w:lineRule="exact"/>
        <w:rPr>
          <w:sz w:val="20"/>
          <w:szCs w:val="20"/>
          <w:color w:val="auto"/>
        </w:rPr>
      </w:pPr>
    </w:p>
    <w:p>
      <w:pPr>
        <w:ind w:firstLine="643"/>
        <w:spacing w:after="0" w:line="249" w:lineRule="auto"/>
        <w:rPr>
          <w:sz w:val="20"/>
          <w:szCs w:val="20"/>
          <w:color w:val="auto"/>
        </w:rPr>
      </w:pPr>
      <w:r>
        <w:rPr>
          <w:rFonts w:ascii="Arial" w:cs="Arial" w:eastAsia="Arial" w:hAnsi="Arial"/>
          <w:sz w:val="18"/>
          <w:szCs w:val="18"/>
          <w:color w:val="auto"/>
        </w:rPr>
        <w:t>The Company believes that its existing capital resources will be sufficient to meet the projected operating requirements for at least 12 months from the date of issuance of its financial statements. The Company will be required to raise additional capital to fund future operations. However, no assurance can be given as to whether additional needed financing will be available on terms acceptable to the Company, if at all. If sufficient funds on acceptable terms are not available when needed, the Company may be required to curtail planned activities to significantly reduce its operating expenses. Failure to manage discretionary spending or raise additional financing, as needed, may adversely impact the Company’s ability to achieve its intended business objectives and have an adverse effect on its results of operations and future prospects.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Coronavirus Outbreak</w:t>
      </w:r>
    </w:p>
    <w:p>
      <w:pPr>
        <w:spacing w:after="0" w:line="163" w:lineRule="exact"/>
        <w:rPr>
          <w:sz w:val="20"/>
          <w:szCs w:val="20"/>
          <w:color w:val="auto"/>
        </w:rPr>
      </w:pPr>
    </w:p>
    <w:p>
      <w:pPr>
        <w:jc w:val="both"/>
        <w:ind w:firstLine="643"/>
        <w:spacing w:after="0" w:line="250" w:lineRule="auto"/>
        <w:rPr>
          <w:sz w:val="20"/>
          <w:szCs w:val="20"/>
          <w:color w:val="auto"/>
        </w:rPr>
      </w:pPr>
      <w:r>
        <w:rPr>
          <w:rFonts w:ascii="Arial" w:cs="Arial" w:eastAsia="Arial" w:hAnsi="Arial"/>
          <w:sz w:val="18"/>
          <w:szCs w:val="18"/>
          <w:color w:val="auto"/>
        </w:rPr>
        <w:t>In March 2020, the World Health Organization declared a pandemic related to the global novel coronavirus disease 2019 (COVID-19) outbreak. As of August 5, 2021, the Company’s operations have not been significantly impacted by the COVID-19 pandemic. The Company is monitoring the impact COVID-19 may have on the clinical development of its product candidates, including potential delays or modifications to its ongoing and planned trials. However, the Company cannot at this time predict the specific extent, duration, or full impact that the COVID-19 outbreak will have on its financial condition and operations, including ongoing and planned clinical trials.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Summary of Significant Accounting Policies</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3" w:lineRule="exact"/>
        <w:rPr>
          <w:sz w:val="20"/>
          <w:szCs w:val="20"/>
          <w:color w:val="auto"/>
        </w:rPr>
      </w:pPr>
    </w:p>
    <w:p>
      <w:pPr>
        <w:jc w:val="both"/>
        <w:ind w:right="20" w:firstLine="643"/>
        <w:spacing w:after="0" w:line="255" w:lineRule="auto"/>
        <w:rPr>
          <w:sz w:val="20"/>
          <w:szCs w:val="20"/>
          <w:color w:val="auto"/>
        </w:rPr>
      </w:pPr>
      <w:r>
        <w:rPr>
          <w:rFonts w:ascii="Arial" w:cs="Arial" w:eastAsia="Arial" w:hAnsi="Arial"/>
          <w:sz w:val="18"/>
          <w:szCs w:val="18"/>
          <w:color w:val="auto"/>
        </w:rPr>
        <w:t>The Company’s condensed financial statements have been prepared in accordance with United States generally accepted accounting principles (U.S. GAAP).</w:t>
      </w:r>
    </w:p>
    <w:p>
      <w:pPr>
        <w:spacing w:after="0" w:line="11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7" w:lineRule="exact"/>
        <w:rPr>
          <w:sz w:val="20"/>
          <w:szCs w:val="20"/>
          <w:color w:val="auto"/>
        </w:rPr>
      </w:pPr>
    </w:p>
    <w:p>
      <w:pPr>
        <w:ind w:right="20" w:firstLine="643"/>
        <w:spacing w:after="0" w:line="24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in the condensed financial statements and accompanying notes. On an ongoing basis, management evaluates such estimates and assumptions for continued reasonableness. In particular, management makes estimates with respect to accruals for research and development activities, fair value of common stock and convertible preferred stock (prior to the IPO completed in January 2020), stock-based compensation expense and income taxes. Appropriate adjustments, if any, to the estimates used are made prospectively based upon such periodic evaluation. Actual results could differ from those estimates.</w:t>
      </w:r>
    </w:p>
    <w:p>
      <w:pPr>
        <w:spacing w:after="0" w:line="10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Segments</w:t>
      </w:r>
    </w:p>
    <w:p>
      <w:pPr>
        <w:spacing w:after="0" w:line="177" w:lineRule="exact"/>
        <w:rPr>
          <w:sz w:val="20"/>
          <w:szCs w:val="20"/>
          <w:color w:val="auto"/>
        </w:rPr>
      </w:pPr>
    </w:p>
    <w:p>
      <w:pPr>
        <w:ind w:right="40" w:firstLine="643"/>
        <w:spacing w:after="0" w:line="255" w:lineRule="auto"/>
        <w:rPr>
          <w:sz w:val="20"/>
          <w:szCs w:val="20"/>
          <w:color w:val="auto"/>
        </w:rPr>
      </w:pPr>
      <w:r>
        <w:rPr>
          <w:rFonts w:ascii="Arial" w:cs="Arial" w:eastAsia="Arial" w:hAnsi="Arial"/>
          <w:sz w:val="18"/>
          <w:szCs w:val="18"/>
          <w:color w:val="auto"/>
        </w:rPr>
        <w:t>To date, the Company has viewed its financial information on an aggregate basis for the purposes of evaluating financial performance and allocating the Company’s resources. Accordingly, the Company has determined that it operates in one segment.</w:t>
      </w:r>
    </w:p>
    <w:p>
      <w:pPr>
        <w:spacing w:after="0" w:line="11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Unaudited Interim Condensed Financial Statements</w:t>
      </w:r>
    </w:p>
    <w:p>
      <w:pPr>
        <w:spacing w:after="0" w:line="163" w:lineRule="exact"/>
        <w:rPr>
          <w:sz w:val="20"/>
          <w:szCs w:val="20"/>
          <w:color w:val="auto"/>
        </w:rPr>
      </w:pPr>
    </w:p>
    <w:p>
      <w:pPr>
        <w:ind w:firstLine="643"/>
        <w:spacing w:after="0" w:line="249" w:lineRule="auto"/>
        <w:rPr>
          <w:sz w:val="20"/>
          <w:szCs w:val="20"/>
          <w:color w:val="auto"/>
        </w:rPr>
      </w:pPr>
      <w:r>
        <w:rPr>
          <w:rFonts w:ascii="Arial" w:cs="Arial" w:eastAsia="Arial" w:hAnsi="Arial"/>
          <w:sz w:val="18"/>
          <w:szCs w:val="18"/>
          <w:color w:val="auto"/>
        </w:rPr>
        <w:t>The interim condensed balance sheet as of June 30, 2021, the interim condensed statements of operations and comprehensive loss, and the condensed changes in convertible preferred stock and stockholders’ equity (deficit) and cash flows for the three and six months ended June 30, 2021 and 2020 are unaudited. These unaudited interim condensed financial statements have been prepared on the same basis as the Company’s audited annual financial statements and, in the opinion of management, reflect all adjustments (consisting only of normal recurring adjustments) that are necessary for a fair statement of the Company’s financial information. The financial data and the other financial information disclosed in these notes to the condensed financial statements related to the three- and six-month periods are also unaudited. The condensed results of operations for the three</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ARCUTIS BIOTHERAPEUTICS, INC.</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1"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and six months ended June 30, 2021 are not necessarily indicative of the results to be expected for the year ending December 31, 2021 or for any other future annual or interim period. The condensed balance sheet as of December 31, 2020 included herein was derived from the audited financial statements as of that date. Certain information and footnote disclosures normally included in annual financial statements prepared in accordance with U.S. GAAP have been condensed or omitted. Therefore, these unaudited interim condensed financial statements should be read in conjunction with the Company’s audited financial statements included in its Annual Report on Form 10-K for the year ended December 31, 2020.</w:t>
      </w:r>
    </w:p>
    <w:p>
      <w:pPr>
        <w:spacing w:after="0" w:line="10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7" w:lineRule="exact"/>
        <w:rPr>
          <w:sz w:val="20"/>
          <w:szCs w:val="20"/>
          <w:color w:val="auto"/>
        </w:rPr>
      </w:pPr>
    </w:p>
    <w:p>
      <w:pPr>
        <w:ind w:right="380" w:firstLine="643"/>
        <w:spacing w:after="0" w:line="285" w:lineRule="auto"/>
        <w:rPr>
          <w:sz w:val="20"/>
          <w:szCs w:val="20"/>
          <w:color w:val="auto"/>
        </w:rPr>
      </w:pPr>
      <w:r>
        <w:rPr>
          <w:rFonts w:ascii="Arial" w:cs="Arial" w:eastAsia="Arial" w:hAnsi="Arial"/>
          <w:sz w:val="17"/>
          <w:szCs w:val="17"/>
          <w:color w:val="auto"/>
        </w:rPr>
        <w:t>The Company considers all highly liquid investments purchased with original maturities of three months or less from the purchase date to be cash equivalents. Cash equivalents consist primarily of money market funds, commercial paper, and U.S. Treasury securities.</w:t>
      </w:r>
    </w:p>
    <w:p>
      <w:pPr>
        <w:spacing w:after="0" w:line="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63" w:lineRule="exact"/>
        <w:rPr>
          <w:sz w:val="20"/>
          <w:szCs w:val="20"/>
          <w:color w:val="auto"/>
        </w:rPr>
      </w:pPr>
    </w:p>
    <w:p>
      <w:pPr>
        <w:ind w:right="580" w:firstLine="643"/>
        <w:spacing w:after="0" w:line="255" w:lineRule="auto"/>
        <w:rPr>
          <w:sz w:val="20"/>
          <w:szCs w:val="20"/>
          <w:color w:val="auto"/>
        </w:rPr>
      </w:pPr>
      <w:r>
        <w:rPr>
          <w:rFonts w:ascii="Arial" w:cs="Arial" w:eastAsia="Arial" w:hAnsi="Arial"/>
          <w:sz w:val="18"/>
          <w:szCs w:val="18"/>
          <w:color w:val="auto"/>
        </w:rPr>
        <w:t>As of June 30, 2021 and December 31, 2020, the Company held $1.5 million of restricted cash as collateral for a letter of credit related to our amended office space lease. See Note 7.</w:t>
      </w:r>
    </w:p>
    <w:p>
      <w:pPr>
        <w:spacing w:after="0" w:line="11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77" w:lineRule="exact"/>
        <w:rPr>
          <w:sz w:val="20"/>
          <w:szCs w:val="20"/>
          <w:color w:val="auto"/>
        </w:rPr>
      </w:pPr>
    </w:p>
    <w:p>
      <w:pPr>
        <w:ind w:right="260" w:firstLine="643"/>
        <w:spacing w:after="0" w:line="249" w:lineRule="auto"/>
        <w:rPr>
          <w:sz w:val="20"/>
          <w:szCs w:val="20"/>
          <w:color w:val="auto"/>
        </w:rPr>
      </w:pPr>
      <w:r>
        <w:rPr>
          <w:rFonts w:ascii="Arial" w:cs="Arial" w:eastAsia="Arial" w:hAnsi="Arial"/>
          <w:sz w:val="18"/>
          <w:szCs w:val="18"/>
          <w:color w:val="auto"/>
        </w:rPr>
        <w:t>Marketable securities consist of investment grade short to intermediate-term fixed income investments that have been classified as available-for-sale and are carried at estimated fair value as determined based upon quoted market prices or pricing models for similar securities. Management determines the appropriate classification of its investments in fixed income securities at the time of purchase. Available-for-sale securities with original maturities beyond three months at the date of purchase, including those that have maturity dates beyond one year from the balance sheet date, are classified as current assets on the condensed balance sheets due to their highly liquid nature and availability for use in current operations.</w:t>
      </w:r>
    </w:p>
    <w:p>
      <w:pPr>
        <w:spacing w:after="0" w:line="131" w:lineRule="exact"/>
        <w:rPr>
          <w:sz w:val="20"/>
          <w:szCs w:val="20"/>
          <w:color w:val="auto"/>
        </w:rPr>
      </w:pPr>
    </w:p>
    <w:p>
      <w:pPr>
        <w:ind w:right="40" w:firstLine="643"/>
        <w:spacing w:after="0" w:line="249" w:lineRule="auto"/>
        <w:rPr>
          <w:sz w:val="20"/>
          <w:szCs w:val="20"/>
          <w:color w:val="auto"/>
        </w:rPr>
      </w:pPr>
      <w:r>
        <w:rPr>
          <w:rFonts w:ascii="Arial" w:cs="Arial" w:eastAsia="Arial" w:hAnsi="Arial"/>
          <w:sz w:val="18"/>
          <w:szCs w:val="18"/>
          <w:color w:val="auto"/>
        </w:rPr>
        <w:t>Unrealized gains and losses are excluded from earnings and are reported as a component of other comprehensive income (loss). Realized gains and losses as well as credit losses, if any, on marketable securities are included in other income, net. The Company evaluated the underlying credit quality and credit ratings of the issuers during the period. To date, no such credit losses have occurred or have been recorded. The cost of investments sold is based on the specific-identification method. Unrealized gains and losses on marketable securities are reported as a component of accumulated other comprehensive income (loss) on the condensed balance sheets. Interest on marketable securities is included in other income, net.</w:t>
      </w:r>
    </w:p>
    <w:p>
      <w:pPr>
        <w:spacing w:after="0" w:line="12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77" w:lineRule="exact"/>
        <w:rPr>
          <w:sz w:val="20"/>
          <w:szCs w:val="20"/>
          <w:color w:val="auto"/>
        </w:rPr>
      </w:pPr>
    </w:p>
    <w:p>
      <w:pPr>
        <w:ind w:right="260" w:firstLine="643"/>
        <w:spacing w:after="0" w:line="250"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cash equivalents, and marketable securities. The Company maintains deposits in federally insured financial institutions in excess of federally insured limits. The Company is exposed to credit risk in the event of a default by the financial institutions holding its cash to the extent recorded on the condensed balance sheets.</w:t>
      </w:r>
    </w:p>
    <w:p>
      <w:pPr>
        <w:spacing w:after="0" w:line="128" w:lineRule="exact"/>
        <w:rPr>
          <w:sz w:val="20"/>
          <w:szCs w:val="20"/>
          <w:color w:val="auto"/>
        </w:rPr>
      </w:pPr>
    </w:p>
    <w:p>
      <w:pPr>
        <w:ind w:firstLine="643"/>
        <w:spacing w:after="0" w:line="255" w:lineRule="auto"/>
        <w:rPr>
          <w:sz w:val="20"/>
          <w:szCs w:val="20"/>
          <w:color w:val="auto"/>
        </w:rPr>
      </w:pPr>
      <w:r>
        <w:rPr>
          <w:rFonts w:ascii="Arial" w:cs="Arial" w:eastAsia="Arial" w:hAnsi="Arial"/>
          <w:sz w:val="18"/>
          <w:szCs w:val="18"/>
          <w:color w:val="auto"/>
        </w:rPr>
        <w:t>Management believes the Company is not exposed to significant credit risk due to the financial position of the depository institutions in which those deposits are held.</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ARCUTIS BIOTHERAPEUTICS, INC.</w:t>
      </w:r>
    </w:p>
    <w:p>
      <w:pPr>
        <w:spacing w:after="0" w:line="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63" w:lineRule="exact"/>
        <w:rPr>
          <w:sz w:val="20"/>
          <w:szCs w:val="20"/>
          <w:color w:val="auto"/>
        </w:rPr>
      </w:pPr>
    </w:p>
    <w:p>
      <w:pPr>
        <w:ind w:right="20" w:firstLine="643"/>
        <w:spacing w:after="0" w:line="252" w:lineRule="auto"/>
        <w:rPr>
          <w:sz w:val="20"/>
          <w:szCs w:val="20"/>
          <w:color w:val="auto"/>
        </w:rPr>
      </w:pPr>
      <w:r>
        <w:rPr>
          <w:rFonts w:ascii="Arial" w:cs="Arial" w:eastAsia="Arial" w:hAnsi="Arial"/>
          <w:sz w:val="18"/>
          <w:szCs w:val="18"/>
          <w:color w:val="auto"/>
        </w:rPr>
        <w:t>The Company’s financial instruments, in addition to those presented in Note 3, include cash equivalents, accounts payable, and accrued liabilities. The carrying amount of cash equivalents, accounts payable, and accrued liabilities approximate their fair values due to their short maturities.</w:t>
      </w:r>
    </w:p>
    <w:p>
      <w:pPr>
        <w:spacing w:after="0" w:line="138" w:lineRule="exact"/>
        <w:rPr>
          <w:sz w:val="20"/>
          <w:szCs w:val="20"/>
          <w:color w:val="auto"/>
        </w:rPr>
      </w:pPr>
    </w:p>
    <w:p>
      <w:pPr>
        <w:ind w:right="20" w:firstLine="643"/>
        <w:spacing w:after="0" w:line="249" w:lineRule="auto"/>
        <w:rPr>
          <w:sz w:val="20"/>
          <w:szCs w:val="20"/>
          <w:color w:val="auto"/>
        </w:rPr>
      </w:pPr>
      <w:r>
        <w:rPr>
          <w:rFonts w:ascii="Arial" w:cs="Arial" w:eastAsia="Arial" w:hAnsi="Arial"/>
          <w:sz w:val="18"/>
          <w:szCs w:val="18"/>
          <w:color w:val="auto"/>
        </w:rPr>
        <w:t>Assets and liabilities recorded at fair value on a recurring basis on the condensed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144" w:lineRule="exact"/>
        <w:rPr>
          <w:sz w:val="20"/>
          <w:szCs w:val="20"/>
          <w:color w:val="auto"/>
        </w:rPr>
      </w:pPr>
    </w:p>
    <w:p>
      <w:pPr>
        <w:ind w:left="640" w:right="640" w:firstLine="643"/>
        <w:spacing w:after="0" w:line="255" w:lineRule="auto"/>
        <w:rPr>
          <w:sz w:val="20"/>
          <w:szCs w:val="20"/>
          <w:color w:val="auto"/>
        </w:rPr>
      </w:pPr>
      <w:r>
        <w:rPr>
          <w:rFonts w:ascii="Arial" w:cs="Arial" w:eastAsia="Arial" w:hAnsi="Arial"/>
          <w:sz w:val="18"/>
          <w:szCs w:val="18"/>
          <w:color w:val="auto"/>
        </w:rPr>
        <w:t>Level 1—Observable inputs such as unadjusted, quoted prices in active markets for identical assets or liabilities at the measurement date;</w:t>
      </w:r>
    </w:p>
    <w:p>
      <w:pPr>
        <w:spacing w:after="0" w:line="123" w:lineRule="exact"/>
        <w:rPr>
          <w:sz w:val="20"/>
          <w:szCs w:val="20"/>
          <w:color w:val="auto"/>
        </w:rPr>
      </w:pPr>
    </w:p>
    <w:p>
      <w:pPr>
        <w:ind w:left="640" w:right="40" w:firstLine="643"/>
        <w:spacing w:after="0" w:line="252" w:lineRule="auto"/>
        <w:rPr>
          <w:sz w:val="20"/>
          <w:szCs w:val="20"/>
          <w:color w:val="auto"/>
        </w:rPr>
      </w:pPr>
      <w:r>
        <w:rPr>
          <w:rFonts w:ascii="Arial" w:cs="Arial" w:eastAsia="Arial" w:hAnsi="Arial"/>
          <w:sz w:val="18"/>
          <w:szCs w:val="18"/>
          <w:color w:val="auto"/>
        </w:rPr>
        <w:t>Level 2—Inputs (other than quoted prices included in Level 1) are either directly or indirectly observable for the asset or liability. These include quoted prices for similar assets or liabilities in active markets and quoted prices for identical or similar assets or liabilities in markets that are not active;</w:t>
      </w:r>
    </w:p>
    <w:p>
      <w:pPr>
        <w:spacing w:after="0" w:line="138" w:lineRule="exact"/>
        <w:rPr>
          <w:sz w:val="20"/>
          <w:szCs w:val="20"/>
          <w:color w:val="auto"/>
        </w:rPr>
      </w:pPr>
    </w:p>
    <w:p>
      <w:pPr>
        <w:ind w:left="640" w:right="180" w:firstLine="643"/>
        <w:spacing w:after="0" w:line="255"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11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63" w:lineRule="exact"/>
        <w:rPr>
          <w:sz w:val="20"/>
          <w:szCs w:val="20"/>
          <w:color w:val="auto"/>
        </w:rPr>
      </w:pPr>
    </w:p>
    <w:p>
      <w:pPr>
        <w:ind w:firstLine="643"/>
        <w:spacing w:after="0" w:line="249" w:lineRule="auto"/>
        <w:rPr>
          <w:sz w:val="20"/>
          <w:szCs w:val="20"/>
          <w:color w:val="auto"/>
        </w:rPr>
      </w:pPr>
      <w:r>
        <w:rPr>
          <w:rFonts w:ascii="Arial" w:cs="Arial" w:eastAsia="Arial" w:hAnsi="Arial"/>
          <w:sz w:val="18"/>
          <w:szCs w:val="18"/>
          <w:color w:val="auto"/>
        </w:rPr>
        <w:t>Property and equipment are stated at cost less accumulated depreciation. Depreciation on property and equipment is calculated using the straight-line method over the estimated useful lives of the assets which range from three to five years. Leasehold improvements are depreciated on a straight-line basis over the shorter of their estimated useful lives or lease terms. Maintenance and repairs are expensed as incurred. The Company reviews the carrying values of its property and equipment for possible impairment whenever events or changes in circumstances indicate that the carrying amount of an asset may not be recoverable. There were no impairments recognized during the three and six months ended June 30, 2021 and 2020.</w:t>
      </w:r>
    </w:p>
    <w:p>
      <w:pPr>
        <w:spacing w:after="0" w:line="12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Leases</w:t>
      </w:r>
    </w:p>
    <w:p>
      <w:pPr>
        <w:spacing w:after="0" w:line="177" w:lineRule="exact"/>
        <w:rPr>
          <w:sz w:val="20"/>
          <w:szCs w:val="20"/>
          <w:color w:val="auto"/>
        </w:rPr>
      </w:pPr>
    </w:p>
    <w:p>
      <w:pPr>
        <w:ind w:firstLine="643"/>
        <w:spacing w:after="0" w:line="249" w:lineRule="auto"/>
        <w:rPr>
          <w:sz w:val="20"/>
          <w:szCs w:val="20"/>
          <w:color w:val="auto"/>
        </w:rPr>
      </w:pPr>
      <w:r>
        <w:rPr>
          <w:rFonts w:ascii="Arial" w:cs="Arial" w:eastAsia="Arial" w:hAnsi="Arial"/>
          <w:sz w:val="18"/>
          <w:szCs w:val="18"/>
          <w:color w:val="auto"/>
        </w:rPr>
        <w:t>The Company determines if an arrangement is or contains a lease at inception. Right-of-use (ROU) assets represent the Company’s right to use an underlying asset for the lease term and lease liabilities represent the Company’s obligation to make lease payments arising from the lease. The classification of the Company’s leases as operating or finance leases, along with the initial measurement and recognition of the associated ROU assets and lease liabilities, is performed at the lease commencement date. The measurement of lease liabilities is based on the present value of lease payments over the lease term. The Company uses its incremental borrowing rate, based on the information available at commencement date, to determine the present value of lease payments when its leases do not provide an implicit rate. The Company uses the implicit rate when readily determinable. The ROU asset is based on the measurement of the lease liability, includes any lease payments made prior to or on lease commencement and is adjusted for lease incentives and initial direct costs incurred, as applicable. Lease expense for the Company’s operating leases is recognized on a straight-line basis over the lease term. The Company considers a lease term to be the non-cancelable period that it has the right to use the underlying asset, including any periods where it is reasonably assured the Company will exercise the option to extend the contract. Periods covered by an option to extend are included in the lease term if the lessor controls the exercise of that option.</w:t>
      </w:r>
    </w:p>
    <w:p>
      <w:pPr>
        <w:spacing w:after="0" w:line="128" w:lineRule="exact"/>
        <w:rPr>
          <w:sz w:val="20"/>
          <w:szCs w:val="20"/>
          <w:color w:val="auto"/>
        </w:rPr>
      </w:pPr>
    </w:p>
    <w:p>
      <w:pPr>
        <w:ind w:right="380" w:firstLine="643"/>
        <w:spacing w:after="0" w:line="252" w:lineRule="auto"/>
        <w:rPr>
          <w:sz w:val="20"/>
          <w:szCs w:val="20"/>
          <w:color w:val="auto"/>
        </w:rPr>
      </w:pPr>
      <w:r>
        <w:rPr>
          <w:rFonts w:ascii="Arial" w:cs="Arial" w:eastAsia="Arial" w:hAnsi="Arial"/>
          <w:sz w:val="18"/>
          <w:szCs w:val="18"/>
          <w:color w:val="auto"/>
        </w:rPr>
        <w:t>The Company’s lease agreements includes lease and non-lease components and the Company has elected to not separate such components for all classes of assets. Further, the Company elected the short-term lease exception policy, permitting it to not apply the recognition requirements of this standard to leases with terms of 12 months or less (short-term leases) for all classes of assets.</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ARCUTIS BIOTHERAPEUTICS, INC.</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Preclinical and Clinical Accruals and Costs</w:t>
      </w:r>
    </w:p>
    <w:p>
      <w:pPr>
        <w:spacing w:after="0" w:line="163" w:lineRule="exact"/>
        <w:rPr>
          <w:sz w:val="20"/>
          <w:szCs w:val="20"/>
          <w:color w:val="auto"/>
        </w:rPr>
      </w:pPr>
    </w:p>
    <w:p>
      <w:pPr>
        <w:ind w:right="100" w:firstLine="643"/>
        <w:spacing w:after="0" w:line="249" w:lineRule="auto"/>
        <w:rPr>
          <w:sz w:val="20"/>
          <w:szCs w:val="20"/>
          <w:color w:val="auto"/>
        </w:rPr>
      </w:pPr>
      <w:r>
        <w:rPr>
          <w:rFonts w:ascii="Arial" w:cs="Arial" w:eastAsia="Arial" w:hAnsi="Arial"/>
          <w:sz w:val="18"/>
          <w:szCs w:val="18"/>
          <w:color w:val="auto"/>
        </w:rPr>
        <w:t>The Company records accrued liabilities for estimated costs of research and development activities conducted by third-party service providers, which include the conduct of preclinical studies, clinical trials, and contract manufacturing activities. These costs are a significant component of the Company’s research and development expenses. The Company accrues for these costs based on factors such as estimates of the work completed and in accordance with agreements established with its third-party service providers under the service agreements. The Company makes significant judgments and estimates in determining the accrued liabilities balance in each reporting period. As actual costs become known, the Company adjusts its accrued liabilities. For the three and six months ended June 30, 2021 and 2020, the Company has not experienced any material differences between accrued costs and actual costs incurred.</w:t>
      </w:r>
    </w:p>
    <w:p>
      <w:pPr>
        <w:spacing w:after="0" w:line="12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77" w:lineRule="exact"/>
        <w:rPr>
          <w:sz w:val="20"/>
          <w:szCs w:val="20"/>
          <w:color w:val="auto"/>
        </w:rPr>
      </w:pPr>
    </w:p>
    <w:p>
      <w:pPr>
        <w:ind w:firstLine="643"/>
        <w:spacing w:after="0" w:line="249" w:lineRule="auto"/>
        <w:rPr>
          <w:sz w:val="20"/>
          <w:szCs w:val="20"/>
          <w:color w:val="auto"/>
        </w:rPr>
      </w:pPr>
      <w:r>
        <w:rPr>
          <w:rFonts w:ascii="Arial" w:cs="Arial" w:eastAsia="Arial" w:hAnsi="Arial"/>
          <w:sz w:val="18"/>
          <w:szCs w:val="18"/>
          <w:color w:val="auto"/>
        </w:rPr>
        <w:t>Prior to its IPO, the Company classified its outstanding convertible preferred stock outside of stockholders’ equity (deficit) on its condensed balance sheets as the requirements of triggering a deemed liquidation event, as defined within its amended and restated certificate of incorporation, were not entirely within the Company’s control. In the event of such a deemed liquidation event, the proceeds from the event were to be distributed in accordance with the liquidation preferences, provided that the holders of convertible preferred stock had not converted their shares into common stock. The Company recorded the issuance of convertible preferred stock at the issuance price less related issuance costs. The Company did not adjust the carrying values of the convertible preferred stock to the liquidation preferences of such shares because of the uncertainty as to whether or when a deemed liquidation event may have occurred. In connection with the IPO in February 2020, the Company’s outstanding shares of convertible preferred stock were automatically converted into 24,385,388 shares of common stock.</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7" w:lineRule="exact"/>
        <w:rPr>
          <w:sz w:val="20"/>
          <w:szCs w:val="20"/>
          <w:color w:val="auto"/>
        </w:rPr>
      </w:pPr>
    </w:p>
    <w:p>
      <w:pPr>
        <w:ind w:right="60" w:firstLine="643"/>
        <w:spacing w:after="0" w:line="250" w:lineRule="auto"/>
        <w:rPr>
          <w:sz w:val="20"/>
          <w:szCs w:val="20"/>
          <w:color w:val="auto"/>
        </w:rPr>
      </w:pPr>
      <w:r>
        <w:rPr>
          <w:rFonts w:ascii="Arial" w:cs="Arial" w:eastAsia="Arial" w:hAnsi="Arial"/>
          <w:sz w:val="18"/>
          <w:szCs w:val="18"/>
          <w:color w:val="auto"/>
        </w:rPr>
        <w:t>Research and development expenses include costs directly attributable to the conduct of research and development programs, including the cost of salaries, payroll taxes, employee benefits, license fees, stock-based compensation expense, materials, supplies, and the cost of services provided by outside contractors. All costs associated with research and development are expensed as incurred. Payments made prior to the receipt of goods or services to be used in research and development are capitalized until the goods are received or services are rendered. Such payments are evaluated for current or long-term classification based on when they will be realized.</w:t>
      </w:r>
    </w:p>
    <w:p>
      <w:pPr>
        <w:spacing w:after="0" w:line="140" w:lineRule="exact"/>
        <w:rPr>
          <w:sz w:val="20"/>
          <w:szCs w:val="20"/>
          <w:color w:val="auto"/>
        </w:rPr>
      </w:pPr>
    </w:p>
    <w:p>
      <w:pPr>
        <w:ind w:right="40" w:firstLine="643"/>
        <w:spacing w:after="0" w:line="249" w:lineRule="auto"/>
        <w:rPr>
          <w:sz w:val="20"/>
          <w:szCs w:val="20"/>
          <w:color w:val="auto"/>
        </w:rPr>
      </w:pPr>
      <w:r>
        <w:rPr>
          <w:rFonts w:ascii="Arial" w:cs="Arial" w:eastAsia="Arial" w:hAnsi="Arial"/>
          <w:sz w:val="18"/>
          <w:szCs w:val="18"/>
          <w:color w:val="auto"/>
        </w:rPr>
        <w:t>The Company has entered into, and may continue to enter into, license agreements to access and utilize certain technology. In each case, the Company evaluates if the license agreement results in the acquisition of an asset or a business. To date, none of the Company’s license agreements have been considered an acquisition of a business. For asset acquisitions, the upfront payments to acquire such licenses, as well as any future milestone payments made before product approval that do not meet the definition of a derivative, are immediately recognized as research and development expense when paid or become payable, provided there is no alternative future use of the rights in other research and development projects.</w:t>
      </w:r>
    </w:p>
    <w:p>
      <w:pPr>
        <w:spacing w:after="0" w:line="10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7" w:lineRule="exact"/>
        <w:rPr>
          <w:sz w:val="20"/>
          <w:szCs w:val="20"/>
          <w:color w:val="auto"/>
        </w:rPr>
      </w:pPr>
    </w:p>
    <w:p>
      <w:pPr>
        <w:ind w:right="60" w:firstLine="643"/>
        <w:spacing w:after="0" w:line="249" w:lineRule="auto"/>
        <w:rPr>
          <w:sz w:val="20"/>
          <w:szCs w:val="20"/>
          <w:color w:val="auto"/>
        </w:rPr>
      </w:pPr>
      <w:r>
        <w:rPr>
          <w:rFonts w:ascii="Arial" w:cs="Arial" w:eastAsia="Arial" w:hAnsi="Arial"/>
          <w:sz w:val="18"/>
          <w:szCs w:val="18"/>
          <w:color w:val="auto"/>
        </w:rPr>
        <w:t>The Company accounts for share-based payments at fair value. The fair value of stock options is measured using the Black-Scholes option-pricing model. For share-based awards that vest subject to the satisfaction of a service requirement, the fair value measurement date for such awards is the date of grant and the expense is recognized on a straight-line basis, over the expected vesting period. For share-based awards that vest subject to a performance condition, the Company will recognize compensation cost for awards if and when the Company concludes that it is probable that the awards with a performance condition will be achieved on an accelerated attribution method. The Company accounts for forfeitures as they occur.</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ARCUTIS BIOTHERAPEUTICS, INC.</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Income Taxes</w:t>
      </w:r>
    </w:p>
    <w:p>
      <w:pPr>
        <w:spacing w:after="0" w:line="163" w:lineRule="exact"/>
        <w:rPr>
          <w:sz w:val="20"/>
          <w:szCs w:val="20"/>
          <w:color w:val="auto"/>
        </w:rPr>
      </w:pPr>
    </w:p>
    <w:p>
      <w:pPr>
        <w:ind w:right="160" w:firstLine="643"/>
        <w:spacing w:after="0" w:line="249" w:lineRule="auto"/>
        <w:rPr>
          <w:sz w:val="20"/>
          <w:szCs w:val="20"/>
          <w:color w:val="auto"/>
        </w:rPr>
      </w:pPr>
      <w:r>
        <w:rPr>
          <w:rFonts w:ascii="Arial" w:cs="Arial" w:eastAsia="Arial" w:hAnsi="Arial"/>
          <w:sz w:val="18"/>
          <w:szCs w:val="18"/>
          <w:color w:val="auto"/>
        </w:rPr>
        <w:t>Income taxes are accounted for using the asset and liability method.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the enacted tax rates expected to apply to taxable income in the years in which those temporary differences are expected to be recovered or settled. The effect on deferred tax assets and liabilities of a change in tax rates is recognized in income in the period of enactment. The Company records a valuation allowance to reduce deferred tax assets to an amount for which realization is more likely than not. Due to the Company’s historical operating performance and the recorded cumulative net losses in prior fiscal periods, the net deferred tax assets have been fully offset by a valuation allowance.</w:t>
      </w:r>
    </w:p>
    <w:p>
      <w:pPr>
        <w:spacing w:after="0" w:line="144" w:lineRule="exact"/>
        <w:rPr>
          <w:sz w:val="20"/>
          <w:szCs w:val="20"/>
          <w:color w:val="auto"/>
        </w:rPr>
      </w:pPr>
    </w:p>
    <w:p>
      <w:pPr>
        <w:ind w:right="40" w:firstLine="643"/>
        <w:spacing w:after="0" w:line="250" w:lineRule="auto"/>
        <w:rPr>
          <w:sz w:val="20"/>
          <w:szCs w:val="20"/>
          <w:color w:val="auto"/>
        </w:rPr>
      </w:pPr>
      <w:r>
        <w:rPr>
          <w:rFonts w:ascii="Arial" w:cs="Arial" w:eastAsia="Arial" w:hAnsi="Arial"/>
          <w:sz w:val="18"/>
          <w:szCs w:val="18"/>
          <w:color w:val="auto"/>
        </w:rPr>
        <w:t>The Company recognizes the tax benefit from an uncertain tax position if it is more likely than not that the tax position will be sustained upon examination by the tax authorities, based on the merits of the position. The Company’s policy is to recognize interest and penalties related to the underpayment of income taxes as a component of income tax expense or benefit. To date, there have been no interest or penalties incurred in relation to the unrecognized tax benefits.</w:t>
      </w:r>
    </w:p>
    <w:p>
      <w:pPr>
        <w:spacing w:after="0" w:line="142" w:lineRule="exact"/>
        <w:rPr>
          <w:sz w:val="20"/>
          <w:szCs w:val="20"/>
          <w:color w:val="auto"/>
        </w:rPr>
      </w:pPr>
    </w:p>
    <w:p>
      <w:pPr>
        <w:ind w:right="20" w:firstLine="643"/>
        <w:spacing w:after="0" w:line="249" w:lineRule="auto"/>
        <w:rPr>
          <w:sz w:val="20"/>
          <w:szCs w:val="20"/>
          <w:color w:val="auto"/>
        </w:rPr>
      </w:pPr>
      <w:r>
        <w:rPr>
          <w:rFonts w:ascii="Arial" w:cs="Arial" w:eastAsia="Arial" w:hAnsi="Arial"/>
          <w:sz w:val="18"/>
          <w:szCs w:val="18"/>
          <w:color w:val="auto"/>
        </w:rPr>
        <w:t>The United States Congress enacted the American Rescue Plan Act on March 10, 2021, Families First Coronavirus Response Act (FFCR Act) on March 18, 2020, and the Coronavirus Aid, Relief, and Economic Security Act (CARES Act) on March 27, 2020. The American Rescue Plan Act is a follow-up to the CARES Act, which continue the emergency economic stimulus package and includes spending and tax breaks to strengthen the U.S. economy and fund a nationwide effort to curtail the effect of COVID-19. The American Rescue Plan Act, FFCR Act, and CARES Act include numerous tax-related provisions, including modifications to the limitations on business interest expense and net operating losses (NOLs), certain refundable employee retention credits, as well as a payment delay of employer payroll taxes in 2020 after the date of enactment. On June 29, 2020, the California State Assembly Bill 85 (Trailer Bill) was enacted which suspends the use of California NOL deductions and certain tax credits, including research and development credits, for the 2020, 2021, and 2022 tax years. The Company does not expect the American Rescue Plan Act, FFCR Act, CARES Act, or Trailer Bill to have a material impact on the Company’s financial statements.</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77" w:lineRule="exact"/>
        <w:rPr>
          <w:sz w:val="20"/>
          <w:szCs w:val="20"/>
          <w:color w:val="auto"/>
        </w:rPr>
      </w:pPr>
    </w:p>
    <w:p>
      <w:pPr>
        <w:ind w:firstLine="643"/>
        <w:spacing w:after="0" w:line="249" w:lineRule="auto"/>
        <w:rPr>
          <w:sz w:val="20"/>
          <w:szCs w:val="20"/>
          <w:color w:val="auto"/>
        </w:rPr>
      </w:pPr>
      <w:r>
        <w:rPr>
          <w:rFonts w:ascii="Arial" w:cs="Arial" w:eastAsia="Arial" w:hAnsi="Arial"/>
          <w:sz w:val="18"/>
          <w:szCs w:val="18"/>
          <w:color w:val="auto"/>
        </w:rPr>
        <w:t>The Company reviews agreements it enters into with third-party entities, pursuant to which the Company may have a variable interest in the entity, in order to determine if the entity is a variable interest entity (VIE). If the entity is a VIE, the Company assesses whether or not it is the primary beneficiary of that entity. In determining whether the Company is the primary beneficiary of an entity, the Company applies a qualitative approach that determines whether it has both (i) the power to direct the economically significant activities of the entity and (ii) the obligation to absorb losses of, or the right to receive benefits from, the entity that could potentially be significant to that entity. If the Company determines it is the primary beneficiary of a VIE, it consolidates that VIE into the Company’s financial statements. The Company’s determination about whether it should consolidate such VIEs is made continuously as changes to existing relationships or future transactions may result in a consolidation or deconsolidation event. The Company currently does not consolidate any VIEs.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63" w:lineRule="exact"/>
        <w:rPr>
          <w:sz w:val="20"/>
          <w:szCs w:val="20"/>
          <w:color w:val="auto"/>
        </w:rPr>
      </w:pPr>
    </w:p>
    <w:p>
      <w:pPr>
        <w:ind w:right="80" w:firstLine="643"/>
        <w:spacing w:after="0" w:line="249" w:lineRule="auto"/>
        <w:rPr>
          <w:sz w:val="20"/>
          <w:szCs w:val="20"/>
          <w:color w:val="auto"/>
        </w:rPr>
      </w:pPr>
      <w:r>
        <w:rPr>
          <w:rFonts w:ascii="Arial" w:cs="Arial" w:eastAsia="Arial" w:hAnsi="Arial"/>
          <w:sz w:val="18"/>
          <w:szCs w:val="18"/>
          <w:color w:val="auto"/>
        </w:rPr>
        <w:t>Basic net loss per share is calculated by dividing the net loss by the weighted-average number of shares of common stock outstanding for the period, without consideration for potential dilutive shares of common stock. Diluted net loss per share is computed by dividing the net loss by the weighted-average number of common share equivalents outstanding for the period determined using the treasury-stock method. Since the Company was in a loss position for all periods presented, basic net loss per share is the same as diluted net loss per share since the effects of potentially dilutive securities are antidilutive. Shares of common stock subject to repurchase are excluded from the weighted-average shares.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ARCUTIS BIOTHERAPEUTICS, INC.</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63" w:lineRule="exact"/>
        <w:rPr>
          <w:sz w:val="20"/>
          <w:szCs w:val="20"/>
          <w:color w:val="auto"/>
        </w:rPr>
      </w:pPr>
    </w:p>
    <w:p>
      <w:pPr>
        <w:ind w:right="140" w:firstLine="643"/>
        <w:spacing w:after="0" w:line="249"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 out of the extended transition period provided in the JOBS Act. As a result, these financial statements may not be comparable to companies that comply with the new or revised accounting pronouncements as of public company effective dates.</w:t>
      </w:r>
    </w:p>
    <w:p>
      <w:pPr>
        <w:spacing w:after="0" w:line="12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7" w:lineRule="exact"/>
        <w:rPr>
          <w:sz w:val="20"/>
          <w:szCs w:val="20"/>
          <w:color w:val="auto"/>
        </w:rPr>
      </w:pPr>
    </w:p>
    <w:p>
      <w:pPr>
        <w:ind w:right="800" w:firstLine="643"/>
        <w:spacing w:after="0" w:line="255" w:lineRule="auto"/>
        <w:rPr>
          <w:sz w:val="20"/>
          <w:szCs w:val="20"/>
          <w:color w:val="auto"/>
        </w:rPr>
      </w:pPr>
      <w:r>
        <w:rPr>
          <w:rFonts w:ascii="Arial" w:cs="Arial" w:eastAsia="Arial" w:hAnsi="Arial"/>
          <w:sz w:val="18"/>
          <w:szCs w:val="18"/>
          <w:color w:val="auto"/>
        </w:rPr>
        <w:t>There have been no new accounting pronouncements issued or effective that are expected to have a material impact on the Company's condensed financial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Fair Value Measurements</w:t>
      </w:r>
    </w:p>
    <w:p>
      <w:pPr>
        <w:spacing w:after="0" w:line="177" w:lineRule="exact"/>
        <w:rPr>
          <w:sz w:val="20"/>
          <w:szCs w:val="20"/>
          <w:color w:val="auto"/>
        </w:rPr>
      </w:pPr>
    </w:p>
    <w:p>
      <w:pPr>
        <w:ind w:firstLine="643"/>
        <w:spacing w:after="0" w:line="255"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a recurring basis by level within the fair value hierarchy (in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June 30, 2021</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60" w:type="dxa"/>
            <w:vAlign w:val="bottom"/>
            <w:tcBorders>
              <w:bottom w:val="single" w:sz="8" w:color="CCEEFF"/>
            </w:tcBorders>
          </w:tcPr>
          <w:p>
            <w:pPr>
              <w:spacing w:after="0"/>
              <w:rPr>
                <w:sz w:val="15"/>
                <w:szCs w:val="15"/>
                <w:color w:val="auto"/>
              </w:rPr>
            </w:pPr>
          </w:p>
        </w:tc>
        <w:tc>
          <w:tcPr>
            <w:tcW w:w="24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5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5"/>
          </w:tcPr>
          <w:p>
            <w:pPr>
              <w:ind w:left="940"/>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8"/>
        </w:trPr>
        <w:tc>
          <w:tcPr>
            <w:tcW w:w="260" w:type="dxa"/>
            <w:vAlign w:val="bottom"/>
            <w:shd w:val="clear" w:color="auto" w:fill="CCEEFF"/>
          </w:tcPr>
          <w:p>
            <w:pPr>
              <w:spacing w:after="0"/>
              <w:rPr>
                <w:sz w:val="18"/>
                <w:szCs w:val="18"/>
                <w:color w:val="auto"/>
              </w:rPr>
            </w:pPr>
          </w:p>
        </w:tc>
        <w:tc>
          <w:tcPr>
            <w:tcW w:w="248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Assets:</w:t>
            </w:r>
          </w:p>
        </w:tc>
        <w:tc>
          <w:tcPr>
            <w:tcW w:w="9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2480" w:type="dxa"/>
            <w:vAlign w:val="bottom"/>
          </w:tcPr>
          <w:p>
            <w:pPr>
              <w:ind w:left="720"/>
              <w:spacing w:after="0"/>
              <w:rPr>
                <w:sz w:val="20"/>
                <w:szCs w:val="20"/>
                <w:color w:val="auto"/>
              </w:rPr>
            </w:pPr>
            <w:r>
              <w:rPr>
                <w:rFonts w:ascii="Arial" w:cs="Arial" w:eastAsia="Arial" w:hAnsi="Arial"/>
                <w:sz w:val="18"/>
                <w:szCs w:val="18"/>
                <w:color w:val="auto"/>
              </w:rPr>
              <w:t>Money market</w:t>
            </w:r>
          </w:p>
        </w:tc>
        <w:tc>
          <w:tcPr>
            <w:tcW w:w="9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60" w:type="dxa"/>
            <w:vAlign w:val="bottom"/>
          </w:tcPr>
          <w:p>
            <w:pPr>
              <w:spacing w:after="0"/>
              <w:rPr>
                <w:sz w:val="21"/>
                <w:szCs w:val="21"/>
                <w:color w:val="auto"/>
              </w:rPr>
            </w:pPr>
          </w:p>
        </w:tc>
        <w:tc>
          <w:tcPr>
            <w:tcW w:w="2480" w:type="dxa"/>
            <w:vAlign w:val="bottom"/>
          </w:tcPr>
          <w:p>
            <w:pPr>
              <w:ind w:left="80"/>
              <w:spacing w:after="0" w:line="252" w:lineRule="exact"/>
              <w:rPr>
                <w:sz w:val="20"/>
                <w:szCs w:val="20"/>
                <w:color w:val="auto"/>
              </w:rPr>
            </w:pPr>
            <w:r>
              <w:rPr>
                <w:rFonts w:ascii="Arial" w:cs="Arial" w:eastAsia="Arial" w:hAnsi="Arial"/>
                <w:sz w:val="18"/>
                <w:szCs w:val="18"/>
                <w:color w:val="auto"/>
              </w:rPr>
              <w:t>funds</w:t>
            </w:r>
            <w:r>
              <w:rPr>
                <w:rFonts w:ascii="Arial" w:cs="Arial" w:eastAsia="Arial" w:hAnsi="Arial"/>
                <w:sz w:val="23"/>
                <w:szCs w:val="23"/>
                <w:color w:val="auto"/>
                <w:vertAlign w:val="superscript"/>
              </w:rPr>
              <w:t>(1)</w:t>
            </w: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89,128</w:t>
            </w:r>
          </w:p>
        </w:tc>
        <w:tc>
          <w:tcPr>
            <w:tcW w:w="8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44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5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89,128</w:t>
            </w:r>
          </w:p>
        </w:tc>
        <w:tc>
          <w:tcPr>
            <w:tcW w:w="0" w:type="dxa"/>
            <w:vAlign w:val="bottom"/>
          </w:tcPr>
          <w:p>
            <w:pPr>
              <w:spacing w:after="0"/>
              <w:rPr>
                <w:sz w:val="1"/>
                <w:szCs w:val="1"/>
                <w:color w:val="auto"/>
              </w:rPr>
            </w:pPr>
          </w:p>
        </w:tc>
      </w:tr>
      <w:tr>
        <w:trPr>
          <w:trHeight w:val="228"/>
        </w:trPr>
        <w:tc>
          <w:tcPr>
            <w:tcW w:w="260" w:type="dxa"/>
            <w:vAlign w:val="bottom"/>
            <w:shd w:val="clear" w:color="auto" w:fill="CCEEFF"/>
          </w:tcPr>
          <w:p>
            <w:pPr>
              <w:spacing w:after="0"/>
              <w:rPr>
                <w:sz w:val="19"/>
                <w:szCs w:val="19"/>
                <w:color w:val="auto"/>
              </w:rPr>
            </w:pPr>
          </w:p>
        </w:tc>
        <w:tc>
          <w:tcPr>
            <w:tcW w:w="2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Commercial paper</w:t>
            </w:r>
          </w:p>
        </w:tc>
        <w:tc>
          <w:tcPr>
            <w:tcW w:w="9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106,338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106,338</w:t>
            </w:r>
          </w:p>
        </w:tc>
        <w:tc>
          <w:tcPr>
            <w:tcW w:w="0" w:type="dxa"/>
            <w:vAlign w:val="bottom"/>
          </w:tcPr>
          <w:p>
            <w:pPr>
              <w:spacing w:after="0"/>
              <w:rPr>
                <w:sz w:val="1"/>
                <w:szCs w:val="1"/>
                <w:color w:val="auto"/>
              </w:rPr>
            </w:pPr>
          </w:p>
        </w:tc>
      </w:tr>
      <w:tr>
        <w:trPr>
          <w:trHeight w:val="239"/>
        </w:trPr>
        <w:tc>
          <w:tcPr>
            <w:tcW w:w="260" w:type="dxa"/>
            <w:vAlign w:val="bottom"/>
          </w:tcPr>
          <w:p>
            <w:pPr>
              <w:spacing w:after="0"/>
              <w:rPr>
                <w:sz w:val="20"/>
                <w:szCs w:val="20"/>
                <w:color w:val="auto"/>
              </w:rPr>
            </w:pPr>
          </w:p>
        </w:tc>
        <w:tc>
          <w:tcPr>
            <w:tcW w:w="2480" w:type="dxa"/>
            <w:vAlign w:val="bottom"/>
          </w:tcPr>
          <w:p>
            <w:pPr>
              <w:ind w:left="720"/>
              <w:spacing w:after="0"/>
              <w:rPr>
                <w:sz w:val="20"/>
                <w:szCs w:val="20"/>
                <w:color w:val="auto"/>
              </w:rPr>
            </w:pPr>
            <w:r>
              <w:rPr>
                <w:rFonts w:ascii="Arial" w:cs="Arial" w:eastAsia="Arial" w:hAnsi="Arial"/>
                <w:sz w:val="18"/>
                <w:szCs w:val="18"/>
                <w:color w:val="auto"/>
              </w:rPr>
              <w:t>Corporate debt</w:t>
            </w:r>
          </w:p>
        </w:tc>
        <w:tc>
          <w:tcPr>
            <w:tcW w:w="9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60" w:type="dxa"/>
            <w:vAlign w:val="bottom"/>
          </w:tcPr>
          <w:p>
            <w:pPr>
              <w:spacing w:after="0"/>
              <w:rPr>
                <w:sz w:val="21"/>
                <w:szCs w:val="21"/>
                <w:color w:val="auto"/>
              </w:rPr>
            </w:pPr>
          </w:p>
        </w:tc>
        <w:tc>
          <w:tcPr>
            <w:tcW w:w="2480" w:type="dxa"/>
            <w:vAlign w:val="bottom"/>
          </w:tcPr>
          <w:p>
            <w:pPr>
              <w:ind w:left="80"/>
              <w:spacing w:after="0"/>
              <w:rPr>
                <w:sz w:val="20"/>
                <w:szCs w:val="20"/>
                <w:color w:val="auto"/>
              </w:rPr>
            </w:pPr>
            <w:r>
              <w:rPr>
                <w:rFonts w:ascii="Arial" w:cs="Arial" w:eastAsia="Arial" w:hAnsi="Arial"/>
                <w:sz w:val="18"/>
                <w:szCs w:val="18"/>
                <w:color w:val="auto"/>
              </w:rPr>
              <w:t>securities</w:t>
            </w:r>
          </w:p>
        </w:tc>
        <w:tc>
          <w:tcPr>
            <w:tcW w:w="96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4"/>
          </w:tcPr>
          <w:p>
            <w:pPr>
              <w:jc w:val="right"/>
              <w:ind w:right="80"/>
              <w:spacing w:after="0"/>
              <w:rPr>
                <w:sz w:val="20"/>
                <w:szCs w:val="20"/>
                <w:color w:val="auto"/>
              </w:rPr>
            </w:pPr>
            <w:r>
              <w:rPr>
                <w:rFonts w:ascii="Arial" w:cs="Arial" w:eastAsia="Arial" w:hAnsi="Arial"/>
                <w:sz w:val="18"/>
                <w:szCs w:val="18"/>
                <w:color w:val="auto"/>
              </w:rPr>
              <w:t>105,289</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105,289</w:t>
            </w:r>
          </w:p>
        </w:tc>
        <w:tc>
          <w:tcPr>
            <w:tcW w:w="0" w:type="dxa"/>
            <w:vAlign w:val="bottom"/>
          </w:tcPr>
          <w:p>
            <w:pPr>
              <w:spacing w:after="0"/>
              <w:rPr>
                <w:sz w:val="1"/>
                <w:szCs w:val="1"/>
                <w:color w:val="auto"/>
              </w:rPr>
            </w:pPr>
          </w:p>
        </w:tc>
      </w:tr>
      <w:tr>
        <w:trPr>
          <w:trHeight w:val="240"/>
        </w:trPr>
        <w:tc>
          <w:tcPr>
            <w:tcW w:w="260" w:type="dxa"/>
            <w:vAlign w:val="bottom"/>
            <w:shd w:val="clear" w:color="auto" w:fill="CCEEFF"/>
          </w:tcPr>
          <w:p>
            <w:pPr>
              <w:spacing w:after="0"/>
              <w:rPr>
                <w:sz w:val="20"/>
                <w:szCs w:val="20"/>
                <w:color w:val="auto"/>
              </w:rPr>
            </w:pPr>
          </w:p>
        </w:tc>
        <w:tc>
          <w:tcPr>
            <w:tcW w:w="2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U.S. Treasury</w:t>
            </w:r>
          </w:p>
        </w:tc>
        <w:tc>
          <w:tcPr>
            <w:tcW w:w="9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60" w:type="dxa"/>
            <w:vAlign w:val="bottom"/>
            <w:shd w:val="clear" w:color="auto" w:fill="CCEEFF"/>
          </w:tcPr>
          <w:p>
            <w:pPr>
              <w:spacing w:after="0"/>
              <w:rPr>
                <w:sz w:val="21"/>
                <w:szCs w:val="21"/>
                <w:color w:val="auto"/>
              </w:rPr>
            </w:pPr>
          </w:p>
        </w:tc>
        <w:tc>
          <w:tcPr>
            <w:tcW w:w="2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securities</w:t>
            </w:r>
          </w:p>
        </w:tc>
        <w:tc>
          <w:tcPr>
            <w:tcW w:w="9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108,609</w:t>
            </w:r>
          </w:p>
        </w:tc>
        <w:tc>
          <w:tcPr>
            <w:tcW w:w="8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108,609</w:t>
            </w:r>
          </w:p>
        </w:tc>
        <w:tc>
          <w:tcPr>
            <w:tcW w:w="0" w:type="dxa"/>
            <w:vAlign w:val="bottom"/>
          </w:tcPr>
          <w:p>
            <w:pPr>
              <w:spacing w:after="0"/>
              <w:rPr>
                <w:sz w:val="1"/>
                <w:szCs w:val="1"/>
                <w:color w:val="auto"/>
              </w:rPr>
            </w:pPr>
          </w:p>
        </w:tc>
      </w:tr>
      <w:tr>
        <w:trPr>
          <w:trHeight w:val="219"/>
        </w:trPr>
        <w:tc>
          <w:tcPr>
            <w:tcW w:w="260" w:type="dxa"/>
            <w:vAlign w:val="bottom"/>
          </w:tcPr>
          <w:p>
            <w:pPr>
              <w:spacing w:after="0"/>
              <w:rPr>
                <w:sz w:val="19"/>
                <w:szCs w:val="19"/>
                <w:color w:val="auto"/>
              </w:rPr>
            </w:pPr>
          </w:p>
        </w:tc>
        <w:tc>
          <w:tcPr>
            <w:tcW w:w="2480" w:type="dxa"/>
            <w:vAlign w:val="bottom"/>
          </w:tcPr>
          <w:p>
            <w:pPr>
              <w:ind w:left="1060"/>
              <w:spacing w:after="0"/>
              <w:rPr>
                <w:sz w:val="20"/>
                <w:szCs w:val="20"/>
                <w:color w:val="auto"/>
              </w:rPr>
            </w:pPr>
            <w:r>
              <w:rPr>
                <w:rFonts w:ascii="Arial" w:cs="Arial" w:eastAsia="Arial" w:hAnsi="Arial"/>
                <w:sz w:val="18"/>
                <w:szCs w:val="18"/>
                <w:color w:val="auto"/>
              </w:rPr>
              <w:t>Total assets</w:t>
            </w: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197,737</w:t>
            </w:r>
          </w:p>
        </w:tc>
        <w:tc>
          <w:tcPr>
            <w:tcW w:w="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ind w:right="80"/>
              <w:spacing w:after="0"/>
              <w:rPr>
                <w:sz w:val="20"/>
                <w:szCs w:val="20"/>
                <w:color w:val="auto"/>
              </w:rPr>
            </w:pPr>
            <w:r>
              <w:rPr>
                <w:rFonts w:ascii="Arial" w:cs="Arial" w:eastAsia="Arial" w:hAnsi="Arial"/>
                <w:sz w:val="18"/>
                <w:szCs w:val="18"/>
                <w:color w:val="auto"/>
              </w:rPr>
              <w:t>211,627</w:t>
            </w:r>
          </w:p>
        </w:tc>
        <w:tc>
          <w:tcPr>
            <w:tcW w:w="100" w:type="dxa"/>
            <w:vAlign w:val="bottom"/>
          </w:tcPr>
          <w:p>
            <w:pPr>
              <w:spacing w:after="0"/>
              <w:rPr>
                <w:sz w:val="19"/>
                <w:szCs w:val="19"/>
                <w:color w:val="auto"/>
              </w:rPr>
            </w:pPr>
          </w:p>
        </w:tc>
        <w:tc>
          <w:tcPr>
            <w:tcW w:w="1100" w:type="dxa"/>
            <w:vAlign w:val="bottom"/>
          </w:tcPr>
          <w:p>
            <w:pPr>
              <w:jc w:val="right"/>
              <w:ind w:right="25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409,364</w:t>
            </w:r>
          </w:p>
        </w:tc>
        <w:tc>
          <w:tcPr>
            <w:tcW w:w="0" w:type="dxa"/>
            <w:vAlign w:val="bottom"/>
          </w:tcPr>
          <w:p>
            <w:pPr>
              <w:spacing w:after="0"/>
              <w:rPr>
                <w:sz w:val="1"/>
                <w:szCs w:val="1"/>
                <w:color w:val="auto"/>
              </w:rPr>
            </w:pPr>
          </w:p>
        </w:tc>
      </w:tr>
      <w:tr>
        <w:trPr>
          <w:trHeight w:val="22"/>
        </w:trPr>
        <w:tc>
          <w:tcPr>
            <w:tcW w:w="2740" w:type="dxa"/>
            <w:vAlign w:val="bottom"/>
            <w:gridSpan w:val="2"/>
            <w:vMerge w:val="restart"/>
          </w:tcPr>
          <w:p>
            <w:pPr>
              <w:spacing w:after="0"/>
              <w:rPr>
                <w:sz w:val="20"/>
                <w:szCs w:val="20"/>
                <w:color w:val="auto"/>
              </w:rPr>
            </w:pPr>
            <w:r>
              <w:rPr>
                <w:rFonts w:ascii="Arial" w:cs="Arial" w:eastAsia="Arial" w:hAnsi="Arial"/>
                <w:sz w:val="18"/>
                <w:szCs w:val="18"/>
                <w:color w:val="auto"/>
              </w:rPr>
              <w:t>______________</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0"/>
        </w:trPr>
        <w:tc>
          <w:tcPr>
            <w:tcW w:w="274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60" w:type="dxa"/>
            <w:vAlign w:val="bottom"/>
          </w:tcPr>
          <w:p>
            <w:pPr>
              <w:spacing w:after="0"/>
              <w:rPr>
                <w:sz w:val="20"/>
                <w:szCs w:val="20"/>
                <w:color w:val="auto"/>
              </w:rPr>
            </w:pPr>
            <w:r>
              <w:rPr>
                <w:rFonts w:ascii="Arial" w:cs="Arial" w:eastAsia="Arial" w:hAnsi="Arial"/>
                <w:sz w:val="14"/>
                <w:szCs w:val="14"/>
                <w:color w:val="auto"/>
              </w:rPr>
              <w:t>(1)</w:t>
            </w:r>
          </w:p>
        </w:tc>
        <w:tc>
          <w:tcPr>
            <w:tcW w:w="4760" w:type="dxa"/>
            <w:vAlign w:val="bottom"/>
            <w:gridSpan w:val="4"/>
          </w:tcPr>
          <w:p>
            <w:pPr>
              <w:ind w:left="380"/>
              <w:spacing w:after="0"/>
              <w:rPr>
                <w:sz w:val="20"/>
                <w:szCs w:val="20"/>
                <w:color w:val="auto"/>
              </w:rPr>
            </w:pPr>
            <w:r>
              <w:rPr>
                <w:rFonts w:ascii="Arial" w:cs="Arial" w:eastAsia="Arial" w:hAnsi="Arial"/>
                <w:sz w:val="14"/>
                <w:szCs w:val="14"/>
                <w:color w:val="auto"/>
              </w:rPr>
              <w:t>This balance includes cash requirements settled on a nightly basis.</w:t>
            </w: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3"/>
        </w:trPr>
        <w:tc>
          <w:tcPr>
            <w:tcW w:w="2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December 31, 2020</w:t>
            </w: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60" w:type="dxa"/>
            <w:vAlign w:val="bottom"/>
            <w:tcBorders>
              <w:bottom w:val="single" w:sz="8" w:color="CCEEFF"/>
            </w:tcBorders>
          </w:tcPr>
          <w:p>
            <w:pPr>
              <w:spacing w:after="0"/>
              <w:rPr>
                <w:sz w:val="17"/>
                <w:szCs w:val="17"/>
                <w:color w:val="auto"/>
              </w:rPr>
            </w:pPr>
          </w:p>
        </w:tc>
        <w:tc>
          <w:tcPr>
            <w:tcW w:w="248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96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3"/>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9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60" w:type="dxa"/>
            <w:vAlign w:val="bottom"/>
          </w:tcPr>
          <w:p>
            <w:pPr>
              <w:spacing w:after="0"/>
              <w:rPr>
                <w:sz w:val="23"/>
                <w:szCs w:val="23"/>
                <w:color w:val="auto"/>
              </w:rPr>
            </w:pPr>
          </w:p>
        </w:tc>
        <w:tc>
          <w:tcPr>
            <w:tcW w:w="2480" w:type="dxa"/>
            <w:vAlign w:val="bottom"/>
          </w:tcPr>
          <w:p>
            <w:pPr>
              <w:ind w:left="80"/>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23"/>
                <w:szCs w:val="23"/>
                <w:color w:val="auto"/>
                <w:vertAlign w:val="superscript"/>
              </w:rPr>
              <w:t>(1)</w:t>
            </w:r>
          </w:p>
        </w:tc>
        <w:tc>
          <w:tcPr>
            <w:tcW w:w="9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65,082</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65,082</w:t>
            </w:r>
          </w:p>
        </w:tc>
        <w:tc>
          <w:tcPr>
            <w:tcW w:w="0" w:type="dxa"/>
            <w:vAlign w:val="bottom"/>
          </w:tcPr>
          <w:p>
            <w:pPr>
              <w:spacing w:after="0"/>
              <w:rPr>
                <w:sz w:val="1"/>
                <w:szCs w:val="1"/>
                <w:color w:val="auto"/>
              </w:rPr>
            </w:pPr>
          </w:p>
        </w:tc>
      </w:tr>
      <w:tr>
        <w:trPr>
          <w:trHeight w:val="228"/>
        </w:trPr>
        <w:tc>
          <w:tcPr>
            <w:tcW w:w="260" w:type="dxa"/>
            <w:vAlign w:val="bottom"/>
            <w:shd w:val="clear" w:color="auto" w:fill="CCEEFF"/>
          </w:tcPr>
          <w:p>
            <w:pPr>
              <w:spacing w:after="0"/>
              <w:rPr>
                <w:sz w:val="19"/>
                <w:szCs w:val="19"/>
                <w:color w:val="auto"/>
              </w:rPr>
            </w:pPr>
          </w:p>
        </w:tc>
        <w:tc>
          <w:tcPr>
            <w:tcW w:w="2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Commercial paper</w:t>
            </w:r>
          </w:p>
        </w:tc>
        <w:tc>
          <w:tcPr>
            <w:tcW w:w="9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45,518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45,518</w:t>
            </w:r>
          </w:p>
        </w:tc>
        <w:tc>
          <w:tcPr>
            <w:tcW w:w="0" w:type="dxa"/>
            <w:vAlign w:val="bottom"/>
          </w:tcPr>
          <w:p>
            <w:pPr>
              <w:spacing w:after="0"/>
              <w:rPr>
                <w:sz w:val="1"/>
                <w:szCs w:val="1"/>
                <w:color w:val="auto"/>
              </w:rPr>
            </w:pPr>
          </w:p>
        </w:tc>
      </w:tr>
      <w:tr>
        <w:trPr>
          <w:trHeight w:val="267"/>
        </w:trPr>
        <w:tc>
          <w:tcPr>
            <w:tcW w:w="260" w:type="dxa"/>
            <w:vAlign w:val="bottom"/>
            <w:tcBorders>
              <w:bottom w:val="single" w:sz="8" w:color="CCEEFF"/>
            </w:tcBorders>
          </w:tcPr>
          <w:p>
            <w:pPr>
              <w:spacing w:after="0"/>
              <w:rPr>
                <w:sz w:val="23"/>
                <w:szCs w:val="23"/>
                <w:color w:val="auto"/>
              </w:rPr>
            </w:pPr>
          </w:p>
        </w:tc>
        <w:tc>
          <w:tcPr>
            <w:tcW w:w="24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U.S. Treasury securities</w:t>
            </w:r>
          </w:p>
        </w:tc>
        <w:tc>
          <w:tcPr>
            <w:tcW w:w="960" w:type="dxa"/>
            <w:vAlign w:val="bottom"/>
            <w:tcBorders>
              <w:bottom w:val="single" w:sz="8" w:color="CCEEFF"/>
            </w:tcBorders>
          </w:tcPr>
          <w:p>
            <w:pPr>
              <w:spacing w:after="0"/>
              <w:rPr>
                <w:sz w:val="23"/>
                <w:szCs w:val="23"/>
                <w:color w:val="auto"/>
              </w:rPr>
            </w:pPr>
          </w:p>
        </w:tc>
        <w:tc>
          <w:tcPr>
            <w:tcW w:w="12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5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173,841</w:t>
            </w: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173,841</w:t>
            </w:r>
          </w:p>
        </w:tc>
        <w:tc>
          <w:tcPr>
            <w:tcW w:w="0" w:type="dxa"/>
            <w:vAlign w:val="bottom"/>
          </w:tcPr>
          <w:p>
            <w:pPr>
              <w:spacing w:after="0"/>
              <w:rPr>
                <w:sz w:val="1"/>
                <w:szCs w:val="1"/>
                <w:color w:val="auto"/>
              </w:rPr>
            </w:pPr>
          </w:p>
        </w:tc>
      </w:tr>
      <w:tr>
        <w:trPr>
          <w:trHeight w:val="241"/>
        </w:trPr>
        <w:tc>
          <w:tcPr>
            <w:tcW w:w="260" w:type="dxa"/>
            <w:vAlign w:val="bottom"/>
            <w:shd w:val="clear" w:color="auto" w:fill="CCEEFF"/>
          </w:tcPr>
          <w:p>
            <w:pPr>
              <w:spacing w:after="0"/>
              <w:rPr>
                <w:sz w:val="20"/>
                <w:szCs w:val="20"/>
                <w:color w:val="auto"/>
              </w:rPr>
            </w:pPr>
          </w:p>
        </w:tc>
        <w:tc>
          <w:tcPr>
            <w:tcW w:w="2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9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238,923</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45,518</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284,441</w:t>
            </w:r>
          </w:p>
        </w:tc>
        <w:tc>
          <w:tcPr>
            <w:tcW w:w="0" w:type="dxa"/>
            <w:vAlign w:val="bottom"/>
          </w:tcPr>
          <w:p>
            <w:pPr>
              <w:spacing w:after="0"/>
              <w:rPr>
                <w:sz w:val="1"/>
                <w:szCs w:val="1"/>
                <w:color w:val="auto"/>
              </w:rPr>
            </w:pP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3" w:lineRule="exact"/>
        <w:rPr>
          <w:sz w:val="20"/>
          <w:szCs w:val="20"/>
          <w:color w:val="auto"/>
        </w:rPr>
      </w:pPr>
    </w:p>
    <w:p>
      <w:pPr>
        <w:ind w:left="640" w:hanging="633"/>
        <w:spacing w:after="0"/>
        <w:tabs>
          <w:tab w:leader="none" w:pos="6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This balance includes cash requirements settled on a nightly basis.</w:t>
      </w:r>
    </w:p>
    <w:p>
      <w:pPr>
        <w:spacing w:after="0" w:line="141" w:lineRule="exact"/>
        <w:rPr>
          <w:sz w:val="20"/>
          <w:szCs w:val="20"/>
          <w:color w:val="auto"/>
        </w:rPr>
      </w:pPr>
    </w:p>
    <w:p>
      <w:pPr>
        <w:ind w:right="160" w:firstLine="643"/>
        <w:spacing w:after="0" w:line="250" w:lineRule="auto"/>
        <w:rPr>
          <w:sz w:val="20"/>
          <w:szCs w:val="20"/>
          <w:color w:val="auto"/>
        </w:rPr>
      </w:pPr>
      <w:r>
        <w:rPr>
          <w:rFonts w:ascii="Arial" w:cs="Arial" w:eastAsia="Arial" w:hAnsi="Arial"/>
          <w:sz w:val="18"/>
          <w:szCs w:val="18"/>
          <w:color w:val="auto"/>
        </w:rPr>
        <w:t>Commercial paper, corporate debt securities, money market funds, and U.S. Treasury securities are valued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1" w:lineRule="exact"/>
        <w:rPr>
          <w:sz w:val="20"/>
          <w:szCs w:val="20"/>
          <w:color w:val="auto"/>
        </w:rPr>
      </w:pPr>
    </w:p>
    <w:p>
      <w:pPr>
        <w:ind w:right="420" w:firstLine="643"/>
        <w:spacing w:after="0" w:line="255" w:lineRule="auto"/>
        <w:rPr>
          <w:sz w:val="20"/>
          <w:szCs w:val="20"/>
          <w:color w:val="auto"/>
        </w:rPr>
      </w:pPr>
      <w:r>
        <w:rPr>
          <w:rFonts w:ascii="Arial" w:cs="Arial" w:eastAsia="Arial" w:hAnsi="Arial"/>
          <w:sz w:val="18"/>
          <w:szCs w:val="18"/>
          <w:color w:val="auto"/>
        </w:rPr>
        <w:t>The following table summarizes the estimated value of the Company’s cash, cash equivalents and marketable securities, and the gross unrealized holding gains and losses (in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1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2021</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3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80" w:type="dxa"/>
            <w:vAlign w:val="bottom"/>
            <w:gridSpan w:val="2"/>
          </w:tcPr>
          <w:p>
            <w:pPr>
              <w:ind w:left="200"/>
              <w:spacing w:after="0" w:line="141" w:lineRule="exact"/>
              <w:rPr>
                <w:sz w:val="20"/>
                <w:szCs w:val="20"/>
                <w:color w:val="auto"/>
              </w:rPr>
            </w:pPr>
            <w:r>
              <w:rPr>
                <w:rFonts w:ascii="Arial" w:cs="Arial" w:eastAsia="Arial" w:hAnsi="Arial"/>
                <w:sz w:val="14"/>
                <w:szCs w:val="14"/>
                <w:b w:val="1"/>
                <w:bCs w:val="1"/>
                <w:color w:val="auto"/>
              </w:rPr>
              <w:t>Amortized</w:t>
            </w:r>
          </w:p>
        </w:tc>
        <w:tc>
          <w:tcPr>
            <w:tcW w:w="800" w:type="dxa"/>
            <w:vAlign w:val="bottom"/>
          </w:tcPr>
          <w:p>
            <w:pPr>
              <w:spacing w:after="0"/>
              <w:rPr>
                <w:sz w:val="12"/>
                <w:szCs w:val="12"/>
                <w:color w:val="auto"/>
              </w:rPr>
            </w:pPr>
          </w:p>
        </w:tc>
        <w:tc>
          <w:tcPr>
            <w:tcW w:w="900" w:type="dxa"/>
            <w:vAlign w:val="bottom"/>
          </w:tcPr>
          <w:p>
            <w:pPr>
              <w:jc w:val="right"/>
              <w:ind w:right="33"/>
              <w:spacing w:after="0" w:line="141" w:lineRule="exact"/>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00" w:type="dxa"/>
            <w:vAlign w:val="bottom"/>
            <w:gridSpan w:val="2"/>
          </w:tcPr>
          <w:p>
            <w:pPr>
              <w:ind w:left="40"/>
              <w:spacing w:after="0" w:line="141" w:lineRule="exact"/>
              <w:rPr>
                <w:sz w:val="20"/>
                <w:szCs w:val="20"/>
                <w:color w:val="auto"/>
              </w:rPr>
            </w:pPr>
            <w:r>
              <w:rPr>
                <w:rFonts w:ascii="Arial" w:cs="Arial" w:eastAsia="Arial" w:hAnsi="Arial"/>
                <w:sz w:val="14"/>
                <w:szCs w:val="14"/>
                <w:b w:val="1"/>
                <w:bCs w:val="1"/>
                <w:color w:val="auto"/>
              </w:rPr>
              <w:t>Unrealized</w:t>
            </w:r>
          </w:p>
        </w:tc>
        <w:tc>
          <w:tcPr>
            <w:tcW w:w="900" w:type="dxa"/>
            <w:vAlign w:val="bottom"/>
          </w:tcPr>
          <w:p>
            <w:pPr>
              <w:spacing w:after="0"/>
              <w:rPr>
                <w:sz w:val="12"/>
                <w:szCs w:val="12"/>
                <w:color w:val="auto"/>
              </w:rPr>
            </w:pPr>
          </w:p>
        </w:tc>
        <w:tc>
          <w:tcPr>
            <w:tcW w:w="1220" w:type="dxa"/>
            <w:vAlign w:val="bottom"/>
          </w:tcPr>
          <w:p>
            <w:pPr>
              <w:jc w:val="right"/>
              <w:ind w:right="313"/>
              <w:spacing w:after="0" w:line="141"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4"/>
        </w:trPr>
        <w:tc>
          <w:tcPr>
            <w:tcW w:w="3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cost</w:t>
            </w:r>
          </w:p>
        </w:tc>
        <w:tc>
          <w:tcPr>
            <w:tcW w:w="1700" w:type="dxa"/>
            <w:vAlign w:val="bottom"/>
            <w:tcBorders>
              <w:bottom w:val="single" w:sz="8" w:color="auto"/>
            </w:tcBorders>
            <w:gridSpan w:val="2"/>
          </w:tcPr>
          <w:p>
            <w:pPr>
              <w:jc w:val="right"/>
              <w:ind w:right="533"/>
              <w:spacing w:after="0"/>
              <w:rPr>
                <w:sz w:val="20"/>
                <w:szCs w:val="20"/>
                <w:color w:val="auto"/>
              </w:rPr>
            </w:pPr>
            <w:r>
              <w:rPr>
                <w:rFonts w:ascii="Arial" w:cs="Arial" w:eastAsia="Arial" w:hAnsi="Arial"/>
                <w:sz w:val="14"/>
                <w:szCs w:val="14"/>
                <w:b w:val="1"/>
                <w:bCs w:val="1"/>
                <w:color w:val="auto"/>
              </w:rPr>
              <w:t>gains</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losses</w:t>
            </w:r>
          </w:p>
        </w:tc>
        <w:tc>
          <w:tcPr>
            <w:tcW w:w="2120" w:type="dxa"/>
            <w:vAlign w:val="bottom"/>
            <w:tcBorders>
              <w:bottom w:val="single" w:sz="8" w:color="auto"/>
            </w:tcBorders>
            <w:gridSpan w:val="2"/>
          </w:tcPr>
          <w:p>
            <w:pPr>
              <w:jc w:val="right"/>
              <w:ind w:right="67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8"/>
        </w:trPr>
        <w:tc>
          <w:tcPr>
            <w:tcW w:w="31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Cash and cash equivalents:</w:t>
            </w:r>
          </w:p>
        </w:tc>
        <w:tc>
          <w:tcPr>
            <w:tcW w:w="8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100" w:type="dxa"/>
            <w:vAlign w:val="bottom"/>
            <w:tcBorders>
              <w:bottom w:val="single" w:sz="8" w:color="CCEEFF"/>
            </w:tcBorders>
          </w:tcPr>
          <w:p>
            <w:pPr>
              <w:ind w:left="980"/>
              <w:spacing w:after="0" w:line="228" w:lineRule="exact"/>
              <w:rPr>
                <w:sz w:val="20"/>
                <w:szCs w:val="20"/>
                <w:color w:val="auto"/>
              </w:rPr>
            </w:pPr>
            <w:r>
              <w:rPr>
                <w:rFonts w:ascii="Arial" w:cs="Arial" w:eastAsia="Arial" w:hAnsi="Arial"/>
                <w:sz w:val="18"/>
                <w:szCs w:val="18"/>
                <w:color w:val="auto"/>
              </w:rPr>
              <w:t>Money market funds</w:t>
            </w:r>
            <w:r>
              <w:rPr>
                <w:rFonts w:ascii="Arial" w:cs="Arial" w:eastAsia="Arial" w:hAnsi="Arial"/>
                <w:sz w:val="23"/>
                <w:szCs w:val="23"/>
                <w:color w:val="auto"/>
                <w:vertAlign w:val="superscript"/>
              </w:rPr>
              <w:t>(1)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89,128</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center"/>
              <w:ind w:left="573"/>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89,128</w:t>
            </w:r>
          </w:p>
        </w:tc>
        <w:tc>
          <w:tcPr>
            <w:tcW w:w="0" w:type="dxa"/>
            <w:vAlign w:val="bottom"/>
          </w:tcPr>
          <w:p>
            <w:pPr>
              <w:spacing w:after="0"/>
              <w:rPr>
                <w:sz w:val="1"/>
                <w:szCs w:val="1"/>
                <w:color w:val="auto"/>
              </w:rPr>
            </w:pPr>
          </w:p>
        </w:tc>
      </w:tr>
      <w:tr>
        <w:trPr>
          <w:trHeight w:val="167"/>
        </w:trPr>
        <w:tc>
          <w:tcPr>
            <w:tcW w:w="3100" w:type="dxa"/>
            <w:vAlign w:val="bottom"/>
            <w:shd w:val="clear" w:color="auto" w:fill="CCEEFF"/>
          </w:tcPr>
          <w:p>
            <w:pPr>
              <w:ind w:left="1320"/>
              <w:spacing w:after="0" w:line="167" w:lineRule="exact"/>
              <w:rPr>
                <w:sz w:val="20"/>
                <w:szCs w:val="20"/>
                <w:color w:val="auto"/>
              </w:rPr>
            </w:pPr>
            <w:r>
              <w:rPr>
                <w:rFonts w:ascii="Arial" w:cs="Arial" w:eastAsia="Arial" w:hAnsi="Arial"/>
                <w:sz w:val="18"/>
                <w:szCs w:val="18"/>
                <w:color w:val="auto"/>
              </w:rPr>
              <w:t>Total cash and cash</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89,128</w:t>
            </w: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shd w:val="clear" w:color="auto" w:fill="CCEEFF"/>
          </w:tcPr>
          <w:p>
            <w:pPr>
              <w:jc w:val="center"/>
              <w:ind w:left="473"/>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89,128</w:t>
            </w:r>
          </w:p>
        </w:tc>
        <w:tc>
          <w:tcPr>
            <w:tcW w:w="0" w:type="dxa"/>
            <w:vAlign w:val="bottom"/>
          </w:tcPr>
          <w:p>
            <w:pPr>
              <w:spacing w:after="0"/>
              <w:rPr>
                <w:sz w:val="1"/>
                <w:szCs w:val="1"/>
                <w:color w:val="auto"/>
              </w:rPr>
            </w:pPr>
          </w:p>
        </w:tc>
      </w:tr>
      <w:tr>
        <w:trPr>
          <w:trHeight w:val="208"/>
        </w:trPr>
        <w:tc>
          <w:tcPr>
            <w:tcW w:w="3100" w:type="dxa"/>
            <w:vAlign w:val="bottom"/>
            <w:shd w:val="clear" w:color="auto" w:fill="CCEEFF"/>
          </w:tcPr>
          <w:p>
            <w:pPr>
              <w:ind w:left="660"/>
              <w:spacing w:after="0" w:line="189" w:lineRule="exact"/>
              <w:rPr>
                <w:sz w:val="20"/>
                <w:szCs w:val="20"/>
                <w:color w:val="auto"/>
              </w:rPr>
            </w:pPr>
            <w:r>
              <w:rPr>
                <w:rFonts w:ascii="Arial" w:cs="Arial" w:eastAsia="Arial" w:hAnsi="Arial"/>
                <w:sz w:val="18"/>
                <w:szCs w:val="18"/>
                <w:color w:val="auto"/>
              </w:rPr>
              <w:t>equivalents</w:t>
            </w:r>
          </w:p>
        </w:tc>
        <w:tc>
          <w:tcPr>
            <w:tcW w:w="84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0" w:type="dxa"/>
            <w:vAlign w:val="bottom"/>
            <w:gridSpan w:val="3"/>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8"/>
                <w:szCs w:val="18"/>
                <w:color w:val="auto"/>
              </w:rPr>
              <w:t>Marketable securities: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100" w:type="dxa"/>
            <w:vAlign w:val="bottom"/>
            <w:vMerge w:val="continue"/>
          </w:tcPr>
          <w:p>
            <w:pPr>
              <w:spacing w:after="0"/>
              <w:rPr>
                <w:sz w:val="15"/>
                <w:szCs w:val="15"/>
                <w:color w:val="auto"/>
              </w:rPr>
            </w:pPr>
          </w:p>
        </w:tc>
        <w:tc>
          <w:tcPr>
            <w:tcW w:w="8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1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Commercial paper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106,338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center"/>
              <w:ind w:left="473"/>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106,338</w:t>
            </w:r>
          </w:p>
        </w:tc>
        <w:tc>
          <w:tcPr>
            <w:tcW w:w="0" w:type="dxa"/>
            <w:vAlign w:val="bottom"/>
          </w:tcPr>
          <w:p>
            <w:pPr>
              <w:spacing w:after="0"/>
              <w:rPr>
                <w:sz w:val="1"/>
                <w:szCs w:val="1"/>
                <w:color w:val="auto"/>
              </w:rPr>
            </w:pPr>
          </w:p>
        </w:tc>
      </w:tr>
      <w:tr>
        <w:trPr>
          <w:trHeight w:val="267"/>
        </w:trPr>
        <w:tc>
          <w:tcPr>
            <w:tcW w:w="3100" w:type="dxa"/>
            <w:vAlign w:val="bottom"/>
          </w:tcPr>
          <w:p>
            <w:pPr>
              <w:ind w:left="980"/>
              <w:spacing w:after="0"/>
              <w:rPr>
                <w:sz w:val="20"/>
                <w:szCs w:val="20"/>
                <w:color w:val="auto"/>
              </w:rPr>
            </w:pPr>
            <w:r>
              <w:rPr>
                <w:rFonts w:ascii="Arial" w:cs="Arial" w:eastAsia="Arial" w:hAnsi="Arial"/>
                <w:sz w:val="18"/>
                <w:szCs w:val="18"/>
                <w:color w:val="auto"/>
              </w:rPr>
              <w:t>Corporate debt securities</w:t>
            </w:r>
          </w:p>
        </w:tc>
        <w:tc>
          <w:tcPr>
            <w:tcW w:w="8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105,345</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0" w:type="dxa"/>
            <w:vAlign w:val="bottom"/>
          </w:tcPr>
          <w:p>
            <w:pPr>
              <w:jc w:val="center"/>
              <w:ind w:left="553"/>
              <w:spacing w:after="0"/>
              <w:rPr>
                <w:sz w:val="20"/>
                <w:szCs w:val="20"/>
                <w:color w:val="auto"/>
              </w:rPr>
            </w:pPr>
            <w:r>
              <w:rPr>
                <w:rFonts w:ascii="Arial" w:cs="Arial" w:eastAsia="Arial" w:hAnsi="Arial"/>
                <w:sz w:val="18"/>
                <w:szCs w:val="18"/>
                <w:color w:val="auto"/>
                <w:w w:val="99"/>
              </w:rPr>
              <w:t>(56)</w:t>
            </w: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105,289</w:t>
            </w:r>
          </w:p>
        </w:tc>
        <w:tc>
          <w:tcPr>
            <w:tcW w:w="0" w:type="dxa"/>
            <w:vAlign w:val="bottom"/>
          </w:tcPr>
          <w:p>
            <w:pPr>
              <w:spacing w:after="0"/>
              <w:rPr>
                <w:sz w:val="1"/>
                <w:szCs w:val="1"/>
                <w:color w:val="auto"/>
              </w:rPr>
            </w:pPr>
          </w:p>
        </w:tc>
      </w:tr>
      <w:tr>
        <w:trPr>
          <w:trHeight w:val="228"/>
        </w:trPr>
        <w:tc>
          <w:tcPr>
            <w:tcW w:w="31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U.S. Treasury securities</w:t>
            </w:r>
          </w:p>
        </w:tc>
        <w:tc>
          <w:tcPr>
            <w:tcW w:w="8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108,589</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573"/>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108,609</w:t>
            </w:r>
          </w:p>
        </w:tc>
        <w:tc>
          <w:tcPr>
            <w:tcW w:w="0" w:type="dxa"/>
            <w:vAlign w:val="bottom"/>
          </w:tcPr>
          <w:p>
            <w:pPr>
              <w:spacing w:after="0"/>
              <w:rPr>
                <w:sz w:val="1"/>
                <w:szCs w:val="1"/>
                <w:color w:val="auto"/>
              </w:rPr>
            </w:pPr>
          </w:p>
        </w:tc>
      </w:tr>
      <w:tr>
        <w:trPr>
          <w:trHeight w:val="167"/>
        </w:trPr>
        <w:tc>
          <w:tcPr>
            <w:tcW w:w="3100" w:type="dxa"/>
            <w:vAlign w:val="bottom"/>
          </w:tcPr>
          <w:p>
            <w:pPr>
              <w:ind w:left="1320"/>
              <w:spacing w:after="0" w:line="167" w:lineRule="exact"/>
              <w:rPr>
                <w:sz w:val="20"/>
                <w:szCs w:val="20"/>
                <w:color w:val="auto"/>
              </w:rPr>
            </w:pPr>
            <w:r>
              <w:rPr>
                <w:rFonts w:ascii="Arial" w:cs="Arial" w:eastAsia="Arial" w:hAnsi="Arial"/>
                <w:sz w:val="18"/>
                <w:szCs w:val="18"/>
                <w:color w:val="auto"/>
              </w:rPr>
              <w:t>Total marketable</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320,272</w:t>
            </w: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00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center"/>
              <w:ind w:left="553"/>
              <w:spacing w:after="0"/>
              <w:rPr>
                <w:sz w:val="20"/>
                <w:szCs w:val="20"/>
                <w:color w:val="auto"/>
              </w:rPr>
            </w:pPr>
            <w:r>
              <w:rPr>
                <w:rFonts w:ascii="Arial" w:cs="Arial" w:eastAsia="Arial" w:hAnsi="Arial"/>
                <w:sz w:val="18"/>
                <w:szCs w:val="18"/>
                <w:color w:val="auto"/>
                <w:w w:val="99"/>
              </w:rPr>
              <w:t>(56)</w:t>
            </w:r>
          </w:p>
        </w:tc>
        <w:tc>
          <w:tcPr>
            <w:tcW w:w="100" w:type="dxa"/>
            <w:vAlign w:val="bottom"/>
          </w:tcPr>
          <w:p>
            <w:pPr>
              <w:spacing w:after="0"/>
              <w:rPr>
                <w:sz w:val="14"/>
                <w:szCs w:val="14"/>
                <w:color w:val="auto"/>
              </w:rPr>
            </w:pPr>
          </w:p>
        </w:tc>
        <w:tc>
          <w:tcPr>
            <w:tcW w:w="900" w:type="dxa"/>
            <w:vAlign w:val="bottom"/>
            <w:vMerge w:val="restart"/>
          </w:tcPr>
          <w:p>
            <w:pPr>
              <w:jc w:val="right"/>
              <w:ind w:right="54"/>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320,236</w:t>
            </w:r>
          </w:p>
        </w:tc>
        <w:tc>
          <w:tcPr>
            <w:tcW w:w="0" w:type="dxa"/>
            <w:vAlign w:val="bottom"/>
          </w:tcPr>
          <w:p>
            <w:pPr>
              <w:spacing w:after="0"/>
              <w:rPr>
                <w:sz w:val="1"/>
                <w:szCs w:val="1"/>
                <w:color w:val="auto"/>
              </w:rPr>
            </w:pPr>
          </w:p>
        </w:tc>
      </w:tr>
      <w:tr>
        <w:trPr>
          <w:trHeight w:val="188"/>
        </w:trPr>
        <w:tc>
          <w:tcPr>
            <w:tcW w:w="3100" w:type="dxa"/>
            <w:vAlign w:val="bottom"/>
          </w:tcPr>
          <w:p>
            <w:pPr>
              <w:ind w:left="660"/>
              <w:spacing w:after="0" w:line="189" w:lineRule="exact"/>
              <w:rPr>
                <w:sz w:val="20"/>
                <w:szCs w:val="20"/>
                <w:color w:val="auto"/>
              </w:rPr>
            </w:pPr>
            <w:r>
              <w:rPr>
                <w:rFonts w:ascii="Arial" w:cs="Arial" w:eastAsia="Arial" w:hAnsi="Arial"/>
                <w:sz w:val="18"/>
                <w:szCs w:val="18"/>
                <w:color w:val="auto"/>
              </w:rPr>
              <w:t>securities</w:t>
            </w:r>
          </w:p>
        </w:tc>
        <w:tc>
          <w:tcPr>
            <w:tcW w:w="84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3" w:lineRule="exact"/>
        <w:rPr>
          <w:sz w:val="20"/>
          <w:szCs w:val="20"/>
          <w:color w:val="auto"/>
        </w:rPr>
      </w:pPr>
    </w:p>
    <w:p>
      <w:pPr>
        <w:ind w:left="640" w:hanging="633"/>
        <w:spacing w:after="0"/>
        <w:tabs>
          <w:tab w:leader="none" w:pos="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This balance includes cash requirements settled on a nightly basis.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357"/>
              <w:spacing w:after="0"/>
              <w:rPr>
                <w:sz w:val="20"/>
                <w:szCs w:val="20"/>
                <w:color w:val="auto"/>
              </w:rPr>
            </w:pPr>
            <w:r>
              <w:rPr>
                <w:rFonts w:ascii="Arial" w:cs="Arial" w:eastAsia="Arial" w:hAnsi="Arial"/>
                <w:sz w:val="14"/>
                <w:szCs w:val="14"/>
                <w:b w:val="1"/>
                <w:bCs w:val="1"/>
                <w:color w:val="auto"/>
              </w:rPr>
              <w:t>December 31, 2020</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5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12"/>
                <w:szCs w:val="12"/>
                <w:color w:val="auto"/>
              </w:rPr>
            </w:pPr>
          </w:p>
        </w:tc>
        <w:tc>
          <w:tcPr>
            <w:tcW w:w="122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rPr>
              <w:t>Unrealized</w:t>
            </w:r>
          </w:p>
        </w:tc>
        <w:tc>
          <w:tcPr>
            <w:tcW w:w="104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Unrealized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ind w:right="236"/>
              <w:spacing w:after="0" w:line="141"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4"/>
        </w:trPr>
        <w:tc>
          <w:tcPr>
            <w:tcW w:w="56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cost</w:t>
            </w: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8"/>
              </w:rPr>
              <w:t>gains</w:t>
            </w: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losses</w:t>
            </w: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8"/>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680" w:type="dxa"/>
            <w:vAlign w:val="bottom"/>
            <w:tcBorders>
              <w:bottom w:val="single" w:sz="8" w:color="CCEEFF"/>
            </w:tcBorders>
          </w:tcPr>
          <w:p>
            <w:pPr>
              <w:ind w:left="340"/>
              <w:spacing w:after="0" w:line="228" w:lineRule="exact"/>
              <w:rPr>
                <w:sz w:val="20"/>
                <w:szCs w:val="20"/>
                <w:color w:val="auto"/>
              </w:rPr>
            </w:pPr>
            <w:r>
              <w:rPr>
                <w:rFonts w:ascii="Arial" w:cs="Arial" w:eastAsia="Arial" w:hAnsi="Arial"/>
                <w:sz w:val="18"/>
                <w:szCs w:val="18"/>
                <w:color w:val="auto"/>
              </w:rPr>
              <w:t>Money market funds</w:t>
            </w:r>
            <w:r>
              <w:rPr>
                <w:rFonts w:ascii="Arial" w:cs="Arial" w:eastAsia="Arial" w:hAnsi="Arial"/>
                <w:sz w:val="23"/>
                <w:szCs w:val="23"/>
                <w:color w:val="auto"/>
                <w:vertAlign w:val="superscript"/>
              </w:rPr>
              <w:t>(1)</w:t>
            </w: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65,082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837"/>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65,082</w:t>
            </w:r>
          </w:p>
        </w:tc>
        <w:tc>
          <w:tcPr>
            <w:tcW w:w="0" w:type="dxa"/>
            <w:vAlign w:val="bottom"/>
          </w:tcPr>
          <w:p>
            <w:pPr>
              <w:spacing w:after="0"/>
              <w:rPr>
                <w:sz w:val="1"/>
                <w:szCs w:val="1"/>
                <w:color w:val="auto"/>
              </w:rPr>
            </w:pPr>
          </w:p>
        </w:tc>
      </w:tr>
      <w:tr>
        <w:trPr>
          <w:trHeight w:val="240"/>
        </w:trPr>
        <w:tc>
          <w:tcPr>
            <w:tcW w:w="5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cash and cash equivalents</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65,082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65,082</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Marketable securities: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6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45,518</w:t>
            </w:r>
          </w:p>
        </w:tc>
        <w:tc>
          <w:tcPr>
            <w:tcW w:w="0" w:type="dxa"/>
            <w:vAlign w:val="bottom"/>
          </w:tcPr>
          <w:p>
            <w:pPr>
              <w:spacing w:after="0"/>
              <w:rPr>
                <w:sz w:val="1"/>
                <w:szCs w:val="1"/>
                <w:color w:val="auto"/>
              </w:rPr>
            </w:pPr>
          </w:p>
        </w:tc>
      </w:tr>
      <w:tr>
        <w:trPr>
          <w:trHeight w:val="227"/>
        </w:trPr>
        <w:tc>
          <w:tcPr>
            <w:tcW w:w="56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U.S. Treasury securities</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173,843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173,841</w:t>
            </w:r>
          </w:p>
        </w:tc>
        <w:tc>
          <w:tcPr>
            <w:tcW w:w="0" w:type="dxa"/>
            <w:vAlign w:val="bottom"/>
          </w:tcPr>
          <w:p>
            <w:pPr>
              <w:spacing w:after="0"/>
              <w:rPr>
                <w:sz w:val="1"/>
                <w:szCs w:val="1"/>
                <w:color w:val="auto"/>
              </w:rPr>
            </w:pPr>
          </w:p>
        </w:tc>
      </w:tr>
      <w:tr>
        <w:trPr>
          <w:trHeight w:val="246"/>
        </w:trPr>
        <w:tc>
          <w:tcPr>
            <w:tcW w:w="56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marketable securities</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219,361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219,359</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3" w:lineRule="exact"/>
        <w:rPr>
          <w:sz w:val="20"/>
          <w:szCs w:val="20"/>
          <w:color w:val="auto"/>
        </w:rPr>
      </w:pPr>
    </w:p>
    <w:p>
      <w:pPr>
        <w:ind w:left="640" w:hanging="633"/>
        <w:spacing w:after="0"/>
        <w:tabs>
          <w:tab w:leader="none" w:pos="6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This balance includes cash requirements settled on a nightly basis.</w:t>
      </w:r>
    </w:p>
    <w:p>
      <w:pPr>
        <w:spacing w:after="0" w:line="382" w:lineRule="exact"/>
        <w:rPr>
          <w:sz w:val="20"/>
          <w:szCs w:val="20"/>
          <w:color w:val="auto"/>
        </w:rPr>
      </w:pPr>
    </w:p>
    <w:p>
      <w:pPr>
        <w:ind w:right="80" w:firstLine="643"/>
        <w:spacing w:after="0" w:line="250" w:lineRule="auto"/>
        <w:rPr>
          <w:sz w:val="20"/>
          <w:szCs w:val="20"/>
          <w:color w:val="auto"/>
        </w:rPr>
      </w:pPr>
      <w:r>
        <w:rPr>
          <w:rFonts w:ascii="Arial" w:cs="Arial" w:eastAsia="Arial" w:hAnsi="Arial"/>
          <w:sz w:val="18"/>
          <w:szCs w:val="18"/>
          <w:color w:val="auto"/>
        </w:rPr>
        <w:t>Realized gains or losses on investments for the three and six months ended June 30, 2021 were not material. There were no realized gains or losses on investments for the three and six months ended June 30, 2020. As of June 30, 2021 and December 31, 2020, unrealized losses on marketable securities were not material, and accordingly, no allowance for credit losses were recorded. As of June 30, 2021 and December 31, 2020, all securities have a maturity of 18 months or less and all securities with gross unrealized losses have been in a continuous loss position for less than one year.</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Balance Sheet Components</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6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ind w:right="452"/>
              <w:spacing w:after="0"/>
              <w:rPr>
                <w:sz w:val="20"/>
                <w:szCs w:val="20"/>
                <w:color w:val="auto"/>
              </w:rPr>
            </w:pPr>
            <w:r>
              <w:rPr>
                <w:rFonts w:ascii="Arial" w:cs="Arial" w:eastAsia="Arial" w:hAnsi="Arial"/>
                <w:sz w:val="14"/>
                <w:szCs w:val="14"/>
                <w:b w:val="1"/>
                <w:bCs w:val="1"/>
                <w:color w:val="auto"/>
              </w:rPr>
              <w:t>June 30, 2021</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21"/>
        </w:trPr>
        <w:tc>
          <w:tcPr>
            <w:tcW w:w="53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Prepaid clinical trial costs</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9,722</w:t>
            </w:r>
          </w:p>
        </w:tc>
        <w:tc>
          <w:tcPr>
            <w:tcW w:w="100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4,865</w:t>
            </w:r>
          </w:p>
        </w:tc>
        <w:tc>
          <w:tcPr>
            <w:tcW w:w="0" w:type="dxa"/>
            <w:vAlign w:val="bottom"/>
          </w:tcPr>
          <w:p>
            <w:pPr>
              <w:spacing w:after="0"/>
              <w:rPr>
                <w:sz w:val="1"/>
                <w:szCs w:val="1"/>
                <w:color w:val="auto"/>
              </w:rPr>
            </w:pPr>
          </w:p>
        </w:tc>
      </w:tr>
      <w:tr>
        <w:trPr>
          <w:trHeight w:val="227"/>
        </w:trPr>
        <w:tc>
          <w:tcPr>
            <w:tcW w:w="5300" w:type="dxa"/>
            <w:vAlign w:val="bottom"/>
            <w:gridSpan w:val="2"/>
          </w:tcPr>
          <w:p>
            <w:pPr>
              <w:ind w:left="660"/>
              <w:spacing w:after="0"/>
              <w:rPr>
                <w:sz w:val="20"/>
                <w:szCs w:val="20"/>
                <w:color w:val="auto"/>
              </w:rPr>
            </w:pPr>
            <w:r>
              <w:rPr>
                <w:rFonts w:ascii="Arial" w:cs="Arial" w:eastAsia="Arial" w:hAnsi="Arial"/>
                <w:sz w:val="18"/>
                <w:szCs w:val="18"/>
                <w:color w:val="auto"/>
              </w:rPr>
              <w:t>Prepaid insurance</w:t>
            </w: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28"/>
        </w:trPr>
        <w:tc>
          <w:tcPr>
            <w:tcW w:w="53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Tax credits</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27"/>
        </w:trPr>
        <w:tc>
          <w:tcPr>
            <w:tcW w:w="530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color w:val="auto"/>
              </w:rPr>
              <w:t>Other prepaid expenses and current assets</w:t>
            </w:r>
          </w:p>
        </w:tc>
        <w:tc>
          <w:tcPr>
            <w:tcW w:w="4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41"/>
        </w:trPr>
        <w:tc>
          <w:tcPr>
            <w:tcW w:w="53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Total prepaid expenses and other current assets</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16,648</w:t>
            </w:r>
          </w:p>
        </w:tc>
        <w:tc>
          <w:tcPr>
            <w:tcW w:w="100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6,843</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gridSpan w:val="2"/>
            <w:vMerge w:val="restart"/>
          </w:tcPr>
          <w:p>
            <w:pPr>
              <w:ind w:left="640"/>
              <w:spacing w:after="0"/>
              <w:rPr>
                <w:sz w:val="20"/>
                <w:szCs w:val="20"/>
                <w:color w:val="auto"/>
              </w:rPr>
            </w:pPr>
            <w:r>
              <w:rPr>
                <w:rFonts w:ascii="Arial" w:cs="Arial" w:eastAsia="Arial" w:hAnsi="Arial"/>
                <w:sz w:val="18"/>
                <w:szCs w:val="18"/>
                <w:b w:val="1"/>
                <w:bCs w:val="1"/>
                <w:i w:val="1"/>
                <w:iCs w:val="1"/>
                <w:color w:val="auto"/>
              </w:rPr>
              <w:t>Accrued Liabilities</w:t>
            </w:r>
          </w:p>
        </w:tc>
        <w:tc>
          <w:tcPr>
            <w:tcW w:w="4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530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5300" w:type="dxa"/>
            <w:vAlign w:val="bottom"/>
            <w:gridSpan w:val="2"/>
          </w:tcPr>
          <w:p>
            <w:pPr>
              <w:ind w:left="640"/>
              <w:spacing w:after="0"/>
              <w:rPr>
                <w:sz w:val="20"/>
                <w:szCs w:val="20"/>
                <w:color w:val="auto"/>
              </w:rPr>
            </w:pPr>
            <w:r>
              <w:rPr>
                <w:rFonts w:ascii="Arial" w:cs="Arial" w:eastAsia="Arial" w:hAnsi="Arial"/>
                <w:sz w:val="18"/>
                <w:szCs w:val="18"/>
                <w:color w:val="auto"/>
              </w:rPr>
              <w:t>Accrued liabilities consist of the following (in thousands):</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jc w:val="right"/>
              <w:ind w:right="472"/>
              <w:spacing w:after="0"/>
              <w:rPr>
                <w:sz w:val="20"/>
                <w:szCs w:val="20"/>
                <w:color w:val="auto"/>
              </w:rPr>
            </w:pPr>
            <w:r>
              <w:rPr>
                <w:rFonts w:ascii="Arial" w:cs="Arial" w:eastAsia="Arial" w:hAnsi="Arial"/>
                <w:sz w:val="14"/>
                <w:szCs w:val="14"/>
                <w:b w:val="1"/>
                <w:bCs w:val="1"/>
                <w:color w:val="auto"/>
              </w:rPr>
              <w:t>June 30, 2021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21"/>
        </w:trPr>
        <w:tc>
          <w:tcPr>
            <w:tcW w:w="53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Clinical trial accruals</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w:t>
            </w:r>
          </w:p>
        </w:tc>
        <w:tc>
          <w:tcPr>
            <w:tcW w:w="100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9,754</w:t>
            </w:r>
          </w:p>
        </w:tc>
        <w:tc>
          <w:tcPr>
            <w:tcW w:w="0" w:type="dxa"/>
            <w:vAlign w:val="bottom"/>
          </w:tcPr>
          <w:p>
            <w:pPr>
              <w:spacing w:after="0"/>
              <w:rPr>
                <w:sz w:val="1"/>
                <w:szCs w:val="1"/>
                <w:color w:val="auto"/>
              </w:rPr>
            </w:pPr>
          </w:p>
        </w:tc>
      </w:tr>
      <w:tr>
        <w:trPr>
          <w:trHeight w:val="267"/>
        </w:trPr>
        <w:tc>
          <w:tcPr>
            <w:tcW w:w="5300" w:type="dxa"/>
            <w:vAlign w:val="bottom"/>
            <w:gridSpan w:val="2"/>
          </w:tcPr>
          <w:p>
            <w:pPr>
              <w:ind w:left="660"/>
              <w:spacing w:after="0"/>
              <w:rPr>
                <w:sz w:val="20"/>
                <w:szCs w:val="20"/>
                <w:color w:val="auto"/>
              </w:rPr>
            </w:pPr>
            <w:r>
              <w:rPr>
                <w:rFonts w:ascii="Arial" w:cs="Arial" w:eastAsia="Arial" w:hAnsi="Arial"/>
                <w:sz w:val="18"/>
                <w:szCs w:val="18"/>
                <w:color w:val="auto"/>
              </w:rPr>
              <w:t>Accrued compensation</w:t>
            </w: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3,035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4,434</w:t>
            </w:r>
          </w:p>
        </w:tc>
        <w:tc>
          <w:tcPr>
            <w:tcW w:w="0" w:type="dxa"/>
            <w:vAlign w:val="bottom"/>
          </w:tcPr>
          <w:p>
            <w:pPr>
              <w:spacing w:after="0"/>
              <w:rPr>
                <w:sz w:val="1"/>
                <w:szCs w:val="1"/>
                <w:color w:val="auto"/>
              </w:rPr>
            </w:pPr>
          </w:p>
        </w:tc>
      </w:tr>
      <w:tr>
        <w:trPr>
          <w:trHeight w:val="269"/>
        </w:trPr>
        <w:tc>
          <w:tcPr>
            <w:tcW w:w="53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Early exercise liability, current</w:t>
            </w: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67"/>
        </w:trPr>
        <w:tc>
          <w:tcPr>
            <w:tcW w:w="530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color w:val="auto"/>
              </w:rPr>
              <w:t>Accrued expenses and other current liabilities</w:t>
            </w:r>
          </w:p>
        </w:tc>
        <w:tc>
          <w:tcPr>
            <w:tcW w:w="46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w:t>
            </w: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41"/>
        </w:trPr>
        <w:tc>
          <w:tcPr>
            <w:tcW w:w="53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Total accrued liabilities</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10,565</w:t>
            </w:r>
          </w:p>
        </w:tc>
        <w:tc>
          <w:tcPr>
            <w:tcW w:w="100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15,462</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i w:val="1"/>
                <w:iCs w:val="1"/>
                <w:color w:val="auto"/>
              </w:rPr>
              <w:t>5. Property and Equipment, net</w:t>
            </w:r>
          </w:p>
        </w:tc>
        <w:tc>
          <w:tcPr>
            <w:tcW w:w="4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3"/>
        </w:trPr>
        <w:tc>
          <w:tcPr>
            <w:tcW w:w="530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6660" w:type="dxa"/>
            <w:vAlign w:val="bottom"/>
            <w:gridSpan w:val="5"/>
          </w:tcPr>
          <w:p>
            <w:pPr>
              <w:ind w:left="640"/>
              <w:spacing w:after="0"/>
              <w:rPr>
                <w:sz w:val="20"/>
                <w:szCs w:val="20"/>
                <w:color w:val="auto"/>
              </w:rPr>
            </w:pPr>
            <w:r>
              <w:rPr>
                <w:rFonts w:ascii="Arial" w:cs="Arial" w:eastAsia="Arial" w:hAnsi="Arial"/>
                <w:sz w:val="18"/>
                <w:szCs w:val="18"/>
                <w:color w:val="auto"/>
              </w:rPr>
              <w:t>Property and equipment, net consists of the following (in thousands):</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gridSpan w:val="3"/>
          </w:tcPr>
          <w:p>
            <w:pPr>
              <w:ind w:left="280"/>
              <w:spacing w:after="0"/>
              <w:rPr>
                <w:sz w:val="20"/>
                <w:szCs w:val="20"/>
                <w:color w:val="auto"/>
              </w:rPr>
            </w:pPr>
            <w:r>
              <w:rPr>
                <w:rFonts w:ascii="Arial" w:cs="Arial" w:eastAsia="Arial" w:hAnsi="Arial"/>
                <w:sz w:val="14"/>
                <w:szCs w:val="14"/>
                <w:b w:val="1"/>
                <w:bCs w:val="1"/>
                <w:color w:val="auto"/>
              </w:rPr>
              <w:t>Useful life (in</w:t>
            </w:r>
          </w:p>
        </w:tc>
        <w:tc>
          <w:tcPr>
            <w:tcW w:w="840" w:type="dxa"/>
            <w:vAlign w:val="bottom"/>
          </w:tcPr>
          <w:p>
            <w:pPr>
              <w:spacing w:after="0"/>
              <w:rPr>
                <w:sz w:val="15"/>
                <w:szCs w:val="15"/>
                <w:color w:val="auto"/>
              </w:rPr>
            </w:pPr>
          </w:p>
        </w:tc>
        <w:tc>
          <w:tcPr>
            <w:tcW w:w="1940" w:type="dxa"/>
            <w:vAlign w:val="bottom"/>
            <w:gridSpan w:val="7"/>
            <w:vMerge w:val="restart"/>
          </w:tcPr>
          <w:p>
            <w:pPr>
              <w:jc w:val="right"/>
              <w:ind w:right="920"/>
              <w:spacing w:after="0"/>
              <w:rPr>
                <w:sz w:val="20"/>
                <w:szCs w:val="20"/>
                <w:color w:val="auto"/>
              </w:rPr>
            </w:pPr>
            <w:r>
              <w:rPr>
                <w:rFonts w:ascii="Arial" w:cs="Arial" w:eastAsia="Arial" w:hAnsi="Arial"/>
                <w:sz w:val="14"/>
                <w:szCs w:val="14"/>
                <w:b w:val="1"/>
                <w:bCs w:val="1"/>
                <w:color w:val="auto"/>
              </w:rPr>
              <w:t>June 30, 2021</w:t>
            </w:r>
          </w:p>
        </w:tc>
        <w:tc>
          <w:tcPr>
            <w:tcW w:w="280" w:type="dxa"/>
            <w:vAlign w:val="bottom"/>
          </w:tcPr>
          <w:p>
            <w:pPr>
              <w:spacing w:after="0"/>
              <w:rPr>
                <w:sz w:val="15"/>
                <w:szCs w:val="15"/>
                <w:color w:val="auto"/>
              </w:rPr>
            </w:pPr>
          </w:p>
        </w:tc>
        <w:tc>
          <w:tcPr>
            <w:tcW w:w="152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74"/>
        </w:trPr>
        <w:tc>
          <w:tcPr>
            <w:tcW w:w="4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gridSpan w:val="3"/>
          </w:tcPr>
          <w:p>
            <w:pPr>
              <w:ind w:left="200"/>
              <w:spacing w:after="0"/>
              <w:rPr>
                <w:sz w:val="20"/>
                <w:szCs w:val="20"/>
                <w:color w:val="auto"/>
              </w:rPr>
            </w:pPr>
            <w:r>
              <w:rPr>
                <w:rFonts w:ascii="Arial" w:cs="Arial" w:eastAsia="Arial" w:hAnsi="Arial"/>
                <w:sz w:val="14"/>
                <w:szCs w:val="14"/>
                <w:b w:val="1"/>
                <w:bCs w:val="1"/>
                <w:color w:val="auto"/>
              </w:rPr>
              <w:t>years)</w:t>
            </w:r>
          </w:p>
        </w:tc>
        <w:tc>
          <w:tcPr>
            <w:tcW w:w="840" w:type="dxa"/>
            <w:vAlign w:val="bottom"/>
          </w:tcPr>
          <w:p>
            <w:pPr>
              <w:spacing w:after="0"/>
              <w:rPr>
                <w:sz w:val="15"/>
                <w:szCs w:val="15"/>
                <w:color w:val="auto"/>
              </w:rPr>
            </w:pPr>
          </w:p>
        </w:tc>
        <w:tc>
          <w:tcPr>
            <w:tcW w:w="1940" w:type="dxa"/>
            <w:vAlign w:val="bottom"/>
            <w:gridSpan w:val="7"/>
            <w:vMerge w:val="continue"/>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86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Computer hardware</w:t>
            </w:r>
          </w:p>
        </w:tc>
        <w:tc>
          <w:tcPr>
            <w:tcW w:w="4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3"/>
              </w:rPr>
              <w:t>463</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67"/>
        </w:trPr>
        <w:tc>
          <w:tcPr>
            <w:tcW w:w="5300" w:type="dxa"/>
            <w:vAlign w:val="bottom"/>
            <w:gridSpan w:val="2"/>
          </w:tcPr>
          <w:p>
            <w:pPr>
              <w:ind w:left="660"/>
              <w:spacing w:after="0"/>
              <w:rPr>
                <w:sz w:val="20"/>
                <w:szCs w:val="20"/>
                <w:color w:val="auto"/>
              </w:rPr>
            </w:pPr>
            <w:r>
              <w:rPr>
                <w:rFonts w:ascii="Arial" w:cs="Arial" w:eastAsia="Arial" w:hAnsi="Arial"/>
                <w:sz w:val="18"/>
                <w:szCs w:val="18"/>
                <w:color w:val="auto"/>
              </w:rPr>
              <w:t>Furniture and fixtures</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80" w:type="dxa"/>
            <w:vAlign w:val="bottom"/>
            <w:gridSpan w:val="4"/>
          </w:tcPr>
          <w:p>
            <w:pPr>
              <w:jc w:val="right"/>
              <w:ind w:right="80"/>
              <w:spacing w:after="0"/>
              <w:rPr>
                <w:sz w:val="20"/>
                <w:szCs w:val="20"/>
                <w:color w:val="auto"/>
              </w:rPr>
            </w:pPr>
            <w:r>
              <w:rPr>
                <w:rFonts w:ascii="Arial" w:cs="Arial" w:eastAsia="Arial" w:hAnsi="Arial"/>
                <w:sz w:val="18"/>
                <w:szCs w:val="18"/>
                <w:color w:val="auto"/>
                <w:w w:val="93"/>
              </w:rPr>
              <w:t>248</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69"/>
        </w:trPr>
        <w:tc>
          <w:tcPr>
            <w:tcW w:w="53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Software</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7"/>
        </w:trPr>
        <w:tc>
          <w:tcPr>
            <w:tcW w:w="5300" w:type="dxa"/>
            <w:vAlign w:val="bottom"/>
            <w:gridSpan w:val="2"/>
          </w:tcPr>
          <w:p>
            <w:pPr>
              <w:ind w:left="660"/>
              <w:spacing w:after="0"/>
              <w:rPr>
                <w:sz w:val="20"/>
                <w:szCs w:val="20"/>
                <w:color w:val="auto"/>
              </w:rPr>
            </w:pPr>
            <w:r>
              <w:rPr>
                <w:rFonts w:ascii="Arial" w:cs="Arial" w:eastAsia="Arial" w:hAnsi="Arial"/>
                <w:sz w:val="18"/>
                <w:szCs w:val="18"/>
                <w:color w:val="auto"/>
              </w:rPr>
              <w:t>Construction in process</w:t>
            </w: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gridSpan w:val="4"/>
          </w:tcPr>
          <w:p>
            <w:pPr>
              <w:jc w:val="right"/>
              <w:ind w:right="70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69"/>
        </w:trPr>
        <w:tc>
          <w:tcPr>
            <w:tcW w:w="53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Leasehold improvements</w:t>
            </w: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1,568</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20"/>
        </w:trPr>
        <w:tc>
          <w:tcPr>
            <w:tcW w:w="5300" w:type="dxa"/>
            <w:vAlign w:val="bottom"/>
            <w:gridSpan w:val="2"/>
          </w:tcPr>
          <w:p>
            <w:pPr>
              <w:ind w:left="980"/>
              <w:spacing w:after="0"/>
              <w:rPr>
                <w:sz w:val="20"/>
                <w:szCs w:val="20"/>
                <w:color w:val="auto"/>
              </w:rPr>
            </w:pPr>
            <w:r>
              <w:rPr>
                <w:rFonts w:ascii="Arial" w:cs="Arial" w:eastAsia="Arial" w:hAnsi="Arial"/>
                <w:sz w:val="18"/>
                <w:szCs w:val="18"/>
                <w:color w:val="auto"/>
              </w:rPr>
              <w:t>Property and equipment, gross</w:t>
            </w: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20" w:type="dxa"/>
            <w:vAlign w:val="bottom"/>
            <w:gridSpan w:val="5"/>
          </w:tcPr>
          <w:p>
            <w:pPr>
              <w:jc w:val="right"/>
              <w:ind w:right="80"/>
              <w:spacing w:after="0"/>
              <w:rPr>
                <w:sz w:val="20"/>
                <w:szCs w:val="20"/>
                <w:color w:val="auto"/>
              </w:rPr>
            </w:pPr>
            <w:r>
              <w:rPr>
                <w:rFonts w:ascii="Arial" w:cs="Arial" w:eastAsia="Arial" w:hAnsi="Arial"/>
                <w:sz w:val="18"/>
                <w:szCs w:val="18"/>
                <w:color w:val="auto"/>
              </w:rPr>
              <w:t>2,349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228"/>
        </w:trPr>
        <w:tc>
          <w:tcPr>
            <w:tcW w:w="53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Less accumulated depreciation</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0"/>
        </w:trPr>
        <w:tc>
          <w:tcPr>
            <w:tcW w:w="5300" w:type="dxa"/>
            <w:vAlign w:val="bottom"/>
            <w:gridSpan w:val="2"/>
          </w:tcPr>
          <w:p>
            <w:pPr>
              <w:ind w:left="980"/>
              <w:spacing w:after="0"/>
              <w:rPr>
                <w:sz w:val="20"/>
                <w:szCs w:val="20"/>
                <w:color w:val="auto"/>
              </w:rPr>
            </w:pPr>
            <w:r>
              <w:rPr>
                <w:rFonts w:ascii="Arial" w:cs="Arial" w:eastAsia="Arial" w:hAnsi="Arial"/>
                <w:sz w:val="18"/>
                <w:szCs w:val="18"/>
                <w:color w:val="auto"/>
              </w:rPr>
              <w:t>Property and equipment, net</w:t>
            </w: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2,069</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ind w:right="80" w:firstLine="643"/>
        <w:spacing w:after="0" w:line="285" w:lineRule="auto"/>
        <w:rPr>
          <w:sz w:val="20"/>
          <w:szCs w:val="20"/>
          <w:color w:val="auto"/>
        </w:rPr>
      </w:pPr>
      <w:r>
        <w:rPr>
          <w:rFonts w:ascii="Arial" w:cs="Arial" w:eastAsia="Arial" w:hAnsi="Arial"/>
          <w:sz w:val="17"/>
          <w:szCs w:val="17"/>
          <w:color w:val="auto"/>
        </w:rPr>
        <w:t>Leasehold improvements are depreciated over the term of the lease. Depreciation expense was $104,000 and $202,000 for the three and six months ended June 30, 2021, respectively, and $30,000 and $57,000 for the three and six months ended June 30, 2020, respectively.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ARCUTIS BIOTHERAPEUTICS, INC.</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License Agreements</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AstraZeneca License Agreement</w:t>
      </w:r>
    </w:p>
    <w:p>
      <w:pPr>
        <w:spacing w:after="0" w:line="177" w:lineRule="exact"/>
        <w:rPr>
          <w:sz w:val="20"/>
          <w:szCs w:val="20"/>
          <w:color w:val="auto"/>
        </w:rPr>
      </w:pPr>
    </w:p>
    <w:p>
      <w:pPr>
        <w:ind w:firstLine="643"/>
        <w:spacing w:after="0" w:line="249" w:lineRule="auto"/>
        <w:rPr>
          <w:sz w:val="20"/>
          <w:szCs w:val="20"/>
          <w:color w:val="auto"/>
        </w:rPr>
      </w:pPr>
      <w:r>
        <w:rPr>
          <w:rFonts w:ascii="Arial" w:cs="Arial" w:eastAsia="Arial" w:hAnsi="Arial"/>
          <w:sz w:val="18"/>
          <w:szCs w:val="18"/>
          <w:color w:val="auto"/>
        </w:rPr>
        <w:t>In July 2018, the Company entered into an exclusive license agreement, or the AstraZeneca License Agreement, with AstraZeneca AB (AstraZeneca), granting the Company a worldwide exclusive license, with the right to sublicense through multiple tiers, under certain AstraZeneca-controlled patent rights, know-how and regulatory documentation, to research, develop, manufacture, commercialize, and otherwise exploit products containing roflumilast in topical forms, as well as delivery systems sold with or for the administration of roflumilast, or collectively, the AZ-Licensed Products, for all diagnostic, prophylactic, and therapeutic uses for human dermatological indications, or the Dermatology Field. Under this agreement, the Company has sole responsibility for development, regulatory, and commercialization activities for the AZ-Licensed Products in the Dermatology Field, at its expense, and it shall use commercially reasonable efforts to develop, obtain, and maintain regulatory approvals for, and commercialize the AZ-Licensed Products in the Dermatology Field in each of the United States, Italy, Spain, Germany, the United Kingdom, France, China, and Japan.</w:t>
      </w:r>
    </w:p>
    <w:p>
      <w:pPr>
        <w:spacing w:after="0" w:line="143" w:lineRule="exact"/>
        <w:rPr>
          <w:sz w:val="20"/>
          <w:szCs w:val="20"/>
          <w:color w:val="auto"/>
        </w:rPr>
      </w:pPr>
    </w:p>
    <w:p>
      <w:pPr>
        <w:ind w:right="20" w:firstLine="643"/>
        <w:spacing w:after="0" w:line="249" w:lineRule="auto"/>
        <w:rPr>
          <w:sz w:val="20"/>
          <w:szCs w:val="20"/>
          <w:color w:val="auto"/>
        </w:rPr>
      </w:pPr>
      <w:r>
        <w:rPr>
          <w:rFonts w:ascii="Arial" w:cs="Arial" w:eastAsia="Arial" w:hAnsi="Arial"/>
          <w:sz w:val="18"/>
          <w:szCs w:val="18"/>
          <w:color w:val="auto"/>
        </w:rPr>
        <w:t>The Company paid AstraZeneca an upfront non-refundable cash payment of $1.0 million and issued 484,388 shares of Series B convertible preferred stock, valued at $3.0 million on the date of the AstraZeneca License Agreement. The Company subsequently paid AstraZeneca the first milestone cash payment of $2.0 million upon the completion of a Phase 2b study of roflumilast cream in plaque psoriasis in August 2019 for the achievement of positive Phase 2 data for an AZ-Licensed Product, which was recorded in research and development expense. The Company has agreed to make additional cash payments to AstraZeneca of up to an aggregate of $12.5 million upon the achievement of specified regulatory approval milestones with respect to the AZ-Licensed Products, which includes $7.5 million upon U.S. Food and Drug Administration (FDA) approval of the Company's first product, and payments up to an additional aggregate amount of $15.0 million upon the achievement of certain aggregate worldwide net sales milestones. With respect to any AZ-Licensed Products the Company commercializes under the AstraZeneca License Agreement, it will pay AstraZeneca a low to high single-digit percentage royalty rate on the Company’s, its affiliates’ and its sublicensees’ net sales of such AZ-Licensed Products, subject to specified reductions, until, as determined on an AZ-Licensed Product-by-AZ-Licensed Product and country-by-country basis, the later of the date of the expiration of the last-to-expire AstraZeneca-licensed patent right containing a valid claim in such country and ten years from the first commercial sale of such AZ-Licensed Product in such country.</w:t>
      </w:r>
    </w:p>
    <w:p>
      <w:pPr>
        <w:spacing w:after="0" w:line="127" w:lineRule="exact"/>
        <w:rPr>
          <w:sz w:val="20"/>
          <w:szCs w:val="20"/>
          <w:color w:val="auto"/>
        </w:rPr>
      </w:pPr>
    </w:p>
    <w:p>
      <w:pPr>
        <w:ind w:right="280" w:firstLine="643"/>
        <w:spacing w:after="0" w:line="255" w:lineRule="auto"/>
        <w:rPr>
          <w:sz w:val="20"/>
          <w:szCs w:val="20"/>
          <w:color w:val="auto"/>
        </w:rPr>
      </w:pPr>
      <w:r>
        <w:rPr>
          <w:rFonts w:ascii="Arial" w:cs="Arial" w:eastAsia="Arial" w:hAnsi="Arial"/>
          <w:sz w:val="18"/>
          <w:szCs w:val="18"/>
          <w:color w:val="auto"/>
        </w:rPr>
        <w:t>There were no payments made or due in connection with AZ-Licensed Products for the three and six months ended June 30, 2021 and 2020.</w:t>
      </w:r>
    </w:p>
    <w:p>
      <w:pPr>
        <w:spacing w:after="0" w:line="11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Hengrui Exclusive Option and License Agreement</w:t>
      </w:r>
    </w:p>
    <w:p>
      <w:pPr>
        <w:spacing w:after="0" w:line="177" w:lineRule="exact"/>
        <w:rPr>
          <w:sz w:val="20"/>
          <w:szCs w:val="20"/>
          <w:color w:val="auto"/>
        </w:rPr>
      </w:pPr>
    </w:p>
    <w:p>
      <w:pPr>
        <w:ind w:firstLine="643"/>
        <w:spacing w:after="0" w:line="265" w:lineRule="auto"/>
        <w:rPr>
          <w:sz w:val="20"/>
          <w:szCs w:val="20"/>
          <w:color w:val="auto"/>
        </w:rPr>
      </w:pPr>
      <w:r>
        <w:rPr>
          <w:rFonts w:ascii="Arial" w:cs="Arial" w:eastAsia="Arial" w:hAnsi="Arial"/>
          <w:sz w:val="17"/>
          <w:szCs w:val="17"/>
          <w:color w:val="auto"/>
        </w:rPr>
        <w:t>In January 2018, the Company entered into an exclusive option and license agreement, or the Hengrui License Agreement, with Jiangsu Hengrui Medicine Co., Ltd. (Hengrui), whereby Hengrui granted the Company an exclusive option to obtain certain exclusive rights to research, develop, and commercialize products containing the compound designated by Hengrui as SHR0302, a Janus kinase type 1 inhibitor, in topical formulations for the treatment of skin diseases, disorders, and conditions in the United States, Japan, Canada, and the European Union (including for clarity the United Kingdom). The Company made a $0.4 million upfront non-refundable cash payment to Hengrui upon execution of the Hengrui Option and License Agreement, which was recorded as research and development expense. In December 2019, the Company exercised its exclusive option under the agreement, for which it made a $1.5 million cash payment, which was recorded in research and development expense, and also contemporaneously amended the agreement to expand the territory to additionally include Canada. In addition, the Company has agreed to make cash payments of up to an aggregate of $20.5 million upon achievement of specified clinical development and regulatory approval milestones with respect to the licensed products and cash payments of up to an additional aggregate of $200.0 million in sales-based milestones based on certain aggregate annual net sales volumes with respect to a licensed product.</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ARCUTIS BIOTHERAPEUTICS, INC.</w:t>
      </w:r>
    </w:p>
    <w:p>
      <w:pPr>
        <w:spacing w:after="0" w:line="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1" w:lineRule="exact"/>
        <w:rPr>
          <w:sz w:val="20"/>
          <w:szCs w:val="20"/>
          <w:color w:val="auto"/>
        </w:rPr>
      </w:pPr>
    </w:p>
    <w:p>
      <w:pPr>
        <w:ind w:firstLine="643"/>
        <w:spacing w:after="0" w:line="249" w:lineRule="auto"/>
        <w:rPr>
          <w:sz w:val="20"/>
          <w:szCs w:val="20"/>
          <w:color w:val="auto"/>
        </w:rPr>
      </w:pPr>
      <w:r>
        <w:rPr>
          <w:rFonts w:ascii="Arial" w:cs="Arial" w:eastAsia="Arial" w:hAnsi="Arial"/>
          <w:sz w:val="18"/>
          <w:szCs w:val="18"/>
          <w:color w:val="auto"/>
        </w:rPr>
        <w:t>With respect to any products the Company commercializes under the Hengrui License Agreement, it will pay tiered royalties to Hengrui on net sales of each licensed product by the Company, or its affiliates, or its sublicensees, ranging from mid single-digit to sub-teen percentage rates based on tiered annual net sales bands subject to specified reductions. The Company is obligated to pay royalties until the later of (1) expiration of the last valid claim of the licensed patent rights covering such licensed product in such country and (2) expiration of regulatory exclusivity for the relevant licensed product in the relevant country, on a licensed product-by-licensed product and country-by-country basis. Additionally, the Company is obligated to pay Hengrui a specified percentage, ranging from the low-thirties to the sub-teens, of certain non-royalty sublicensing income it receives from sublicensees of its rights to the licensed products, such percentage decreasing as the development stage of the licensed products advance.</w:t>
      </w:r>
    </w:p>
    <w:p>
      <w:pPr>
        <w:spacing w:after="0" w:line="130" w:lineRule="exact"/>
        <w:rPr>
          <w:sz w:val="20"/>
          <w:szCs w:val="20"/>
          <w:color w:val="auto"/>
        </w:rPr>
      </w:pPr>
    </w:p>
    <w:p>
      <w:pPr>
        <w:ind w:left="640" w:right="560"/>
        <w:spacing w:after="0" w:line="419" w:lineRule="auto"/>
        <w:rPr>
          <w:sz w:val="20"/>
          <w:szCs w:val="20"/>
          <w:color w:val="auto"/>
        </w:rPr>
      </w:pPr>
      <w:r>
        <w:rPr>
          <w:rFonts w:ascii="Arial" w:cs="Arial" w:eastAsia="Arial" w:hAnsi="Arial"/>
          <w:sz w:val="18"/>
          <w:szCs w:val="18"/>
          <w:color w:val="auto"/>
        </w:rPr>
        <w:t xml:space="preserve">There were no payments made or due in connection with Hengrui for the three and six months ended June 30, 2021 and 2020. </w:t>
      </w:r>
      <w:r>
        <w:rPr>
          <w:rFonts w:ascii="Arial" w:cs="Arial" w:eastAsia="Arial" w:hAnsi="Arial"/>
          <w:sz w:val="18"/>
          <w:szCs w:val="18"/>
          <w:b w:val="1"/>
          <w:bCs w:val="1"/>
          <w:i w:val="1"/>
          <w:iCs w:val="1"/>
          <w:color w:val="auto"/>
        </w:rPr>
        <w:t>Hawkeye Collaboration Agreement</w:t>
      </w:r>
    </w:p>
    <w:p>
      <w:pPr>
        <w:ind w:right="620" w:firstLine="643"/>
        <w:spacing w:after="0" w:line="250" w:lineRule="auto"/>
        <w:rPr>
          <w:sz w:val="20"/>
          <w:szCs w:val="20"/>
          <w:color w:val="auto"/>
        </w:rPr>
      </w:pPr>
      <w:r>
        <w:rPr>
          <w:rFonts w:ascii="Arial" w:cs="Arial" w:eastAsia="Arial" w:hAnsi="Arial"/>
          <w:sz w:val="18"/>
          <w:szCs w:val="18"/>
          <w:color w:val="auto"/>
        </w:rPr>
        <w:t>In June 2019, the Company entered into a collaboration agreement, or Hawkeye Agreement, with Hawkeye Therapeutics, Inc. (Hawkeye), a related party with common ownership, for the development of one or more new applications of roflumilast. The Hawkeye Agreement grants Hawkeye an exclusive license to certain intellectual property developed under the agreement as it relates to the applications.</w:t>
      </w:r>
    </w:p>
    <w:p>
      <w:pPr>
        <w:spacing w:after="0" w:line="128" w:lineRule="exact"/>
        <w:rPr>
          <w:sz w:val="20"/>
          <w:szCs w:val="20"/>
          <w:color w:val="auto"/>
        </w:rPr>
      </w:pPr>
    </w:p>
    <w:p>
      <w:pPr>
        <w:ind w:right="80" w:firstLine="643"/>
        <w:spacing w:after="0" w:line="249" w:lineRule="auto"/>
        <w:rPr>
          <w:sz w:val="20"/>
          <w:szCs w:val="20"/>
          <w:color w:val="auto"/>
        </w:rPr>
      </w:pPr>
      <w:r>
        <w:rPr>
          <w:rFonts w:ascii="Arial" w:cs="Arial" w:eastAsia="Arial" w:hAnsi="Arial"/>
          <w:sz w:val="18"/>
          <w:szCs w:val="18"/>
          <w:color w:val="auto"/>
        </w:rPr>
        <w:t>Contemporaneously with the execution of the Hawkeye Agreement, the Company entered into a stock purchase agreement, purchasing 995,000 shares of Hawkeye’s common stock at $0.0001 per share, representing 19.9% of the outstanding common stock of Hawkeye. In the event that Hawkeye issues shares of Series A preferred stock with proceeds over $5.0 million, Hawkeye is required to issue to the Company a number of fully-paid fully-vested shares of common stock determined by dividing (i) $2,000,000 by (ii) an amount equal to the cash price per share for Series A preferred stock. Other than the potential issuance of this common stock, there are no upfront payments, milestones, or royalties pursuant to the Hawkeye Agreement. The Company determined that Hawkeye is a VIE for which consolidation is not required as it is not the primary beneficiary.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Commitments and Contingencies</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Lease</w:t>
      </w:r>
    </w:p>
    <w:p>
      <w:pPr>
        <w:spacing w:after="0" w:line="163" w:lineRule="exact"/>
        <w:rPr>
          <w:sz w:val="20"/>
          <w:szCs w:val="20"/>
          <w:color w:val="auto"/>
        </w:rPr>
      </w:pPr>
    </w:p>
    <w:p>
      <w:pPr>
        <w:ind w:right="60" w:firstLine="643"/>
        <w:spacing w:after="0" w:line="250" w:lineRule="auto"/>
        <w:rPr>
          <w:sz w:val="20"/>
          <w:szCs w:val="20"/>
          <w:color w:val="auto"/>
        </w:rPr>
      </w:pPr>
      <w:r>
        <w:rPr>
          <w:rFonts w:ascii="Arial" w:cs="Arial" w:eastAsia="Arial" w:hAnsi="Arial"/>
          <w:sz w:val="18"/>
          <w:szCs w:val="18"/>
          <w:color w:val="auto"/>
        </w:rPr>
        <w:t>The Company leases a facility in Westlake Village, California under an operating lease that commenced in February 2019. This lease was amended in April 2020 in order to relocate to a new expanded space comprising 22,643 square feet. At the time of the amendment, the Company reassessed the lease term of the original space in accordance with the option to terminate if leasing additional space in the same property. In connection with the reduction of the lease term for the original space, the Company reduced the ROU asset and lease liability balance by $123,000.</w:t>
      </w:r>
    </w:p>
    <w:p>
      <w:pPr>
        <w:spacing w:after="0" w:line="140" w:lineRule="exact"/>
        <w:rPr>
          <w:sz w:val="20"/>
          <w:szCs w:val="20"/>
          <w:color w:val="auto"/>
        </w:rPr>
      </w:pPr>
    </w:p>
    <w:p>
      <w:pPr>
        <w:ind w:firstLine="643"/>
        <w:spacing w:after="0" w:line="249" w:lineRule="auto"/>
        <w:rPr>
          <w:sz w:val="20"/>
          <w:szCs w:val="20"/>
          <w:color w:val="auto"/>
        </w:rPr>
      </w:pPr>
      <w:r>
        <w:rPr>
          <w:rFonts w:ascii="Arial" w:cs="Arial" w:eastAsia="Arial" w:hAnsi="Arial"/>
          <w:sz w:val="18"/>
          <w:szCs w:val="18"/>
          <w:color w:val="auto"/>
        </w:rPr>
        <w:t>The Company recognized the ROU asset and lease liability for the new space on May 1, 2020, which was determined to be the lease commencement date, or the date on which the new space was made available to the Company for purposes of planning and constructing the leasehold improvements. The lease payment term for the new space began on December 30, 2020, which was 15 days after the leasehold improvements were substantially complete. The lease payments terminate 91 months thereafter, with a renewal option for a term of five years. The Company will have a one-time option to cancel the lease after month 67. The renewal and one-time cancellation options have not been considered in the determination of the ROU asset or lease liability as the Company did not consider it reasonably certain it would exercise these options.</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1" w:lineRule="exact"/>
        <w:rPr>
          <w:sz w:val="20"/>
          <w:szCs w:val="20"/>
          <w:color w:val="auto"/>
        </w:rPr>
      </w:pPr>
    </w:p>
    <w:p>
      <w:pPr>
        <w:ind w:right="100" w:firstLine="643"/>
        <w:spacing w:after="0" w:line="266" w:lineRule="auto"/>
        <w:rPr>
          <w:sz w:val="20"/>
          <w:szCs w:val="20"/>
          <w:color w:val="auto"/>
        </w:rPr>
      </w:pPr>
      <w:r>
        <w:rPr>
          <w:rFonts w:ascii="Arial" w:cs="Arial" w:eastAsia="Arial" w:hAnsi="Arial"/>
          <w:sz w:val="17"/>
          <w:szCs w:val="17"/>
          <w:color w:val="auto"/>
        </w:rPr>
        <w:t>The lease is subject to fixed rate escalation increases with an initial base rent of $76,000 per month and includes rent free periods aggregating approximately one year. As a result, the Company recognizes rent expense on a straight-line basis for the full amount of the commitment including the minimum rent increases over the life of the lease and the free rent period. The amended lease agreement provided for a leasehold improvement allowance up to $1.25 million. It also required the Company to have an available letter of credit of $1.5 million upon occupying the space, which is allowed to be reduced throughout the lease period as rent obligations are met. Accordingly, in November 2020, the Company entered into a letter of credit for $1.5 million, which it secured with a restricted cash account in the same amount. The letter of credit and corresponding restricted cash will be reduced by $308,000 on the first, second, third, and fourth anniversary, and by $45,000 on the fifth anniversary from when the lease payment term began on December 30, 2020, with no further reductions thereafter.</w:t>
      </w:r>
    </w:p>
    <w:p>
      <w:pPr>
        <w:spacing w:after="0" w:line="115" w:lineRule="exact"/>
        <w:rPr>
          <w:sz w:val="20"/>
          <w:szCs w:val="20"/>
          <w:color w:val="auto"/>
        </w:rPr>
      </w:pPr>
    </w:p>
    <w:p>
      <w:pPr>
        <w:ind w:right="80" w:firstLine="643"/>
        <w:spacing w:after="0" w:line="249" w:lineRule="auto"/>
        <w:rPr>
          <w:sz w:val="20"/>
          <w:szCs w:val="20"/>
          <w:color w:val="auto"/>
        </w:rPr>
      </w:pPr>
      <w:r>
        <w:rPr>
          <w:rFonts w:ascii="Arial" w:cs="Arial" w:eastAsia="Arial" w:hAnsi="Arial"/>
          <w:sz w:val="18"/>
          <w:szCs w:val="18"/>
          <w:color w:val="auto"/>
        </w:rPr>
        <w:t>In association with commencement of this new lease, the Company recorded lease liabilities and ROU assets of $3.6 million on its condensed balance sheet as of June 30, 2020. Since the Company was reasonably certain to incur costs equal to or exceeding the leasehold improvement allowance of $1.25 million, the allowance was treated as a lease incentive that was payable to the Company at the lease commencement date. Accordingly, the leasehold improvement allowance was included in the measurement of the consideration in the contract at commencement, and was recognized as a reduction in the ROU asset and lease liability. Upon completion of the leasehold improvements in December 2020, the $1.25 million allowance was reclassified from the lease liability to property and equipment on the condensed balance sheet as of December 31, 2020. The Company capitalized $320,000 of additional leasehold improvements, in excess of the $1.25 million allowance, which were also reflected in property and equipment as of December 31, 2020. All leasehold improvements will be depreciated over the remaining term of the lease.</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minimum annual rental payments of the Company’s operating lease liability as of June 30, 2021 are as follows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1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Amounts</w:t>
            </w:r>
          </w:p>
        </w:tc>
      </w:tr>
      <w:tr>
        <w:trPr>
          <w:trHeight w:val="221"/>
        </w:trPr>
        <w:tc>
          <w:tcPr>
            <w:tcW w:w="9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2021 (July through December)</w:t>
            </w: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27"/>
        </w:trPr>
        <w:tc>
          <w:tcPr>
            <w:tcW w:w="9160" w:type="dxa"/>
            <w:vAlign w:val="bottom"/>
          </w:tcPr>
          <w:p>
            <w:pPr>
              <w:ind w:left="660"/>
              <w:spacing w:after="0"/>
              <w:rPr>
                <w:sz w:val="20"/>
                <w:szCs w:val="20"/>
                <w:color w:val="auto"/>
              </w:rPr>
            </w:pPr>
            <w:r>
              <w:rPr>
                <w:rFonts w:ascii="Arial" w:cs="Arial" w:eastAsia="Arial" w:hAnsi="Arial"/>
                <w:sz w:val="18"/>
                <w:szCs w:val="18"/>
                <w:color w:val="auto"/>
              </w:rPr>
              <w:t>2022</w:t>
            </w:r>
          </w:p>
        </w:tc>
        <w:tc>
          <w:tcPr>
            <w:tcW w:w="9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781</w:t>
            </w:r>
          </w:p>
        </w:tc>
      </w:tr>
      <w:tr>
        <w:trPr>
          <w:trHeight w:val="228"/>
        </w:trPr>
        <w:tc>
          <w:tcPr>
            <w:tcW w:w="9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2023</w:t>
            </w:r>
          </w:p>
        </w:tc>
        <w:tc>
          <w:tcPr>
            <w:tcW w:w="9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r>
      <w:tr>
        <w:trPr>
          <w:trHeight w:val="227"/>
        </w:trPr>
        <w:tc>
          <w:tcPr>
            <w:tcW w:w="9160" w:type="dxa"/>
            <w:vAlign w:val="bottom"/>
          </w:tcPr>
          <w:p>
            <w:pPr>
              <w:ind w:left="660"/>
              <w:spacing w:after="0"/>
              <w:rPr>
                <w:sz w:val="20"/>
                <w:szCs w:val="20"/>
                <w:color w:val="auto"/>
              </w:rPr>
            </w:pPr>
            <w:r>
              <w:rPr>
                <w:rFonts w:ascii="Arial" w:cs="Arial" w:eastAsia="Arial" w:hAnsi="Arial"/>
                <w:sz w:val="18"/>
                <w:szCs w:val="18"/>
                <w:color w:val="auto"/>
              </w:rPr>
              <w:t>2024</w:t>
            </w:r>
          </w:p>
        </w:tc>
        <w:tc>
          <w:tcPr>
            <w:tcW w:w="9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995</w:t>
            </w:r>
          </w:p>
        </w:tc>
      </w:tr>
      <w:tr>
        <w:trPr>
          <w:trHeight w:val="228"/>
        </w:trPr>
        <w:tc>
          <w:tcPr>
            <w:tcW w:w="9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2025</w:t>
            </w:r>
          </w:p>
        </w:tc>
        <w:tc>
          <w:tcPr>
            <w:tcW w:w="9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r>
      <w:tr>
        <w:trPr>
          <w:trHeight w:val="227"/>
        </w:trPr>
        <w:tc>
          <w:tcPr>
            <w:tcW w:w="91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Thereafter</w:t>
            </w:r>
          </w:p>
        </w:tc>
        <w:tc>
          <w:tcPr>
            <w:tcW w:w="9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2,794</w:t>
            </w:r>
          </w:p>
        </w:tc>
      </w:tr>
      <w:tr>
        <w:trPr>
          <w:trHeight w:val="222"/>
        </w:trPr>
        <w:tc>
          <w:tcPr>
            <w:tcW w:w="9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minimum lease payments</w:t>
            </w: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6,673</w:t>
            </w:r>
          </w:p>
        </w:tc>
      </w:tr>
      <w:tr>
        <w:trPr>
          <w:trHeight w:val="227"/>
        </w:trPr>
        <w:tc>
          <w:tcPr>
            <w:tcW w:w="91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Less: Amounts representing interest</w:t>
            </w:r>
          </w:p>
        </w:tc>
        <w:tc>
          <w:tcPr>
            <w:tcW w:w="9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w:t>
            </w:r>
          </w:p>
        </w:tc>
      </w:tr>
      <w:tr>
        <w:trPr>
          <w:trHeight w:val="247"/>
        </w:trPr>
        <w:tc>
          <w:tcPr>
            <w:tcW w:w="91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Present value of future minimum lease payments</w:t>
            </w:r>
          </w:p>
        </w:tc>
        <w:tc>
          <w:tcPr>
            <w:tcW w:w="9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5,138</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9160" w:type="dxa"/>
            <w:vAlign w:val="bottom"/>
          </w:tcPr>
          <w:p>
            <w:pPr>
              <w:ind w:left="660"/>
              <w:spacing w:after="0" w:line="201" w:lineRule="exact"/>
              <w:rPr>
                <w:sz w:val="20"/>
                <w:szCs w:val="20"/>
                <w:color w:val="auto"/>
              </w:rPr>
            </w:pPr>
            <w:r>
              <w:rPr>
                <w:rFonts w:ascii="Arial" w:cs="Arial" w:eastAsia="Arial" w:hAnsi="Arial"/>
                <w:sz w:val="18"/>
                <w:szCs w:val="18"/>
                <w:color w:val="auto"/>
              </w:rPr>
              <w:t>Current portion operating lease liability</w:t>
            </w:r>
          </w:p>
        </w:tc>
        <w:tc>
          <w:tcPr>
            <w:tcW w:w="900" w:type="dxa"/>
            <w:vAlign w:val="bottom"/>
          </w:tcPr>
          <w:p>
            <w:pPr>
              <w:spacing w:after="0"/>
              <w:rPr>
                <w:sz w:val="17"/>
                <w:szCs w:val="17"/>
                <w:color w:val="auto"/>
              </w:rPr>
            </w:pPr>
          </w:p>
        </w:tc>
        <w:tc>
          <w:tcPr>
            <w:tcW w:w="1180" w:type="dxa"/>
            <w:vAlign w:val="bottom"/>
          </w:tcPr>
          <w:p>
            <w:pPr>
              <w:jc w:val="right"/>
              <w:spacing w:after="0" w:line="201" w:lineRule="exact"/>
              <w:rPr>
                <w:sz w:val="20"/>
                <w:szCs w:val="20"/>
                <w:color w:val="auto"/>
              </w:rPr>
            </w:pPr>
            <w:r>
              <w:rPr>
                <w:rFonts w:ascii="Arial" w:cs="Arial" w:eastAsia="Arial" w:hAnsi="Arial"/>
                <w:sz w:val="18"/>
                <w:szCs w:val="18"/>
                <w:color w:val="auto"/>
              </w:rPr>
              <w:t>106</w:t>
            </w:r>
          </w:p>
        </w:tc>
      </w:tr>
      <w:tr>
        <w:trPr>
          <w:trHeight w:val="228"/>
        </w:trPr>
        <w:tc>
          <w:tcPr>
            <w:tcW w:w="9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Operating lease liability, noncurrent</w:t>
            </w:r>
          </w:p>
        </w:tc>
        <w:tc>
          <w:tcPr>
            <w:tcW w:w="9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5,032</w:t>
            </w:r>
          </w:p>
        </w:tc>
      </w:tr>
      <w:tr>
        <w:trPr>
          <w:trHeight w:val="222"/>
        </w:trPr>
        <w:tc>
          <w:tcPr>
            <w:tcW w:w="9160" w:type="dxa"/>
            <w:vAlign w:val="bottom"/>
          </w:tcPr>
          <w:p>
            <w:pPr>
              <w:ind w:left="980"/>
              <w:spacing w:after="0"/>
              <w:rPr>
                <w:sz w:val="20"/>
                <w:szCs w:val="20"/>
                <w:color w:val="auto"/>
              </w:rPr>
            </w:pPr>
            <w:r>
              <w:rPr>
                <w:rFonts w:ascii="Arial" w:cs="Arial" w:eastAsia="Arial" w:hAnsi="Arial"/>
                <w:sz w:val="18"/>
                <w:szCs w:val="18"/>
                <w:color w:val="auto"/>
              </w:rPr>
              <w:t>Total operating lease liability</w:t>
            </w: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5,138</w:t>
            </w:r>
          </w:p>
        </w:tc>
      </w:tr>
      <w:tr>
        <w:trPr>
          <w:trHeight w:val="20"/>
        </w:trPr>
        <w:tc>
          <w:tcPr>
            <w:tcW w:w="9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right="40" w:firstLine="643"/>
        <w:spacing w:after="0" w:line="250" w:lineRule="auto"/>
        <w:rPr>
          <w:sz w:val="20"/>
          <w:szCs w:val="20"/>
          <w:color w:val="auto"/>
        </w:rPr>
      </w:pPr>
      <w:r>
        <w:rPr>
          <w:rFonts w:ascii="Arial" w:cs="Arial" w:eastAsia="Arial" w:hAnsi="Arial"/>
          <w:sz w:val="18"/>
          <w:szCs w:val="18"/>
          <w:color w:val="auto"/>
        </w:rPr>
        <w:t>Straight-line rent expense recognized for operating leases was $170,000 and $345,000 for the three and six months ended June 30, 2021, respectively, and $150,000 and $193,000 for the three and six months ended June 30, 2020, respectively. There were no significant variable lease payments, including non-lease components such as common area maintenance fees, recognized as rent expense for operating leases for the three and six months ended June 30,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ARCUTIS BIOTHERAPEUTICS, INC.</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1" w:lineRule="exact"/>
        <w:rPr>
          <w:sz w:val="20"/>
          <w:szCs w:val="20"/>
          <w:color w:val="auto"/>
        </w:rPr>
      </w:pPr>
    </w:p>
    <w:p>
      <w:pPr>
        <w:ind w:right="220" w:firstLine="643"/>
        <w:spacing w:after="0" w:line="255" w:lineRule="auto"/>
        <w:rPr>
          <w:sz w:val="20"/>
          <w:szCs w:val="20"/>
          <w:color w:val="auto"/>
        </w:rPr>
      </w:pPr>
      <w:r>
        <w:rPr>
          <w:rFonts w:ascii="Arial" w:cs="Arial" w:eastAsia="Arial" w:hAnsi="Arial"/>
          <w:sz w:val="18"/>
          <w:szCs w:val="18"/>
          <w:color w:val="auto"/>
        </w:rPr>
        <w:t>The following information represents supplemental disclosure for the condensed statements of cash flows related to the Company’s operating lease (in thousands):</w:t>
      </w:r>
    </w:p>
    <w:p>
      <w:pPr>
        <w:spacing w:after="0" w:line="16" w:lineRule="exact"/>
        <w:rPr>
          <w:sz w:val="20"/>
          <w:szCs w:val="20"/>
          <w:color w:val="auto"/>
        </w:rPr>
      </w:pPr>
    </w:p>
    <w:p>
      <w:pPr>
        <w:ind w:left="8360"/>
        <w:spacing w:after="0"/>
        <w:rPr>
          <w:sz w:val="20"/>
          <w:szCs w:val="20"/>
          <w:color w:val="auto"/>
        </w:rPr>
      </w:pPr>
      <w:r>
        <w:rPr>
          <w:rFonts w:ascii="Arial" w:cs="Arial" w:eastAsia="Arial" w:hAnsi="Arial"/>
          <w:sz w:val="14"/>
          <w:szCs w:val="14"/>
          <w:b w:val="1"/>
          <w:bCs w:val="1"/>
          <w:color w:val="auto"/>
        </w:rPr>
        <w:t>Six Months Ended June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720" w:type="dxa"/>
            <w:vAlign w:val="bottom"/>
            <w:tcBorders>
              <w:bottom w:val="single" w:sz="8" w:color="CCEEFF"/>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188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auto"/>
            </w:tcBorders>
          </w:tcPr>
          <w:p>
            <w:pPr>
              <w:spacing w:after="0"/>
              <w:rPr>
                <w:sz w:val="15"/>
                <w:szCs w:val="15"/>
                <w:color w:val="auto"/>
              </w:rPr>
            </w:pPr>
          </w:p>
        </w:tc>
      </w:tr>
      <w:tr>
        <w:trPr>
          <w:trHeight w:val="208"/>
        </w:trPr>
        <w:tc>
          <w:tcPr>
            <w:tcW w:w="67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26"/>
        </w:trPr>
        <w:tc>
          <w:tcPr>
            <w:tcW w:w="7120" w:type="dxa"/>
            <w:vAlign w:val="bottom"/>
            <w:gridSpan w:val="2"/>
          </w:tcPr>
          <w:p>
            <w:pPr>
              <w:ind w:left="66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6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280" w:type="dxa"/>
            <w:vAlign w:val="bottom"/>
            <w:gridSpan w:val="3"/>
          </w:tcPr>
          <w:p>
            <w:pPr>
              <w:ind w:left="92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104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442"/>
        </w:trPr>
        <w:tc>
          <w:tcPr>
            <w:tcW w:w="7120" w:type="dxa"/>
            <w:vAlign w:val="bottom"/>
            <w:gridSpan w:val="2"/>
          </w:tcPr>
          <w:p>
            <w:pPr>
              <w:ind w:left="640"/>
              <w:spacing w:after="0"/>
              <w:rPr>
                <w:sz w:val="20"/>
                <w:szCs w:val="20"/>
                <w:color w:val="auto"/>
              </w:rPr>
            </w:pPr>
            <w:r>
              <w:rPr>
                <w:rFonts w:ascii="Arial" w:cs="Arial" w:eastAsia="Arial" w:hAnsi="Arial"/>
                <w:sz w:val="18"/>
                <w:szCs w:val="18"/>
                <w:color w:val="auto"/>
              </w:rPr>
              <w:t>The following summarizes additional information related to the operating lease:</w:t>
            </w: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16"/>
        </w:trPr>
        <w:tc>
          <w:tcPr>
            <w:tcW w:w="67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2021</w:t>
            </w:r>
          </w:p>
        </w:tc>
        <w:tc>
          <w:tcPr>
            <w:tcW w:w="320" w:type="dxa"/>
            <w:vAlign w:val="bottom"/>
            <w:tcBorders>
              <w:bottom w:val="single" w:sz="8" w:color="auto"/>
            </w:tcBorders>
          </w:tcPr>
          <w:p>
            <w:pPr>
              <w:spacing w:after="0"/>
              <w:rPr>
                <w:sz w:val="18"/>
                <w:szCs w:val="18"/>
                <w:color w:val="auto"/>
              </w:rPr>
            </w:pPr>
          </w:p>
        </w:tc>
      </w:tr>
      <w:tr>
        <w:trPr>
          <w:trHeight w:val="221"/>
        </w:trPr>
        <w:tc>
          <w:tcPr>
            <w:tcW w:w="71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Weighted-average remaining lease term (in years)</w:t>
            </w: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26"/>
        </w:trPr>
        <w:tc>
          <w:tcPr>
            <w:tcW w:w="7120" w:type="dxa"/>
            <w:vAlign w:val="bottom"/>
            <w:gridSpan w:val="2"/>
          </w:tcPr>
          <w:p>
            <w:pPr>
              <w:ind w:left="660"/>
              <w:spacing w:after="0"/>
              <w:rPr>
                <w:sz w:val="20"/>
                <w:szCs w:val="20"/>
                <w:color w:val="auto"/>
              </w:rPr>
            </w:pPr>
            <w:r>
              <w:rPr>
                <w:rFonts w:ascii="Arial" w:cs="Arial" w:eastAsia="Arial" w:hAnsi="Arial"/>
                <w:sz w:val="18"/>
                <w:szCs w:val="18"/>
                <w:color w:val="auto"/>
              </w:rPr>
              <w:t>Weighted-average discount rate</w:t>
            </w:r>
          </w:p>
        </w:tc>
        <w:tc>
          <w:tcPr>
            <w:tcW w:w="6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jc w:val="right"/>
              <w:ind w:right="480"/>
              <w:spacing w:after="0"/>
              <w:rPr>
                <w:sz w:val="20"/>
                <w:szCs w:val="20"/>
                <w:color w:val="auto"/>
              </w:rPr>
            </w:pPr>
            <w:r>
              <w:rPr>
                <w:rFonts w:ascii="Arial" w:cs="Arial" w:eastAsia="Arial" w:hAnsi="Arial"/>
                <w:sz w:val="18"/>
                <w:szCs w:val="18"/>
                <w:color w:val="auto"/>
              </w:rPr>
              <w:t>7.0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77" w:lineRule="exact"/>
        <w:rPr>
          <w:sz w:val="20"/>
          <w:szCs w:val="20"/>
          <w:color w:val="auto"/>
        </w:rPr>
      </w:pPr>
    </w:p>
    <w:p>
      <w:pPr>
        <w:ind w:firstLine="643"/>
        <w:spacing w:after="0" w:line="249" w:lineRule="auto"/>
        <w:rPr>
          <w:sz w:val="20"/>
          <w:szCs w:val="20"/>
          <w:color w:val="auto"/>
        </w:rPr>
      </w:pPr>
      <w:r>
        <w:rPr>
          <w:rFonts w:ascii="Arial" w:cs="Arial" w:eastAsia="Arial" w:hAnsi="Arial"/>
          <w:sz w:val="18"/>
          <w:szCs w:val="18"/>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the provisions of the Company’s Bylaws and the Delaware General Corporation Law. The Company currently has directors’ and officers’ insurance coverage that reduces its exposure and enables the Company to recover a portion of any future amounts paid. The Company believes any potential loss exposure under these indemnification agreements in excess of applicable insurance coverage is minimal.</w:t>
      </w:r>
    </w:p>
    <w:p>
      <w:pPr>
        <w:spacing w:after="0" w:line="120" w:lineRule="exact"/>
        <w:rPr>
          <w:sz w:val="20"/>
          <w:szCs w:val="20"/>
          <w:color w:val="auto"/>
        </w:rPr>
      </w:pPr>
    </w:p>
    <w:p>
      <w:pPr>
        <w:ind w:left="640" w:right="6460" w:hanging="633"/>
        <w:spacing w:after="0" w:line="424" w:lineRule="auto"/>
        <w:tabs>
          <w:tab w:leader="none" w:pos="196"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Convertible Preferred Stock and Stockholders’ Equity Convertible Preferred Stock</w:t>
      </w:r>
    </w:p>
    <w:p>
      <w:pPr>
        <w:ind w:right="100" w:firstLine="643"/>
        <w:spacing w:after="0" w:line="255" w:lineRule="auto"/>
        <w:rPr>
          <w:sz w:val="20"/>
          <w:szCs w:val="20"/>
          <w:color w:val="auto"/>
        </w:rPr>
      </w:pPr>
      <w:r>
        <w:rPr>
          <w:rFonts w:ascii="Arial" w:cs="Arial" w:eastAsia="Arial" w:hAnsi="Arial"/>
          <w:sz w:val="18"/>
          <w:szCs w:val="18"/>
          <w:color w:val="auto"/>
        </w:rPr>
        <w:t>In connection with the Company's IPO in February 2020, all of the Company’s outstanding shares of convertible preferred stock were automatically converted into 24,385,388 shares of common stock.</w:t>
      </w:r>
    </w:p>
    <w:p>
      <w:pPr>
        <w:spacing w:after="0" w:line="11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Common Stock</w:t>
      </w:r>
    </w:p>
    <w:p>
      <w:pPr>
        <w:spacing w:after="0" w:line="163" w:lineRule="exact"/>
        <w:rPr>
          <w:sz w:val="20"/>
          <w:szCs w:val="20"/>
          <w:color w:val="auto"/>
        </w:rPr>
      </w:pPr>
    </w:p>
    <w:p>
      <w:pPr>
        <w:ind w:right="220" w:firstLine="643"/>
        <w:spacing w:after="0" w:line="250" w:lineRule="auto"/>
        <w:rPr>
          <w:sz w:val="20"/>
          <w:szCs w:val="20"/>
          <w:color w:val="auto"/>
        </w:rPr>
      </w:pPr>
      <w:r>
        <w:rPr>
          <w:rFonts w:ascii="Arial" w:cs="Arial" w:eastAsia="Arial" w:hAnsi="Arial"/>
          <w:sz w:val="18"/>
          <w:szCs w:val="18"/>
          <w:color w:val="auto"/>
        </w:rPr>
        <w:t>The holders of the Company’s common stock have one vote for each share of common stock. Common stockholders are entitled to dividends when, as, and if declared by the board of directors. The holders have no preemptive or other subscription rights and there are no redemption or sinking fund provisions with respect to such shares. As of June 30, 2021, no dividends had been declared by the board of directors.</w:t>
      </w:r>
    </w:p>
    <w:p>
      <w:pPr>
        <w:spacing w:after="0" w:line="14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reserved the following shares of common stock for issuance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180" w:type="dxa"/>
            <w:vAlign w:val="bottom"/>
          </w:tcPr>
          <w:p>
            <w:pPr>
              <w:spacing w:after="0"/>
              <w:rPr>
                <w:sz w:val="16"/>
                <w:szCs w:val="16"/>
                <w:color w:val="auto"/>
              </w:rPr>
            </w:pPr>
          </w:p>
        </w:tc>
        <w:tc>
          <w:tcPr>
            <w:tcW w:w="2060" w:type="dxa"/>
            <w:vAlign w:val="bottom"/>
            <w:gridSpan w:val="2"/>
          </w:tcPr>
          <w:p>
            <w:pPr>
              <w:ind w:left="840"/>
              <w:spacing w:after="0"/>
              <w:rPr>
                <w:sz w:val="20"/>
                <w:szCs w:val="20"/>
                <w:color w:val="auto"/>
              </w:rPr>
            </w:pPr>
            <w:r>
              <w:rPr>
                <w:rFonts w:ascii="Arial" w:cs="Arial" w:eastAsia="Arial" w:hAnsi="Arial"/>
                <w:sz w:val="14"/>
                <w:szCs w:val="14"/>
                <w:b w:val="1"/>
                <w:bCs w:val="1"/>
                <w:color w:val="auto"/>
              </w:rPr>
              <w:t>June 30, 2021</w:t>
            </w:r>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December 31, 2020</w:t>
            </w:r>
          </w:p>
        </w:tc>
      </w:tr>
      <w:tr>
        <w:trPr>
          <w:trHeight w:val="221"/>
        </w:trPr>
        <w:tc>
          <w:tcPr>
            <w:tcW w:w="718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Options issued and outstanding</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5,073,312</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3,655,945</w:t>
            </w:r>
          </w:p>
        </w:tc>
      </w:tr>
      <w:tr>
        <w:trPr>
          <w:trHeight w:val="227"/>
        </w:trPr>
        <w:tc>
          <w:tcPr>
            <w:tcW w:w="7180" w:type="dxa"/>
            <w:vAlign w:val="bottom"/>
          </w:tcPr>
          <w:p>
            <w:pPr>
              <w:ind w:left="660"/>
              <w:spacing w:after="0"/>
              <w:rPr>
                <w:sz w:val="20"/>
                <w:szCs w:val="20"/>
                <w:color w:val="auto"/>
              </w:rPr>
            </w:pPr>
            <w:r>
              <w:rPr>
                <w:rFonts w:ascii="Arial" w:cs="Arial" w:eastAsia="Arial" w:hAnsi="Arial"/>
                <w:sz w:val="18"/>
                <w:szCs w:val="18"/>
                <w:color w:val="auto"/>
              </w:rPr>
              <w:t>Common stock awards available for grant under employee benefit plans</w:t>
            </w:r>
          </w:p>
        </w:tc>
        <w:tc>
          <w:tcPr>
            <w:tcW w:w="1960" w:type="dxa"/>
            <w:vAlign w:val="bottom"/>
          </w:tcPr>
          <w:p>
            <w:pPr>
              <w:jc w:val="right"/>
              <w:spacing w:after="0"/>
              <w:rPr>
                <w:sz w:val="20"/>
                <w:szCs w:val="20"/>
                <w:color w:val="auto"/>
              </w:rPr>
            </w:pPr>
            <w:r>
              <w:rPr>
                <w:rFonts w:ascii="Arial" w:cs="Arial" w:eastAsia="Arial" w:hAnsi="Arial"/>
                <w:sz w:val="18"/>
                <w:szCs w:val="18"/>
                <w:color w:val="auto"/>
              </w:rPr>
              <w:t>2,887,698</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2,501,329</w:t>
            </w:r>
          </w:p>
        </w:tc>
      </w:tr>
      <w:tr>
        <w:trPr>
          <w:trHeight w:val="228"/>
        </w:trPr>
        <w:tc>
          <w:tcPr>
            <w:tcW w:w="71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Restricted stock units outstanding</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314,468</w:t>
            </w:r>
          </w:p>
        </w:tc>
        <w:tc>
          <w:tcPr>
            <w:tcW w:w="100" w:type="dxa"/>
            <w:vAlign w:val="bottom"/>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162,930</w:t>
            </w:r>
          </w:p>
        </w:tc>
      </w:tr>
      <w:tr>
        <w:trPr>
          <w:trHeight w:val="220"/>
        </w:trPr>
        <w:tc>
          <w:tcPr>
            <w:tcW w:w="7180" w:type="dxa"/>
            <w:vAlign w:val="bottom"/>
          </w:tcPr>
          <w:p>
            <w:pPr>
              <w:ind w:left="980"/>
              <w:spacing w:after="0"/>
              <w:rPr>
                <w:sz w:val="20"/>
                <w:szCs w:val="20"/>
                <w:color w:val="auto"/>
              </w:rPr>
            </w:pPr>
            <w:r>
              <w:rPr>
                <w:rFonts w:ascii="Arial" w:cs="Arial" w:eastAsia="Arial" w:hAnsi="Arial"/>
                <w:sz w:val="18"/>
                <w:szCs w:val="18"/>
                <w:color w:val="auto"/>
              </w:rPr>
              <w:t>Total common stock reserved</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8,275,478</w:t>
            </w:r>
          </w:p>
        </w:tc>
        <w:tc>
          <w:tcPr>
            <w:tcW w:w="100" w:type="dxa"/>
            <w:vAlign w:val="bottom"/>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6,320,204</w:t>
            </w:r>
          </w:p>
        </w:tc>
      </w:tr>
      <w:tr>
        <w:trPr>
          <w:trHeight w:val="21"/>
        </w:trPr>
        <w:tc>
          <w:tcPr>
            <w:tcW w:w="71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Authorized Share Capital</w:t>
      </w:r>
    </w:p>
    <w:p>
      <w:pPr>
        <w:spacing w:after="0" w:line="177" w:lineRule="exact"/>
        <w:rPr>
          <w:sz w:val="20"/>
          <w:szCs w:val="20"/>
          <w:color w:val="auto"/>
        </w:rPr>
      </w:pPr>
    </w:p>
    <w:p>
      <w:pPr>
        <w:ind w:right="320" w:firstLine="643"/>
        <w:spacing w:after="0" w:line="252" w:lineRule="auto"/>
        <w:rPr>
          <w:sz w:val="20"/>
          <w:szCs w:val="20"/>
          <w:color w:val="auto"/>
        </w:rPr>
      </w:pPr>
      <w:r>
        <w:rPr>
          <w:rFonts w:ascii="Arial" w:cs="Arial" w:eastAsia="Arial" w:hAnsi="Arial"/>
          <w:sz w:val="18"/>
          <w:szCs w:val="18"/>
          <w:color w:val="auto"/>
        </w:rPr>
        <w:t>On February 4, 2020, the Company’s certificate of incorporation was amended and restated to provide for 300,000,000 authorized shares of common stock with a par value of $0.0001 per share and 10,000,000 authorized shares of preferred stock with a par value of $0.0001 per share. There were no shares of preferred stock outstanding as of June 30, 2021 and December 31, 2020.</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Stock-Based Compensation</w:t>
      </w:r>
    </w:p>
    <w:p>
      <w:pPr>
        <w:spacing w:after="0" w:line="163" w:lineRule="exact"/>
        <w:rPr>
          <w:sz w:val="20"/>
          <w:szCs w:val="20"/>
          <w:color w:val="auto"/>
        </w:rPr>
      </w:pPr>
    </w:p>
    <w:p>
      <w:pPr>
        <w:ind w:right="20" w:firstLine="643"/>
        <w:spacing w:after="0" w:line="249" w:lineRule="auto"/>
        <w:rPr>
          <w:sz w:val="20"/>
          <w:szCs w:val="20"/>
          <w:color w:val="auto"/>
        </w:rPr>
      </w:pPr>
      <w:r>
        <w:rPr>
          <w:rFonts w:ascii="Arial" w:cs="Arial" w:eastAsia="Arial" w:hAnsi="Arial"/>
          <w:sz w:val="18"/>
          <w:szCs w:val="18"/>
          <w:color w:val="auto"/>
        </w:rPr>
        <w:t>In January 2020, the Company’s board of directors approved the 2020 Equity Incentive Plan, (2020 Plan), which became effective January 30, 2020 in connection with the IPO. The 2020 Plan serves as the successor incentive award plan to the Company’s 2017 Equity Incentive Plan (2017 Plan) and has 2,134,000 shares of common stock available for issuance pursuant to a variety of stock-based compensation awards, including stock options, stock appreciation rights, restricted stock awards, restricted stock unit awards, and other stock-based awards, plus 1,550,150 shares of common stock that were reserved for issuance pursuant to future awards under the 2017 Plan at the time the 2020 Plan became effective, plus shares represented by awards outstanding under the 2017 Plan that are forfeited or lapsed unexercised and which following the effective date of the 2020 Plan are not issued under the 2017 Plan. In addition, the 2020 Plan reserve will increase on January 1 of each year through 2030, by an amount equal to the lesser of (a) four percent of the shares of stock outstanding (on an as converted basis) on the day immediately prior to the date of increase and (b) such smaller number of shares of stock as determined by our board of directors; provided, however, that no more than 11,000,000 shares of stock may be issued upon the exercise of incentive stock options. Accordingly, on January 1, 2021, the plan reserve increased by 1,747,112 shares. As of June 30, 2021, the Company had 2,156,766 shares available for future grant under the 2020 Plan.</w:t>
      </w:r>
    </w:p>
    <w:p>
      <w:pPr>
        <w:spacing w:after="0" w:line="141" w:lineRule="exact"/>
        <w:rPr>
          <w:sz w:val="20"/>
          <w:szCs w:val="20"/>
          <w:color w:val="auto"/>
        </w:rPr>
      </w:pPr>
    </w:p>
    <w:p>
      <w:pPr>
        <w:ind w:right="80" w:firstLine="643"/>
        <w:spacing w:after="0" w:line="250" w:lineRule="auto"/>
        <w:rPr>
          <w:sz w:val="20"/>
          <w:szCs w:val="20"/>
          <w:color w:val="auto"/>
        </w:rPr>
      </w:pPr>
      <w:r>
        <w:rPr>
          <w:rFonts w:ascii="Arial" w:cs="Arial" w:eastAsia="Arial" w:hAnsi="Arial"/>
          <w:sz w:val="18"/>
          <w:szCs w:val="18"/>
          <w:color w:val="auto"/>
        </w:rPr>
        <w:t>The 2020 Plan provides for the Company to sell or issue common stock or restricted common stock, or to grant incentive stock options or nonqualified stock options for the purchase of common stock, to employees, members of the board of directors, and consultants of the Company under terms and provisions established by the board of directors. Under the terms of the 2020 Plan, options may be granted at an exercise price not less than fair market value. The Company generally grants stock-based awards with service conditions. Options granted typically vest over a four-year period but may be granted with different vesting terms.</w:t>
      </w:r>
    </w:p>
    <w:p>
      <w:pPr>
        <w:spacing w:after="0" w:line="140" w:lineRule="exact"/>
        <w:rPr>
          <w:sz w:val="20"/>
          <w:szCs w:val="20"/>
          <w:color w:val="auto"/>
        </w:rPr>
      </w:pPr>
    </w:p>
    <w:p>
      <w:pPr>
        <w:ind w:right="60" w:firstLine="643"/>
        <w:spacing w:after="0" w:line="252" w:lineRule="auto"/>
        <w:rPr>
          <w:sz w:val="20"/>
          <w:szCs w:val="20"/>
          <w:color w:val="auto"/>
        </w:rPr>
      </w:pPr>
      <w:r>
        <w:rPr>
          <w:rFonts w:ascii="Arial" w:cs="Arial" w:eastAsia="Arial" w:hAnsi="Arial"/>
          <w:sz w:val="18"/>
          <w:szCs w:val="18"/>
          <w:color w:val="auto"/>
        </w:rPr>
        <w:t>Following the Company’s IPO and in connection with the effectiveness of the Company’s 2020 Plan, the 2017 Plan terminated and no further awards will be granted under that plan. However, all outstanding awards under the 2017 Plan will continue to be governed by their existing terms.</w:t>
      </w:r>
    </w:p>
    <w:p>
      <w:pPr>
        <w:spacing w:after="0" w:line="10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summarizes option activity (in thousands, except share amounts):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Weighted-</w:t>
            </w:r>
          </w:p>
        </w:tc>
        <w:tc>
          <w:tcPr>
            <w:tcW w:w="1580" w:type="dxa"/>
            <w:vAlign w:val="bottom"/>
            <w:gridSpan w:val="2"/>
          </w:tcPr>
          <w:p>
            <w:pPr>
              <w:jc w:val="center"/>
              <w:ind w:left="461"/>
              <w:spacing w:after="0"/>
              <w:rPr>
                <w:sz w:val="20"/>
                <w:szCs w:val="20"/>
                <w:color w:val="auto"/>
              </w:rPr>
            </w:pPr>
            <w:r>
              <w:rPr>
                <w:rFonts w:ascii="Arial" w:cs="Arial" w:eastAsia="Arial" w:hAnsi="Arial"/>
                <w:sz w:val="14"/>
                <w:szCs w:val="14"/>
                <w:b w:val="1"/>
                <w:bCs w:val="1"/>
                <w:color w:val="auto"/>
              </w:rPr>
              <w:t>Remaining</w:t>
            </w: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Average</w:t>
            </w:r>
          </w:p>
        </w:tc>
        <w:tc>
          <w:tcPr>
            <w:tcW w:w="15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Contractual</w:t>
            </w:r>
          </w:p>
        </w:tc>
        <w:tc>
          <w:tcPr>
            <w:tcW w:w="880" w:type="dxa"/>
            <w:vAlign w:val="bottom"/>
          </w:tcPr>
          <w:p>
            <w:pPr>
              <w:spacing w:after="0"/>
              <w:rPr>
                <w:sz w:val="13"/>
                <w:szCs w:val="13"/>
                <w:color w:val="auto"/>
              </w:rPr>
            </w:pPr>
          </w:p>
        </w:tc>
        <w:tc>
          <w:tcPr>
            <w:tcW w:w="1160" w:type="dxa"/>
            <w:vAlign w:val="bottom"/>
          </w:tcPr>
          <w:p>
            <w:pPr>
              <w:jc w:val="center"/>
              <w:ind w:right="1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1"/>
        </w:trPr>
        <w:tc>
          <w:tcPr>
            <w:tcW w:w="39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Exercise</w:t>
            </w:r>
          </w:p>
        </w:tc>
        <w:tc>
          <w:tcPr>
            <w:tcW w:w="1580" w:type="dxa"/>
            <w:vAlign w:val="bottom"/>
            <w:gridSpan w:val="2"/>
          </w:tcPr>
          <w:p>
            <w:pPr>
              <w:jc w:val="center"/>
              <w:ind w:left="481"/>
              <w:spacing w:after="0"/>
              <w:rPr>
                <w:sz w:val="20"/>
                <w:szCs w:val="20"/>
                <w:color w:val="auto"/>
              </w:rPr>
            </w:pPr>
            <w:r>
              <w:rPr>
                <w:rFonts w:ascii="Arial" w:cs="Arial" w:eastAsia="Arial" w:hAnsi="Arial"/>
                <w:sz w:val="14"/>
                <w:szCs w:val="14"/>
                <w:b w:val="1"/>
                <w:bCs w:val="1"/>
                <w:color w:val="auto"/>
                <w:w w:val="99"/>
              </w:rPr>
              <w:t>Term</w:t>
            </w:r>
          </w:p>
        </w:tc>
        <w:tc>
          <w:tcPr>
            <w:tcW w:w="880" w:type="dxa"/>
            <w:vAlign w:val="bottom"/>
          </w:tcPr>
          <w:p>
            <w:pPr>
              <w:spacing w:after="0"/>
              <w:rPr>
                <w:sz w:val="13"/>
                <w:szCs w:val="13"/>
                <w:color w:val="auto"/>
              </w:rPr>
            </w:pPr>
          </w:p>
        </w:tc>
        <w:tc>
          <w:tcPr>
            <w:tcW w:w="1160" w:type="dxa"/>
            <w:vAlign w:val="bottom"/>
          </w:tcPr>
          <w:p>
            <w:pPr>
              <w:jc w:val="center"/>
              <w:ind w:right="16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95"/>
        </w:trPr>
        <w:tc>
          <w:tcPr>
            <w:tcW w:w="39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rPr>
              <w:t>Price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ind w:left="561"/>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7"/>
        </w:trPr>
        <w:tc>
          <w:tcPr>
            <w:tcW w:w="3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Balance—December 31, 2020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3,655,945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59,274</w:t>
            </w:r>
          </w:p>
        </w:tc>
        <w:tc>
          <w:tcPr>
            <w:tcW w:w="0" w:type="dxa"/>
            <w:vAlign w:val="bottom"/>
          </w:tcPr>
          <w:p>
            <w:pPr>
              <w:spacing w:after="0"/>
              <w:rPr>
                <w:sz w:val="1"/>
                <w:szCs w:val="1"/>
                <w:color w:val="auto"/>
              </w:rPr>
            </w:pPr>
          </w:p>
        </w:tc>
      </w:tr>
      <w:tr>
        <w:trPr>
          <w:trHeight w:val="227"/>
        </w:trPr>
        <w:tc>
          <w:tcPr>
            <w:tcW w:w="3920" w:type="dxa"/>
            <w:vAlign w:val="bottom"/>
          </w:tcPr>
          <w:p>
            <w:pPr>
              <w:ind w:left="98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1,746,260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30.47</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(173,596)</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920" w:type="dxa"/>
            <w:vAlign w:val="bottom"/>
            <w:tcBorders>
              <w:bottom w:val="single" w:sz="8" w:color="CCEEFF"/>
            </w:tcBorders>
          </w:tcPr>
          <w:p>
            <w:pPr>
              <w:ind w:left="98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(155,297)</w:t>
            </w:r>
          </w:p>
        </w:tc>
        <w:tc>
          <w:tcPr>
            <w:tcW w:w="98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20.27</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9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Balance—June 30,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5,073,312</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51,625</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ind w:left="660"/>
              <w:spacing w:after="0" w:line="241" w:lineRule="exact"/>
              <w:rPr>
                <w:sz w:val="20"/>
                <w:szCs w:val="20"/>
                <w:color w:val="auto"/>
              </w:rPr>
            </w:pPr>
            <w:r>
              <w:rPr>
                <w:rFonts w:ascii="Arial" w:cs="Arial" w:eastAsia="Arial" w:hAnsi="Arial"/>
                <w:sz w:val="18"/>
                <w:szCs w:val="18"/>
                <w:color w:val="auto"/>
              </w:rPr>
              <w:t>Exercisable—June 30, 2021</w:t>
            </w:r>
            <w:r>
              <w:rPr>
                <w:rFonts w:ascii="Arial" w:cs="Arial" w:eastAsia="Arial" w:hAnsi="Arial"/>
                <w:sz w:val="23"/>
                <w:szCs w:val="23"/>
                <w:color w:val="auto"/>
                <w:vertAlign w:val="superscript"/>
              </w:rPr>
              <w:t>(1)</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920" w:type="dxa"/>
            <w:vAlign w:val="bottom"/>
            <w:vMerge w:val="continue"/>
          </w:tcPr>
          <w:p>
            <w:pPr>
              <w:spacing w:after="0"/>
              <w:rPr>
                <w:sz w:val="17"/>
                <w:szCs w:val="17"/>
                <w:color w:val="auto"/>
              </w:rPr>
            </w:pPr>
          </w:p>
        </w:tc>
        <w:tc>
          <w:tcPr>
            <w:tcW w:w="15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2,180,643</w:t>
            </w:r>
          </w:p>
        </w:tc>
        <w:tc>
          <w:tcPr>
            <w:tcW w:w="9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auto"/>
              </w:rPr>
              <w:t>9.19</w:t>
            </w:r>
          </w:p>
        </w:tc>
        <w:tc>
          <w:tcPr>
            <w:tcW w:w="100" w:type="dxa"/>
            <w:vAlign w:val="bottom"/>
          </w:tcPr>
          <w:p>
            <w:pPr>
              <w:spacing w:after="0"/>
              <w:rPr>
                <w:sz w:val="17"/>
                <w:szCs w:val="17"/>
                <w:color w:val="auto"/>
              </w:rPr>
            </w:pPr>
          </w:p>
        </w:tc>
        <w:tc>
          <w:tcPr>
            <w:tcW w:w="1480" w:type="dxa"/>
            <w:vAlign w:val="bottom"/>
          </w:tcPr>
          <w:p>
            <w:pPr>
              <w:jc w:val="right"/>
              <w:spacing w:after="0" w:line="201" w:lineRule="exact"/>
              <w:rPr>
                <w:sz w:val="20"/>
                <w:szCs w:val="20"/>
                <w:color w:val="auto"/>
              </w:rPr>
            </w:pPr>
            <w:r>
              <w:rPr>
                <w:rFonts w:ascii="Arial" w:cs="Arial" w:eastAsia="Arial" w:hAnsi="Arial"/>
                <w:sz w:val="18"/>
                <w:szCs w:val="18"/>
                <w:color w:val="auto"/>
              </w:rPr>
              <w:t>7.68</w:t>
            </w:r>
          </w:p>
        </w:tc>
        <w:tc>
          <w:tcPr>
            <w:tcW w:w="100" w:type="dxa"/>
            <w:vAlign w:val="bottom"/>
          </w:tcPr>
          <w:p>
            <w:pPr>
              <w:spacing w:after="0"/>
              <w:rPr>
                <w:sz w:val="17"/>
                <w:szCs w:val="17"/>
                <w:color w:val="auto"/>
              </w:rPr>
            </w:pPr>
          </w:p>
        </w:tc>
        <w:tc>
          <w:tcPr>
            <w:tcW w:w="880" w:type="dxa"/>
            <w:vAlign w:val="bottom"/>
          </w:tcPr>
          <w:p>
            <w:pPr>
              <w:jc w:val="right"/>
              <w:ind w:right="31"/>
              <w:spacing w:after="0" w:line="201"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1" w:lineRule="exact"/>
              <w:rPr>
                <w:sz w:val="20"/>
                <w:szCs w:val="20"/>
                <w:color w:val="auto"/>
              </w:rPr>
            </w:pPr>
            <w:r>
              <w:rPr>
                <w:rFonts w:ascii="Arial" w:cs="Arial" w:eastAsia="Arial" w:hAnsi="Arial"/>
                <w:sz w:val="18"/>
                <w:szCs w:val="18"/>
                <w:color w:val="auto"/>
              </w:rPr>
              <w:t>40,037</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47" w:lineRule="exact"/>
        <w:rPr>
          <w:sz w:val="20"/>
          <w:szCs w:val="20"/>
          <w:color w:val="auto"/>
        </w:rPr>
      </w:pPr>
    </w:p>
    <w:p>
      <w:pPr>
        <w:ind w:left="640" w:hanging="633"/>
        <w:spacing w:after="0"/>
        <w:tabs>
          <w:tab w:leader="none" w:pos="640" w:val="left"/>
        </w:tabs>
        <w:numPr>
          <w:ilvl w:val="0"/>
          <w:numId w:val="9"/>
        </w:numPr>
        <w:rPr>
          <w:rFonts w:ascii="Arial" w:cs="Arial" w:eastAsia="Arial" w:hAnsi="Arial"/>
          <w:sz w:val="14"/>
          <w:szCs w:val="14"/>
          <w:color w:val="auto"/>
        </w:rPr>
      </w:pPr>
      <w:r>
        <w:rPr>
          <w:rFonts w:ascii="Arial" w:cs="Arial" w:eastAsia="Arial" w:hAnsi="Arial"/>
          <w:sz w:val="14"/>
          <w:szCs w:val="14"/>
          <w:color w:val="auto"/>
        </w:rPr>
        <w:t>Options exercisable includes early exercisable options.</w:t>
      </w:r>
    </w:p>
    <w:p>
      <w:pPr>
        <w:spacing w:after="0" w:line="141" w:lineRule="exact"/>
        <w:rPr>
          <w:sz w:val="20"/>
          <w:szCs w:val="20"/>
          <w:color w:val="auto"/>
        </w:rPr>
      </w:pPr>
    </w:p>
    <w:p>
      <w:pPr>
        <w:jc w:val="both"/>
        <w:ind w:right="700" w:firstLine="643"/>
        <w:spacing w:after="0" w:line="252" w:lineRule="auto"/>
        <w:rPr>
          <w:sz w:val="20"/>
          <w:szCs w:val="20"/>
          <w:color w:val="auto"/>
        </w:rPr>
      </w:pPr>
      <w:r>
        <w:rPr>
          <w:rFonts w:ascii="Arial" w:cs="Arial" w:eastAsia="Arial" w:hAnsi="Arial"/>
          <w:sz w:val="18"/>
          <w:szCs w:val="18"/>
          <w:color w:val="auto"/>
        </w:rPr>
        <w:t>The aggregate intrinsic value is calculated as the difference between the exercise price of the options and the fair value of the Company’s common stock as of June 30, 2021. As of December 31, 2020, prior to the Company's IPO, the estimated fair value of the Company's common stock was determined by the board of directors.</w:t>
      </w:r>
    </w:p>
    <w:p>
      <w:pPr>
        <w:spacing w:after="0" w:line="1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intrinsic value of options exercised for the six months ended June 30, 2021 was $4.3 million.</w:t>
      </w:r>
    </w:p>
    <w:p>
      <w:pPr>
        <w:spacing w:after="0" w:line="141" w:lineRule="exact"/>
        <w:rPr>
          <w:sz w:val="20"/>
          <w:szCs w:val="20"/>
          <w:color w:val="auto"/>
        </w:rPr>
      </w:pPr>
    </w:p>
    <w:p>
      <w:pPr>
        <w:ind w:right="540" w:firstLine="643"/>
        <w:spacing w:after="0" w:line="255" w:lineRule="auto"/>
        <w:rPr>
          <w:sz w:val="20"/>
          <w:szCs w:val="20"/>
          <w:color w:val="auto"/>
        </w:rPr>
      </w:pPr>
      <w:r>
        <w:rPr>
          <w:rFonts w:ascii="Arial" w:cs="Arial" w:eastAsia="Arial" w:hAnsi="Arial"/>
          <w:sz w:val="18"/>
          <w:szCs w:val="18"/>
          <w:color w:val="auto"/>
        </w:rPr>
        <w:t>The total grant-date fair value of the options vested during the six months ended June 30, 2021 was $7.4 million. The weighted-average grant-date fair value of employee options granted during the six months ended June 30, 2021 was $21.17.</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Restricted Stock Unit Activity</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information regarding our RSUs: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tcPr>
          <w:p>
            <w:pPr>
              <w:jc w:val="right"/>
              <w:ind w:right="276"/>
              <w:spacing w:after="0"/>
              <w:rPr>
                <w:sz w:val="20"/>
                <w:szCs w:val="20"/>
                <w:color w:val="auto"/>
              </w:rPr>
            </w:pPr>
            <w:r>
              <w:rPr>
                <w:rFonts w:ascii="Arial" w:cs="Arial" w:eastAsia="Arial" w:hAnsi="Arial"/>
                <w:sz w:val="14"/>
                <w:szCs w:val="14"/>
                <w:b w:val="1"/>
                <w:bCs w:val="1"/>
                <w:color w:val="auto"/>
              </w:rPr>
              <w:t>Weighted-Average</w:t>
            </w:r>
          </w:p>
        </w:tc>
      </w:tr>
      <w:tr>
        <w:trPr>
          <w:trHeight w:val="195"/>
        </w:trPr>
        <w:tc>
          <w:tcPr>
            <w:tcW w:w="702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Number of Units</w:t>
            </w:r>
          </w:p>
        </w:tc>
        <w:tc>
          <w:tcPr>
            <w:tcW w:w="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Grant Date Fair Value</w:t>
            </w:r>
          </w:p>
        </w:tc>
      </w:tr>
      <w:tr>
        <w:trPr>
          <w:trHeight w:val="227"/>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Balance—December 31, 2020</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162,930</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w:t>
            </w:r>
          </w:p>
        </w:tc>
      </w:tr>
      <w:tr>
        <w:trPr>
          <w:trHeight w:val="227"/>
        </w:trPr>
        <w:tc>
          <w:tcPr>
            <w:tcW w:w="7020" w:type="dxa"/>
            <w:vAlign w:val="bottom"/>
          </w:tcPr>
          <w:p>
            <w:pPr>
              <w:ind w:left="340"/>
              <w:spacing w:after="0"/>
              <w:rPr>
                <w:sz w:val="20"/>
                <w:szCs w:val="20"/>
                <w:color w:val="auto"/>
              </w:rPr>
            </w:pPr>
            <w:r>
              <w:rPr>
                <w:rFonts w:ascii="Arial" w:cs="Arial" w:eastAsia="Arial" w:hAnsi="Arial"/>
                <w:sz w:val="18"/>
                <w:szCs w:val="18"/>
                <w:color w:val="auto"/>
              </w:rPr>
              <w:t>Granted</w:t>
            </w:r>
          </w:p>
        </w:tc>
        <w:tc>
          <w:tcPr>
            <w:tcW w:w="1980" w:type="dxa"/>
            <w:vAlign w:val="bottom"/>
          </w:tcPr>
          <w:p>
            <w:pPr>
              <w:jc w:val="right"/>
              <w:spacing w:after="0"/>
              <w:rPr>
                <w:sz w:val="20"/>
                <w:szCs w:val="20"/>
                <w:color w:val="auto"/>
              </w:rPr>
            </w:pPr>
            <w:r>
              <w:rPr>
                <w:rFonts w:ascii="Arial" w:cs="Arial" w:eastAsia="Arial" w:hAnsi="Arial"/>
                <w:sz w:val="18"/>
                <w:szCs w:val="18"/>
                <w:color w:val="auto"/>
              </w:rPr>
              <w:t>195,900</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31.69</w:t>
            </w:r>
          </w:p>
        </w:tc>
      </w:tr>
      <w:tr>
        <w:trPr>
          <w:trHeight w:val="228"/>
        </w:trPr>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(32,362)</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w:t>
            </w:r>
          </w:p>
        </w:tc>
      </w:tr>
      <w:tr>
        <w:trPr>
          <w:trHeight w:val="227"/>
        </w:trPr>
        <w:tc>
          <w:tcPr>
            <w:tcW w:w="7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Forfeited</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w:t>
            </w:r>
          </w:p>
        </w:tc>
        <w:tc>
          <w:tcPr>
            <w:tcW w:w="46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31.23</w:t>
            </w:r>
          </w:p>
        </w:tc>
      </w:tr>
      <w:tr>
        <w:trPr>
          <w:trHeight w:val="247"/>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Balance—June 30, 2021</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314,468</w:t>
            </w:r>
          </w:p>
        </w:tc>
        <w:tc>
          <w:tcPr>
            <w:tcW w:w="4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29.83</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r>
    </w:tbl>
    <w:p>
      <w:pPr>
        <w:spacing w:after="0" w:line="227" w:lineRule="exact"/>
        <w:rPr>
          <w:sz w:val="20"/>
          <w:szCs w:val="20"/>
          <w:color w:val="auto"/>
        </w:rPr>
      </w:pPr>
    </w:p>
    <w:p>
      <w:pPr>
        <w:ind w:right="40" w:firstLine="643"/>
        <w:spacing w:after="0" w:line="255" w:lineRule="auto"/>
        <w:rPr>
          <w:sz w:val="20"/>
          <w:szCs w:val="20"/>
          <w:color w:val="auto"/>
        </w:rPr>
      </w:pPr>
      <w:r>
        <w:rPr>
          <w:rFonts w:ascii="Arial" w:cs="Arial" w:eastAsia="Arial" w:hAnsi="Arial"/>
          <w:sz w:val="18"/>
          <w:szCs w:val="18"/>
          <w:color w:val="auto"/>
        </w:rPr>
        <w:t>The grant date fair value of an RSU equals the closing price of our common stock on the grant date. RSUs generally vest equally over four years.</w:t>
      </w:r>
    </w:p>
    <w:p>
      <w:pPr>
        <w:spacing w:after="0" w:line="11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77" w:lineRule="exact"/>
        <w:rPr>
          <w:sz w:val="20"/>
          <w:szCs w:val="20"/>
          <w:color w:val="auto"/>
        </w:rPr>
      </w:pPr>
    </w:p>
    <w:p>
      <w:pPr>
        <w:ind w:right="160" w:firstLine="643"/>
        <w:spacing w:after="0" w:line="255" w:lineRule="auto"/>
        <w:rPr>
          <w:sz w:val="20"/>
          <w:szCs w:val="20"/>
          <w:color w:val="auto"/>
        </w:rPr>
      </w:pPr>
      <w:r>
        <w:rPr>
          <w:rFonts w:ascii="Arial" w:cs="Arial" w:eastAsia="Arial" w:hAnsi="Arial"/>
          <w:sz w:val="18"/>
          <w:szCs w:val="18"/>
          <w:color w:val="auto"/>
        </w:rPr>
        <w:t>Stock-based compensation expense included in the condensed statements of operations and comprehensive loss was as follows (in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6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3"/>
          </w:tcPr>
          <w:p>
            <w:pPr>
              <w:jc w:val="right"/>
              <w:ind w:right="157"/>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860" w:type="dxa"/>
            <w:vAlign w:val="bottom"/>
            <w:tcBorders>
              <w:bottom w:val="single" w:sz="8" w:color="auto"/>
            </w:tcBorders>
          </w:tcPr>
          <w:p>
            <w:pPr>
              <w:spacing w:after="0"/>
              <w:rPr>
                <w:sz w:val="16"/>
                <w:szCs w:val="16"/>
                <w:color w:val="auto"/>
              </w:rPr>
            </w:pPr>
          </w:p>
        </w:tc>
      </w:tr>
      <w:tr>
        <w:trPr>
          <w:trHeight w:val="181"/>
        </w:trPr>
        <w:tc>
          <w:tcPr>
            <w:tcW w:w="26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w w:val="96"/>
              </w:rPr>
              <w:t>2020</w:t>
            </w:r>
          </w:p>
        </w:tc>
      </w:tr>
      <w:tr>
        <w:trPr>
          <w:trHeight w:val="219"/>
        </w:trPr>
        <w:tc>
          <w:tcPr>
            <w:tcW w:w="2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Research and</w:t>
            </w:r>
          </w:p>
        </w:tc>
        <w:tc>
          <w:tcPr>
            <w:tcW w:w="9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43"/>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w:t>
            </w:r>
          </w:p>
        </w:tc>
        <w:tc>
          <w:tcPr>
            <w:tcW w:w="9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8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697"/>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r>
      <w:tr>
        <w:trPr>
          <w:trHeight w:val="239"/>
        </w:trPr>
        <w:tc>
          <w:tcPr>
            <w:tcW w:w="2680" w:type="dxa"/>
            <w:vAlign w:val="bottom"/>
          </w:tcPr>
          <w:p>
            <w:pPr>
              <w:ind w:left="660"/>
              <w:spacing w:after="0"/>
              <w:rPr>
                <w:sz w:val="20"/>
                <w:szCs w:val="20"/>
                <w:color w:val="auto"/>
              </w:rPr>
            </w:pPr>
            <w:r>
              <w:rPr>
                <w:rFonts w:ascii="Arial" w:cs="Arial" w:eastAsia="Arial" w:hAnsi="Arial"/>
                <w:sz w:val="18"/>
                <w:szCs w:val="18"/>
                <w:color w:val="auto"/>
              </w:rPr>
              <w:t>General and</w:t>
            </w:r>
          </w:p>
        </w:tc>
        <w:tc>
          <w:tcPr>
            <w:tcW w:w="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2"/>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administrative</w:t>
            </w:r>
          </w:p>
        </w:tc>
        <w:tc>
          <w:tcPr>
            <w:tcW w:w="9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2,228</w:t>
            </w:r>
          </w:p>
        </w:tc>
        <w:tc>
          <w:tcPr>
            <w:tcW w:w="8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1,323</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9,211</w:t>
            </w:r>
          </w:p>
        </w:tc>
        <w:tc>
          <w:tcPr>
            <w:tcW w:w="8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w:t>
            </w:r>
          </w:p>
        </w:tc>
      </w:tr>
      <w:tr>
        <w:trPr>
          <w:trHeight w:val="220"/>
        </w:trPr>
        <w:tc>
          <w:tcPr>
            <w:tcW w:w="26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Total stock-based</w:t>
            </w:r>
          </w:p>
        </w:tc>
        <w:tc>
          <w:tcPr>
            <w:tcW w:w="9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40"/>
        </w:trPr>
        <w:tc>
          <w:tcPr>
            <w:tcW w:w="2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compensation expense</w:t>
            </w:r>
          </w:p>
        </w:tc>
        <w:tc>
          <w:tcPr>
            <w:tcW w:w="9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4,340</w:t>
            </w:r>
          </w:p>
        </w:tc>
        <w:tc>
          <w:tcPr>
            <w:tcW w:w="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ind w:right="697"/>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2,049</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12,843</w:t>
            </w:r>
          </w:p>
        </w:tc>
        <w:tc>
          <w:tcPr>
            <w:tcW w:w="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3,039</w:t>
            </w: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firstLine="643"/>
        <w:spacing w:after="0" w:line="250" w:lineRule="auto"/>
        <w:rPr>
          <w:sz w:val="20"/>
          <w:szCs w:val="20"/>
          <w:color w:val="auto"/>
        </w:rPr>
      </w:pPr>
      <w:r>
        <w:rPr>
          <w:rFonts w:ascii="Arial" w:cs="Arial" w:eastAsia="Arial" w:hAnsi="Arial"/>
          <w:sz w:val="18"/>
          <w:szCs w:val="18"/>
          <w:color w:val="auto"/>
        </w:rPr>
        <w:t>As of June 30, 2021, there was $50.7 million of total unrecognized compensation cost related to unvested options that are expected to vest, which is expected to be recognized over a weighted-average period of 3.3 years. As of June 30, 2021, there was $7.9 million of total unrecognized compensation cost related to RSUs that is expected to vest, which is expected to be recognized over a weighted-average period of 3.4 years.</w:t>
      </w:r>
    </w:p>
    <w:p>
      <w:pPr>
        <w:spacing w:after="0" w:line="142" w:lineRule="exact"/>
        <w:rPr>
          <w:sz w:val="20"/>
          <w:szCs w:val="20"/>
          <w:color w:val="auto"/>
        </w:rPr>
      </w:pPr>
    </w:p>
    <w:p>
      <w:pPr>
        <w:ind w:right="160" w:firstLine="643"/>
        <w:spacing w:after="0" w:line="252" w:lineRule="auto"/>
        <w:rPr>
          <w:sz w:val="20"/>
          <w:szCs w:val="20"/>
          <w:color w:val="auto"/>
        </w:rPr>
      </w:pPr>
      <w:r>
        <w:rPr>
          <w:rFonts w:ascii="Arial" w:cs="Arial" w:eastAsia="Arial" w:hAnsi="Arial"/>
          <w:sz w:val="18"/>
          <w:szCs w:val="18"/>
          <w:color w:val="auto"/>
        </w:rPr>
        <w:t>In March 2021, in connection with the retirement of the former Chief Financial Officer, the Company modified the terms of this individual’s historical stock awards. As a result of the modifications, the Company recognized approximately $5.3 million of incremental stock compensation expense during the period, which is included in general and administrative expenses.</w:t>
      </w:r>
    </w:p>
    <w:p>
      <w:pPr>
        <w:spacing w:after="0" w:line="125" w:lineRule="exact"/>
        <w:rPr>
          <w:sz w:val="20"/>
          <w:szCs w:val="20"/>
          <w:color w:val="auto"/>
        </w:rPr>
      </w:pPr>
    </w:p>
    <w:p>
      <w:pPr>
        <w:ind w:right="20" w:firstLine="643"/>
        <w:spacing w:after="0" w:line="255" w:lineRule="auto"/>
        <w:rPr>
          <w:sz w:val="20"/>
          <w:szCs w:val="20"/>
          <w:color w:val="auto"/>
        </w:rPr>
      </w:pPr>
      <w:r>
        <w:rPr>
          <w:rFonts w:ascii="Arial" w:cs="Arial" w:eastAsia="Arial" w:hAnsi="Arial"/>
          <w:sz w:val="18"/>
          <w:szCs w:val="18"/>
          <w:color w:val="auto"/>
        </w:rPr>
        <w:t>In determining the fair value of the stock options granted, the Company uses the Black-Scholes option-pricing model and assumptions discussed below. Each of these inputs is subjective and generally requires significant judgment.</w:t>
      </w:r>
    </w:p>
    <w:p>
      <w:pPr>
        <w:spacing w:after="0" w:line="118" w:lineRule="exact"/>
        <w:rPr>
          <w:sz w:val="20"/>
          <w:szCs w:val="20"/>
          <w:color w:val="auto"/>
        </w:rPr>
      </w:pPr>
    </w:p>
    <w:p>
      <w:pPr>
        <w:ind w:left="640" w:right="140" w:firstLine="643"/>
        <w:spacing w:after="0" w:line="267" w:lineRule="auto"/>
        <w:rPr>
          <w:sz w:val="20"/>
          <w:szCs w:val="20"/>
          <w:color w:val="auto"/>
        </w:rPr>
      </w:pPr>
      <w:r>
        <w:rPr>
          <w:rFonts w:ascii="Arial" w:cs="Arial" w:eastAsia="Arial" w:hAnsi="Arial"/>
          <w:sz w:val="17"/>
          <w:szCs w:val="17"/>
          <w:i w:val="1"/>
          <w:iCs w:val="1"/>
          <w:color w:val="auto"/>
        </w:rPr>
        <w:t>Fair value of common stock—</w:t>
      </w:r>
      <w:r>
        <w:rPr>
          <w:rFonts w:ascii="Arial" w:cs="Arial" w:eastAsia="Arial" w:hAnsi="Arial"/>
          <w:sz w:val="17"/>
          <w:szCs w:val="17"/>
          <w:color w:val="auto"/>
        </w:rPr>
        <w:t>For options granted prior to IPO in the year ended December 31, 2019, given the absence of a</w:t>
      </w:r>
      <w:r>
        <w:rPr>
          <w:rFonts w:ascii="Arial" w:cs="Arial" w:eastAsia="Arial" w:hAnsi="Arial"/>
          <w:sz w:val="17"/>
          <w:szCs w:val="17"/>
          <w:i w:val="1"/>
          <w:iCs w:val="1"/>
          <w:color w:val="auto"/>
        </w:rPr>
        <w:t xml:space="preserve"> </w:t>
      </w:r>
      <w:r>
        <w:rPr>
          <w:rFonts w:ascii="Arial" w:cs="Arial" w:eastAsia="Arial" w:hAnsi="Arial"/>
          <w:sz w:val="17"/>
          <w:szCs w:val="17"/>
          <w:color w:val="auto"/>
        </w:rPr>
        <w:t>public trading market, the Company’s board of directors with input from management considered numerous objective and subjective factors to determine the fair value of common stock. The factors included, but were not limited to: (i) third-party valuations of the Company’s common stock; (ii) the Company’s stage of development; (iii) the status of research and development efforts; (iv) the rights, preferences, and privileges of the Company’s convertible preferred stock relative to those of the Company’s common stock;</w:t>
      </w:r>
    </w:p>
    <w:p>
      <w:pPr>
        <w:spacing w:after="0" w:line="2" w:lineRule="exact"/>
        <w:rPr>
          <w:sz w:val="20"/>
          <w:szCs w:val="20"/>
          <w:color w:val="auto"/>
        </w:rPr>
      </w:pPr>
    </w:p>
    <w:p>
      <w:pPr>
        <w:ind w:left="640" w:firstLine="10"/>
        <w:spacing w:after="0" w:line="250" w:lineRule="auto"/>
        <w:tabs>
          <w:tab w:leader="none" w:pos="89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operating results and financial condition, including the Company’s levels of available capital resources; (vi) equity market conditions affecting comparable public companies; (vii) general U.S. market conditions; and (viii) the lack of marketability of the Company’s common stock. For options granted after IPO, the Company uses its closing stock price as reported on Nasdaq on the grant date for the fair value of its stock.</w:t>
      </w:r>
    </w:p>
    <w:p>
      <w:pPr>
        <w:spacing w:after="0" w:line="124" w:lineRule="exact"/>
        <w:rPr>
          <w:sz w:val="20"/>
          <w:szCs w:val="20"/>
          <w:color w:val="auto"/>
        </w:rPr>
      </w:pPr>
    </w:p>
    <w:p>
      <w:pPr>
        <w:ind w:left="640" w:right="120" w:firstLine="643"/>
        <w:spacing w:after="0" w:line="262"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Company’s expected term represents the period that the Company’s stock-based awards are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to be outstanding. The Company used the simplified method (based on the mid-point between the vesting date and the end of the contractual term) to determine the expected term.</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67945</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3" w:lineRule="exact"/>
        <w:rPr>
          <w:sz w:val="20"/>
          <w:szCs w:val="20"/>
          <w:color w:val="auto"/>
        </w:rPr>
      </w:pPr>
    </w:p>
    <w:p>
      <w:pPr>
        <w:ind w:left="640" w:right="160" w:firstLine="643"/>
        <w:spacing w:after="0" w:line="254"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—The Company does not yet have sufficient trading history for its common stock to solely use its own</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volatility. Therefore, the expected volatility was estimated based on a combination of its own historical common stock volatility as well as the average historical volatilities for comparable publicly traded pharmaceutical companies over a period equal to the expected term of the stock option grants. The comparable companies were chosen based on their similar size, stage in the life cycle, and area of specialty. The Company will continue to apply this process until a sufficient amount of historical information regarding the volatility of its own stock price becomes available.</w:t>
      </w:r>
    </w:p>
    <w:p>
      <w:pPr>
        <w:spacing w:after="0" w:line="105" w:lineRule="exact"/>
        <w:rPr>
          <w:sz w:val="20"/>
          <w:szCs w:val="20"/>
          <w:color w:val="auto"/>
        </w:rPr>
      </w:pPr>
    </w:p>
    <w:p>
      <w:pPr>
        <w:ind w:left="640" w:right="180" w:firstLine="643"/>
        <w:spacing w:after="0" w:line="276"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for periods corresponding with the expected term of option.</w:t>
      </w:r>
    </w:p>
    <w:p>
      <w:pPr>
        <w:spacing w:after="0" w:line="100" w:lineRule="exact"/>
        <w:rPr>
          <w:sz w:val="20"/>
          <w:szCs w:val="20"/>
          <w:color w:val="auto"/>
        </w:rPr>
      </w:pPr>
    </w:p>
    <w:p>
      <w:pPr>
        <w:ind w:left="640" w:right="580" w:firstLine="643"/>
        <w:spacing w:after="0" w:line="276" w:lineRule="auto"/>
        <w:rPr>
          <w:sz w:val="20"/>
          <w:szCs w:val="20"/>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—The Company has never paid dividends on its common stock and has no plans to pay dividends on its</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Therefore, the Company used an expected dividend yield of zero.</w:t>
      </w:r>
    </w:p>
    <w:p>
      <w:pPr>
        <w:spacing w:after="0" w:line="118" w:lineRule="exact"/>
        <w:rPr>
          <w:sz w:val="20"/>
          <w:szCs w:val="20"/>
          <w:color w:val="auto"/>
        </w:rPr>
      </w:pPr>
    </w:p>
    <w:p>
      <w:pPr>
        <w:ind w:right="160" w:firstLine="643"/>
        <w:spacing w:after="0" w:line="255" w:lineRule="auto"/>
        <w:rPr>
          <w:sz w:val="20"/>
          <w:szCs w:val="20"/>
          <w:color w:val="auto"/>
        </w:rPr>
      </w:pPr>
      <w:r>
        <w:rPr>
          <w:rFonts w:ascii="Arial" w:cs="Arial" w:eastAsia="Arial" w:hAnsi="Arial"/>
          <w:sz w:val="18"/>
          <w:szCs w:val="18"/>
          <w:color w:val="auto"/>
        </w:rPr>
        <w:t>The fair value of stock option awards granted was estimated at the date of grant using a Black-Scholes option-pricing model with the following assumptions: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2020" w:type="dxa"/>
            <w:vAlign w:val="bottom"/>
            <w:gridSpan w:val="3"/>
          </w:tcPr>
          <w:p>
            <w:pPr>
              <w:ind w:left="660"/>
              <w:spacing w:after="0"/>
              <w:rPr>
                <w:sz w:val="20"/>
                <w:szCs w:val="20"/>
                <w:color w:val="auto"/>
              </w:rPr>
            </w:pPr>
            <w:r>
              <w:rPr>
                <w:rFonts w:ascii="Arial" w:cs="Arial" w:eastAsia="Arial" w:hAnsi="Arial"/>
                <w:sz w:val="14"/>
                <w:szCs w:val="14"/>
                <w:b w:val="1"/>
                <w:bCs w:val="1"/>
                <w:color w:val="auto"/>
              </w:rPr>
              <w:t>Six Months Ended</w:t>
            </w:r>
          </w:p>
        </w:tc>
        <w:tc>
          <w:tcPr>
            <w:tcW w:w="1920" w:type="dxa"/>
            <w:vAlign w:val="bottom"/>
            <w:gridSpan w:val="2"/>
          </w:tcPr>
          <w:p>
            <w:pPr>
              <w:ind w:left="900"/>
              <w:spacing w:after="0"/>
              <w:rPr>
                <w:sz w:val="20"/>
                <w:szCs w:val="20"/>
                <w:color w:val="auto"/>
              </w:rPr>
            </w:pPr>
            <w:r>
              <w:rPr>
                <w:rFonts w:ascii="Arial" w:cs="Arial" w:eastAsia="Arial" w:hAnsi="Arial"/>
                <w:sz w:val="14"/>
                <w:szCs w:val="14"/>
                <w:b w:val="1"/>
                <w:bCs w:val="1"/>
                <w:color w:val="auto"/>
              </w:rPr>
              <w:t>Year Ended</w:t>
            </w:r>
          </w:p>
        </w:tc>
      </w:tr>
      <w:tr>
        <w:trPr>
          <w:trHeight w:val="174"/>
        </w:trPr>
        <w:tc>
          <w:tcPr>
            <w:tcW w:w="7300" w:type="dxa"/>
            <w:vAlign w:val="bottom"/>
            <w:tcBorders>
              <w:bottom w:val="single" w:sz="8" w:color="CCEEFF"/>
            </w:tcBorders>
          </w:tcPr>
          <w:p>
            <w:pPr>
              <w:spacing w:after="0"/>
              <w:rPr>
                <w:sz w:val="15"/>
                <w:szCs w:val="15"/>
                <w:color w:val="auto"/>
              </w:rPr>
            </w:pPr>
          </w:p>
        </w:tc>
        <w:tc>
          <w:tcPr>
            <w:tcW w:w="192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Borders>
              <w:bottom w:val="single" w:sz="8" w:color="CCEEFF"/>
            </w:tcBorders>
          </w:tcPr>
          <w:p>
            <w:pPr>
              <w:spacing w:after="0"/>
              <w:rPr>
                <w:sz w:val="15"/>
                <w:szCs w:val="15"/>
                <w:color w:val="auto"/>
              </w:rPr>
            </w:pPr>
          </w:p>
        </w:tc>
        <w:tc>
          <w:tcPr>
            <w:tcW w:w="192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December 31, 2020</w:t>
            </w:r>
          </w:p>
        </w:tc>
      </w:tr>
      <w:tr>
        <w:trPr>
          <w:trHeight w:val="248"/>
        </w:trPr>
        <w:tc>
          <w:tcPr>
            <w:tcW w:w="7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Expected term (in years)</w:t>
            </w:r>
          </w:p>
        </w:tc>
        <w:tc>
          <w:tcPr>
            <w:tcW w:w="2020" w:type="dxa"/>
            <w:vAlign w:val="bottom"/>
            <w:gridSpan w:val="3"/>
            <w:shd w:val="clear" w:color="auto" w:fill="CCEEFF"/>
          </w:tcPr>
          <w:p>
            <w:pPr>
              <w:jc w:val="center"/>
              <w:ind w:left="478"/>
              <w:spacing w:after="0"/>
              <w:rPr>
                <w:sz w:val="20"/>
                <w:szCs w:val="20"/>
                <w:color w:val="auto"/>
              </w:rPr>
            </w:pPr>
            <w:r>
              <w:rPr>
                <w:rFonts w:ascii="Arial" w:cs="Arial" w:eastAsia="Arial" w:hAnsi="Arial"/>
                <w:sz w:val="18"/>
                <w:szCs w:val="18"/>
                <w:color w:val="auto"/>
                <w:w w:val="99"/>
              </w:rPr>
              <w:t>5.5 – 6.1</w:t>
            </w:r>
          </w:p>
        </w:tc>
        <w:tc>
          <w:tcPr>
            <w:tcW w:w="1920" w:type="dxa"/>
            <w:vAlign w:val="bottom"/>
            <w:gridSpan w:val="2"/>
            <w:shd w:val="clear" w:color="auto" w:fill="CCEEFF"/>
          </w:tcPr>
          <w:p>
            <w:pPr>
              <w:jc w:val="center"/>
              <w:ind w:left="578"/>
              <w:spacing w:after="0"/>
              <w:rPr>
                <w:sz w:val="20"/>
                <w:szCs w:val="20"/>
                <w:color w:val="auto"/>
              </w:rPr>
            </w:pPr>
            <w:r>
              <w:rPr>
                <w:rFonts w:ascii="Arial" w:cs="Arial" w:eastAsia="Arial" w:hAnsi="Arial"/>
                <w:sz w:val="18"/>
                <w:szCs w:val="18"/>
                <w:color w:val="auto"/>
                <w:w w:val="99"/>
              </w:rPr>
              <w:t>5.5 – 6.8</w:t>
            </w:r>
          </w:p>
        </w:tc>
      </w:tr>
      <w:tr>
        <w:trPr>
          <w:trHeight w:val="267"/>
        </w:trPr>
        <w:tc>
          <w:tcPr>
            <w:tcW w:w="7300" w:type="dxa"/>
            <w:vAlign w:val="bottom"/>
          </w:tcPr>
          <w:p>
            <w:pPr>
              <w:ind w:left="660"/>
              <w:spacing w:after="0"/>
              <w:rPr>
                <w:sz w:val="20"/>
                <w:szCs w:val="20"/>
                <w:color w:val="auto"/>
              </w:rPr>
            </w:pPr>
            <w:r>
              <w:rPr>
                <w:rFonts w:ascii="Arial" w:cs="Arial" w:eastAsia="Arial" w:hAnsi="Arial"/>
                <w:sz w:val="18"/>
                <w:szCs w:val="18"/>
                <w:color w:val="auto"/>
              </w:rPr>
              <w:t>Expected volatility</w:t>
            </w:r>
          </w:p>
        </w:tc>
        <w:tc>
          <w:tcPr>
            <w:tcW w:w="1100" w:type="dxa"/>
            <w:vAlign w:val="bottom"/>
          </w:tcPr>
          <w:p>
            <w:pPr>
              <w:jc w:val="right"/>
              <w:spacing w:after="0"/>
              <w:rPr>
                <w:sz w:val="20"/>
                <w:szCs w:val="20"/>
                <w:color w:val="auto"/>
              </w:rPr>
            </w:pPr>
            <w:r>
              <w:rPr>
                <w:rFonts w:ascii="Arial" w:cs="Arial" w:eastAsia="Arial" w:hAnsi="Arial"/>
                <w:sz w:val="18"/>
                <w:szCs w:val="18"/>
                <w:color w:val="auto"/>
              </w:rPr>
              <w:t>82.2</w:t>
            </w: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 85.2%</w:t>
            </w:r>
          </w:p>
        </w:tc>
        <w:tc>
          <w:tcPr>
            <w:tcW w:w="1120" w:type="dxa"/>
            <w:vAlign w:val="bottom"/>
          </w:tcPr>
          <w:p>
            <w:pPr>
              <w:jc w:val="right"/>
              <w:spacing w:after="0"/>
              <w:rPr>
                <w:sz w:val="20"/>
                <w:szCs w:val="20"/>
                <w:color w:val="auto"/>
              </w:rPr>
            </w:pPr>
            <w:r>
              <w:rPr>
                <w:rFonts w:ascii="Arial" w:cs="Arial" w:eastAsia="Arial" w:hAnsi="Arial"/>
                <w:sz w:val="18"/>
                <w:szCs w:val="18"/>
                <w:color w:val="auto"/>
              </w:rPr>
              <w:t>78.4</w:t>
            </w:r>
          </w:p>
        </w:tc>
        <w:tc>
          <w:tcPr>
            <w:tcW w:w="800" w:type="dxa"/>
            <w:vAlign w:val="bottom"/>
          </w:tcPr>
          <w:p>
            <w:pPr>
              <w:ind w:left="40"/>
              <w:spacing w:after="0"/>
              <w:rPr>
                <w:sz w:val="20"/>
                <w:szCs w:val="20"/>
                <w:color w:val="auto"/>
              </w:rPr>
            </w:pPr>
            <w:r>
              <w:rPr>
                <w:rFonts w:ascii="Arial" w:cs="Arial" w:eastAsia="Arial" w:hAnsi="Arial"/>
                <w:sz w:val="18"/>
                <w:szCs w:val="18"/>
                <w:color w:val="auto"/>
              </w:rPr>
              <w:t>– 80.8%</w:t>
            </w:r>
          </w:p>
        </w:tc>
      </w:tr>
      <w:tr>
        <w:trPr>
          <w:trHeight w:val="269"/>
        </w:trPr>
        <w:tc>
          <w:tcPr>
            <w:tcW w:w="7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Risk-free interest rate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1.1%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1.4%</w:t>
            </w:r>
          </w:p>
        </w:tc>
      </w:tr>
      <w:tr>
        <w:trPr>
          <w:trHeight w:val="266"/>
        </w:trPr>
        <w:tc>
          <w:tcPr>
            <w:tcW w:w="7300" w:type="dxa"/>
            <w:vAlign w:val="bottom"/>
          </w:tcPr>
          <w:p>
            <w:pPr>
              <w:ind w:left="660"/>
              <w:spacing w:after="0"/>
              <w:rPr>
                <w:sz w:val="20"/>
                <w:szCs w:val="20"/>
                <w:color w:val="auto"/>
              </w:rPr>
            </w:pPr>
            <w:r>
              <w:rPr>
                <w:rFonts w:ascii="Arial" w:cs="Arial" w:eastAsia="Arial" w:hAnsi="Arial"/>
                <w:sz w:val="18"/>
                <w:szCs w:val="18"/>
                <w:color w:val="auto"/>
              </w:rPr>
              <w:t>Dividend yield</w:t>
            </w:r>
          </w:p>
        </w:tc>
        <w:tc>
          <w:tcPr>
            <w:tcW w:w="1100" w:type="dxa"/>
            <w:vAlign w:val="bottom"/>
          </w:tcPr>
          <w:p>
            <w:pPr>
              <w:spacing w:after="0"/>
              <w:rPr>
                <w:sz w:val="23"/>
                <w:szCs w:val="23"/>
                <w:color w:val="auto"/>
              </w:rPr>
            </w:pPr>
          </w:p>
        </w:tc>
        <w:tc>
          <w:tcPr>
            <w:tcW w:w="920" w:type="dxa"/>
            <w:vAlign w:val="bottom"/>
            <w:gridSpan w:val="2"/>
          </w:tcPr>
          <w:p>
            <w:pPr>
              <w:jc w:val="center"/>
              <w:ind w:right="540"/>
              <w:spacing w:after="0"/>
              <w:rPr>
                <w:sz w:val="20"/>
                <w:szCs w:val="20"/>
                <w:color w:val="auto"/>
              </w:rPr>
            </w:pPr>
            <w:r>
              <w:rPr>
                <w:rFonts w:ascii="Arial" w:cs="Arial" w:eastAsia="Arial" w:hAnsi="Arial"/>
                <w:sz w:val="18"/>
                <w:szCs w:val="18"/>
                <w:color w:val="auto"/>
                <w:w w:val="99"/>
              </w:rPr>
              <w:t>—%</w:t>
            </w:r>
          </w:p>
        </w:tc>
        <w:tc>
          <w:tcPr>
            <w:tcW w:w="1120" w:type="dxa"/>
            <w:vAlign w:val="bottom"/>
          </w:tcPr>
          <w:p>
            <w:pPr>
              <w:spacing w:after="0"/>
              <w:rPr>
                <w:sz w:val="23"/>
                <w:szCs w:val="23"/>
                <w:color w:val="auto"/>
              </w:rPr>
            </w:pPr>
          </w:p>
        </w:tc>
        <w:tc>
          <w:tcPr>
            <w:tcW w:w="800" w:type="dxa"/>
            <w:vAlign w:val="bottom"/>
          </w:tcPr>
          <w:p>
            <w:pPr>
              <w:jc w:val="center"/>
              <w:ind w:right="371"/>
              <w:spacing w:after="0"/>
              <w:rPr>
                <w:sz w:val="20"/>
                <w:szCs w:val="20"/>
                <w:color w:val="auto"/>
              </w:rPr>
            </w:pPr>
            <w:r>
              <w:rPr>
                <w:rFonts w:ascii="Arial" w:cs="Arial" w:eastAsia="Arial" w:hAnsi="Arial"/>
                <w:sz w:val="18"/>
                <w:szCs w:val="18"/>
                <w:color w:val="auto"/>
                <w:w w:val="99"/>
              </w:rPr>
              <w:t>—%</w:t>
            </w:r>
          </w:p>
        </w:tc>
      </w:tr>
    </w:tbl>
    <w:p>
      <w:pPr>
        <w:spacing w:after="0" w:line="20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Early Exercise of Employee Options</w:t>
      </w:r>
    </w:p>
    <w:p>
      <w:pPr>
        <w:spacing w:after="0" w:line="177" w:lineRule="exact"/>
        <w:rPr>
          <w:sz w:val="20"/>
          <w:szCs w:val="20"/>
          <w:color w:val="auto"/>
        </w:rPr>
      </w:pPr>
    </w:p>
    <w:p>
      <w:pPr>
        <w:ind w:right="140" w:firstLine="643"/>
        <w:spacing w:after="0" w:line="265" w:lineRule="auto"/>
        <w:rPr>
          <w:sz w:val="20"/>
          <w:szCs w:val="20"/>
          <w:color w:val="auto"/>
        </w:rPr>
      </w:pPr>
      <w:r>
        <w:rPr>
          <w:rFonts w:ascii="Arial" w:cs="Arial" w:eastAsia="Arial" w:hAnsi="Arial"/>
          <w:sz w:val="17"/>
          <w:szCs w:val="17"/>
          <w:color w:val="auto"/>
        </w:rPr>
        <w:t>The terms of the 2017 and 2020 Plans permit certain option holders to exercise options before their options are vested, subject to certain limitations. Upon early exercise, the awards become subject to a restricted stock agreement. The shares of restricted stock granted upon early exercise of the options are subject to the same vesting provisions in the original stock option awards. Shares issued as a result of early exercise that have not vested are subject to repurchase by the Company upon termination of the purchaser’s employment, at the price paid by the purchaser. While such shares have been issued, they are not considered outstanding for accounting purposes until they vest and are therefore excluded from shares used in determining loss per share until the repurchase right lapses and the shares are no longer subject to the repurchase feature. The liability is reclassified into common stock and additional paid-in capital as the shares vest and the repurchase right lapses. Accordingly, the Company has recorded the unvested portion of the exercise proceeds of $155,000 and $258,000 as a liability from the early exercise in the accompanying condensed balance sheets as of June 30, 2021 and December 31, 2020, respectively. As of June 30, 2021 and December 31, 2020, there were $130,000 and $176,000 recorded in accrued liabilities, respectively, and $25,000 and $82,000 recorded in other long-term liabilities, respectively related to shares that were subject to repurchase.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Founder Awards</w:t>
      </w:r>
    </w:p>
    <w:p>
      <w:pPr>
        <w:spacing w:after="0" w:line="163" w:lineRule="exact"/>
        <w:rPr>
          <w:sz w:val="20"/>
          <w:szCs w:val="20"/>
          <w:color w:val="auto"/>
        </w:rPr>
      </w:pPr>
    </w:p>
    <w:p>
      <w:pPr>
        <w:ind w:right="40" w:firstLine="643"/>
        <w:spacing w:after="0" w:line="249" w:lineRule="auto"/>
        <w:rPr>
          <w:sz w:val="20"/>
          <w:szCs w:val="20"/>
          <w:color w:val="auto"/>
        </w:rPr>
      </w:pPr>
      <w:r>
        <w:rPr>
          <w:rFonts w:ascii="Arial" w:cs="Arial" w:eastAsia="Arial" w:hAnsi="Arial"/>
          <w:sz w:val="18"/>
          <w:szCs w:val="18"/>
          <w:color w:val="auto"/>
        </w:rPr>
        <w:t>In August 2016, the Company issued 1,187,738 shares of restricted common stock to founders, of which 1,102,903 shares would vest under a service condition, and 84,835 shares would vest under a performance condition. The shares were issued under the terms of the respective restricted stock purchase agreements, or the Stock Purchase Agreement, and unvested shares were subject to repurchase by the Company at the original purchase price per share upon the holder’s termination of his relationship with the Company. The restricted shares were not considered outstanding for accounting purposes until they vested and are therefore excluded from shares used in determining loss per share until the repurchase right lapses and the shares are no longer subject to the repurchase feature. One-fourth of the 1,102,903 shares of restricted common stock were vested on the first-anniversary date and the remaining 827,177 shares vested on a monthly basis thereafter. All shares of restricted stock subject to the award were vested as of June 30, 2020.</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77" w:lineRule="exact"/>
        <w:rPr>
          <w:sz w:val="20"/>
          <w:szCs w:val="20"/>
          <w:color w:val="auto"/>
        </w:rPr>
      </w:pPr>
    </w:p>
    <w:p>
      <w:pPr>
        <w:ind w:right="280" w:firstLine="643"/>
        <w:spacing w:after="0" w:line="249" w:lineRule="auto"/>
        <w:rPr>
          <w:sz w:val="20"/>
          <w:szCs w:val="20"/>
          <w:color w:val="auto"/>
        </w:rPr>
      </w:pPr>
      <w:r>
        <w:rPr>
          <w:rFonts w:ascii="Arial" w:cs="Arial" w:eastAsia="Arial" w:hAnsi="Arial"/>
          <w:sz w:val="18"/>
          <w:szCs w:val="18"/>
          <w:color w:val="auto"/>
        </w:rPr>
        <w:t>The Company adopted the 2020 Employee Stock Purchase Plan, or the ESPP, which became effective on January 30, 2020 in connection with the IPO. The ESPP is designed to allow the Company’s eligible employees to purchase shares of the Company’s common stock, at semi-annual intervals, with their accumulated payroll deductions. Under the ESPP, participants are offered the option to purchase shares of the Company’s common stock at a discount during a series of successive offering periods. The option purchase price will be the lower of 85% of the closing trading price per share of the Company’s common stock on the first trading date of an offering period in which a participant is enrolled or 85% of the closing trading price per share on the purchase date, which will occur on the last trading day of each offering period.</w:t>
      </w:r>
    </w:p>
    <w:p>
      <w:pPr>
        <w:spacing w:after="0" w:line="130" w:lineRule="exact"/>
        <w:rPr>
          <w:sz w:val="20"/>
          <w:szCs w:val="20"/>
          <w:color w:val="auto"/>
        </w:rPr>
      </w:pPr>
    </w:p>
    <w:p>
      <w:pPr>
        <w:ind w:right="20" w:firstLine="643"/>
        <w:spacing w:after="0" w:line="249" w:lineRule="auto"/>
        <w:rPr>
          <w:sz w:val="20"/>
          <w:szCs w:val="20"/>
          <w:color w:val="auto"/>
        </w:rPr>
      </w:pPr>
      <w:r>
        <w:rPr>
          <w:rFonts w:ascii="Arial" w:cs="Arial" w:eastAsia="Arial" w:hAnsi="Arial"/>
          <w:sz w:val="18"/>
          <w:szCs w:val="18"/>
          <w:color w:val="auto"/>
        </w:rPr>
        <w:t>The ESPP is intended to qualify under Section 423 of the U.S. Internal Revenue Service Code of 1986, as amended. The maximum number of the Company’s common stock which will be authorized for sale under the ESPP is equal to the sum of (a) 351,000 shares of common stock and (b) an annual increase on the first day of each year beginning in 2021 and ending in 2030, equal to the lesser of (i) 1% of the shares of common stock outstanding (on an as converted basis) on the last day of the immediately preceding fiscal year and (ii) such number of shares of common stock as determined by the Company’s board of directors; provided, however, no more than 5,265,000 shares of the Company’s common stock may be issued under the ESPP. Accordingly, on January 1, 2021, the ESPP reserve increased by 436,778 shares.</w:t>
      </w:r>
    </w:p>
    <w:p>
      <w:pPr>
        <w:spacing w:after="0" w:line="144" w:lineRule="exact"/>
        <w:rPr>
          <w:sz w:val="20"/>
          <w:szCs w:val="20"/>
          <w:color w:val="auto"/>
        </w:rPr>
      </w:pPr>
    </w:p>
    <w:p>
      <w:pPr>
        <w:ind w:firstLine="643"/>
        <w:spacing w:after="0" w:line="249" w:lineRule="auto"/>
        <w:rPr>
          <w:sz w:val="20"/>
          <w:szCs w:val="20"/>
          <w:color w:val="auto"/>
        </w:rPr>
      </w:pPr>
      <w:r>
        <w:rPr>
          <w:rFonts w:ascii="Arial" w:cs="Arial" w:eastAsia="Arial" w:hAnsi="Arial"/>
          <w:sz w:val="18"/>
          <w:szCs w:val="18"/>
          <w:color w:val="auto"/>
        </w:rPr>
        <w:t>The Company commenced an offering period on January 31, 2020, which ended on May 31, 2020, and resulted in 19,862 shares of stock being issued under the ESPP. The Company also commenced an offering period on June 1, 2020, which ended on November 30, 2020, and resulted in 14,326 shares of stock being issued under the ESPP. In addition, the Company commenced an offering period on December 1, 2020, which ended on May 31, 2021, and resulted in 22,658 shares of stock being issued under the ESPP. Stock-based compensation expense related to the ESPP was $99,000 and $216,000 for the three and six months ended June 30, 2021, respectively, and $94,000 and $161,000 for the three and six months ended June 30, 2020,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Net Loss Per Share</w:t>
      </w:r>
    </w:p>
    <w:p>
      <w:pPr>
        <w:spacing w:after="0" w:line="163" w:lineRule="exact"/>
        <w:rPr>
          <w:sz w:val="20"/>
          <w:szCs w:val="20"/>
          <w:color w:val="auto"/>
        </w:rPr>
      </w:pPr>
    </w:p>
    <w:p>
      <w:pPr>
        <w:ind w:right="480" w:firstLine="643"/>
        <w:spacing w:after="0" w:line="255" w:lineRule="auto"/>
        <w:rPr>
          <w:sz w:val="20"/>
          <w:szCs w:val="20"/>
          <w:color w:val="auto"/>
        </w:rPr>
      </w:pPr>
      <w:r>
        <w:rPr>
          <w:rFonts w:ascii="Arial" w:cs="Arial" w:eastAsia="Arial" w:hAnsi="Arial"/>
          <w:sz w:val="18"/>
          <w:szCs w:val="18"/>
          <w:color w:val="auto"/>
        </w:rPr>
        <w:t>The following outstanding potentially dilutive shares have been excluded from the calculation of diluted net loss per share for the periods presented due to their anti-dilutive effect: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40" w:type="dxa"/>
            <w:vAlign w:val="bottom"/>
          </w:tcPr>
          <w:p>
            <w:pPr>
              <w:spacing w:after="0"/>
              <w:rPr>
                <w:sz w:val="16"/>
                <w:szCs w:val="16"/>
                <w:color w:val="auto"/>
              </w:rPr>
            </w:pPr>
          </w:p>
        </w:tc>
        <w:tc>
          <w:tcPr>
            <w:tcW w:w="3300" w:type="dxa"/>
            <w:vAlign w:val="bottom"/>
            <w:tcBorders>
              <w:bottom w:val="single" w:sz="8" w:color="auto"/>
            </w:tcBorders>
            <w:gridSpan w:val="3"/>
          </w:tcPr>
          <w:p>
            <w:pPr>
              <w:jc w:val="right"/>
              <w:ind w:right="754"/>
              <w:spacing w:after="0"/>
              <w:rPr>
                <w:sz w:val="20"/>
                <w:szCs w:val="20"/>
                <w:color w:val="auto"/>
              </w:rPr>
            </w:pPr>
            <w:r>
              <w:rPr>
                <w:rFonts w:ascii="Arial" w:cs="Arial" w:eastAsia="Arial" w:hAnsi="Arial"/>
                <w:sz w:val="14"/>
                <w:szCs w:val="14"/>
                <w:b w:val="1"/>
                <w:bCs w:val="1"/>
                <w:color w:val="auto"/>
              </w:rPr>
              <w:t>As of June 30,</w:t>
            </w:r>
          </w:p>
        </w:tc>
      </w:tr>
      <w:tr>
        <w:trPr>
          <w:trHeight w:val="181"/>
        </w:trPr>
        <w:tc>
          <w:tcPr>
            <w:tcW w:w="794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2020</w:t>
            </w:r>
          </w:p>
        </w:tc>
      </w:tr>
      <w:tr>
        <w:trPr>
          <w:trHeight w:val="221"/>
        </w:trPr>
        <w:tc>
          <w:tcPr>
            <w:tcW w:w="7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Stock options to purchase common stock</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5,073,312</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3,244,771</w:t>
            </w:r>
          </w:p>
        </w:tc>
      </w:tr>
      <w:tr>
        <w:trPr>
          <w:trHeight w:val="227"/>
        </w:trPr>
        <w:tc>
          <w:tcPr>
            <w:tcW w:w="7940" w:type="dxa"/>
            <w:vAlign w:val="bottom"/>
          </w:tcPr>
          <w:p>
            <w:pPr>
              <w:ind w:left="660"/>
              <w:spacing w:after="0"/>
              <w:rPr>
                <w:sz w:val="20"/>
                <w:szCs w:val="20"/>
                <w:color w:val="auto"/>
              </w:rPr>
            </w:pPr>
            <w:r>
              <w:rPr>
                <w:rFonts w:ascii="Arial" w:cs="Arial" w:eastAsia="Arial" w:hAnsi="Arial"/>
                <w:sz w:val="18"/>
                <w:szCs w:val="18"/>
                <w:color w:val="auto"/>
              </w:rPr>
              <w:t>Early exercised options subject to future vesting</w:t>
            </w:r>
          </w:p>
        </w:tc>
        <w:tc>
          <w:tcPr>
            <w:tcW w:w="1600" w:type="dxa"/>
            <w:vAlign w:val="bottom"/>
          </w:tcPr>
          <w:p>
            <w:pPr>
              <w:jc w:val="right"/>
              <w:spacing w:after="0"/>
              <w:rPr>
                <w:sz w:val="20"/>
                <w:szCs w:val="20"/>
                <w:color w:val="auto"/>
              </w:rPr>
            </w:pPr>
            <w:r>
              <w:rPr>
                <w:rFonts w:ascii="Arial" w:cs="Arial" w:eastAsia="Arial" w:hAnsi="Arial"/>
                <w:sz w:val="18"/>
                <w:szCs w:val="18"/>
                <w:color w:val="auto"/>
              </w:rPr>
              <w:t>185,834</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499,235</w:t>
            </w:r>
          </w:p>
        </w:tc>
      </w:tr>
      <w:tr>
        <w:trPr>
          <w:trHeight w:val="228"/>
        </w:trPr>
        <w:tc>
          <w:tcPr>
            <w:tcW w:w="7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RSU's subject to future vesting</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314,468</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130,060</w:t>
            </w:r>
          </w:p>
        </w:tc>
      </w:tr>
      <w:tr>
        <w:trPr>
          <w:trHeight w:val="227"/>
        </w:trPr>
        <w:tc>
          <w:tcPr>
            <w:tcW w:w="79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ESPP shares subject to future issuance</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8,074</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5,933</w:t>
            </w:r>
          </w:p>
        </w:tc>
      </w:tr>
      <w:tr>
        <w:trPr>
          <w:trHeight w:val="246"/>
        </w:trPr>
        <w:tc>
          <w:tcPr>
            <w:tcW w:w="794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5,581,688</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3,879,999</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ind w:firstLine="643"/>
        <w:spacing w:after="0" w:line="250"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unaudited condensed financial statements and related notes appearing elsewhere in this Quarterly Report on Form 10-Q, and the audited financial statements and notes thereto as of and for the year ended December 31, 2020 and the related Management's Discussion and Analysis of Financial Condition and Results of Operations, both of which are contained in our Annual Report on Form 10-K for the year ended December 31, 2020, which has been filed with the Securities and Exchange Commission (SEC). Some of the information contained in this discussion and analysis or set forth elsewhere in this Quarterly Report on Form 10-Q, including information with respect to our plans, objectives, expectations, projections, and strategy for our business, includes forward-looking statements that involve risks and uncertainties. These statements are often identified by the use of words such as “may,” “will,” “expect,” “believe,” “anticipate,” “intend,” “could,” “should,” “estimate,” or “continue,” and similar expressions or variations. Such forward-looking statements are subject to risks, uncertainties, and other factors that could cause actual results and the timing of certain events to differ materially from future results expressed or implied by such forward-looking statements. As a result of many factors, including those factors identified below and those set forth in the “Risk Factors” section of this Quarterly Report on Form 10-Q, our actual results and the timing of selected events could differ materially from the forward-looking statements contained in the following discussion and analysis.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163" w:lineRule="exact"/>
        <w:rPr>
          <w:sz w:val="20"/>
          <w:szCs w:val="20"/>
          <w:color w:val="auto"/>
        </w:rPr>
      </w:pPr>
    </w:p>
    <w:p>
      <w:pPr>
        <w:ind w:firstLine="643"/>
        <w:spacing w:after="0" w:line="266" w:lineRule="auto"/>
        <w:rPr>
          <w:sz w:val="20"/>
          <w:szCs w:val="20"/>
          <w:color w:val="auto"/>
        </w:rPr>
      </w:pPr>
      <w:r>
        <w:rPr>
          <w:rFonts w:ascii="Arial" w:cs="Arial" w:eastAsia="Arial" w:hAnsi="Arial"/>
          <w:sz w:val="17"/>
          <w:szCs w:val="17"/>
          <w:color w:val="auto"/>
        </w:rPr>
        <w:t>We are a late-stage biopharmaceutical company focused on developing meaningful innovations to address the urgent needs of patients living with immune-mediated dermatological diseases and conditions, or immuno-dermatology. Our current portfolio is comprised of highly differentiated topical treatments with significant potential to treat immune-mediated dermatological diseases and conditions. We believe we have built the industry's leading platform for dermatologic product development. Our strategy is to focus on validated biological targets, and to use our platform and deep dermatology expertise to develop differentiated products that have the potential to address the major shortcomings of existing therapies in our targeted indications. We believe this strategy uniquely positions us to rapidly progress towards our goal of bridging the treatment innovation gap in dermatology, while maximizing our probability of technical success and financial resources.</w:t>
      </w:r>
    </w:p>
    <w:p>
      <w:pPr>
        <w:spacing w:after="0" w:line="130" w:lineRule="exact"/>
        <w:rPr>
          <w:sz w:val="20"/>
          <w:szCs w:val="20"/>
          <w:color w:val="auto"/>
        </w:rPr>
      </w:pPr>
    </w:p>
    <w:p>
      <w:pPr>
        <w:ind w:right="20" w:firstLine="643"/>
        <w:spacing w:after="0" w:line="249" w:lineRule="auto"/>
        <w:rPr>
          <w:sz w:val="20"/>
          <w:szCs w:val="20"/>
          <w:color w:val="auto"/>
        </w:rPr>
      </w:pPr>
      <w:r>
        <w:rPr>
          <w:rFonts w:ascii="Arial" w:cs="Arial" w:eastAsia="Arial" w:hAnsi="Arial"/>
          <w:sz w:val="18"/>
          <w:szCs w:val="18"/>
          <w:color w:val="auto"/>
        </w:rPr>
        <w:t>Our lead product candidate, roflumilast cream, has successfully completed pivotal Phase 3 clinical trials in plaque psoriasis. We are currently preparing a New Drug Application (NDA), with a submission to the FDA expected late in the third quarter or early in the fourth quarter of 2021. Roflumilast cream is a highly potent and selective phosphodiesterase type 4 (PDE4) inhibitor, an established biological target in dermatology, with multiple PDE4 inhibitors approved by the FDA for dermatological conditions. We are developing roflumilast cream for the treatment of plaque psoriasis, including psoriasis in intertriginous regions such as the groin, axillae, and inframammary areas, as well as atopic dermatitis. We have also successfully completed a long-term safety study of roflumilast cream in plaque psoriasis patients.</w:t>
      </w:r>
    </w:p>
    <w:p>
      <w:pPr>
        <w:spacing w:after="0" w:line="144" w:lineRule="exact"/>
        <w:rPr>
          <w:sz w:val="20"/>
          <w:szCs w:val="20"/>
          <w:color w:val="auto"/>
        </w:rPr>
      </w:pPr>
    </w:p>
    <w:p>
      <w:pPr>
        <w:ind w:right="800" w:firstLine="643"/>
        <w:spacing w:after="0" w:line="255" w:lineRule="auto"/>
        <w:rPr>
          <w:sz w:val="20"/>
          <w:szCs w:val="20"/>
          <w:color w:val="auto"/>
        </w:rPr>
      </w:pPr>
      <w:r>
        <w:rPr>
          <w:rFonts w:ascii="Arial" w:cs="Arial" w:eastAsia="Arial" w:hAnsi="Arial"/>
          <w:sz w:val="18"/>
          <w:szCs w:val="18"/>
          <w:color w:val="auto"/>
        </w:rPr>
        <w:t>Additionally, we have completed a Phase 2 proof of concept study of roflumilast cream in atopic dermatitis, and enrollment is underway in pivotal Phase 3 clinical trials, with topline data expected in the second half of 2022.</w:t>
      </w:r>
    </w:p>
    <w:p>
      <w:pPr>
        <w:spacing w:after="0" w:line="123" w:lineRule="exact"/>
        <w:rPr>
          <w:sz w:val="20"/>
          <w:szCs w:val="20"/>
          <w:color w:val="auto"/>
        </w:rPr>
      </w:pPr>
    </w:p>
    <w:p>
      <w:pPr>
        <w:ind w:firstLine="643"/>
        <w:spacing w:after="0" w:line="250" w:lineRule="auto"/>
        <w:rPr>
          <w:sz w:val="20"/>
          <w:szCs w:val="20"/>
          <w:color w:val="auto"/>
        </w:rPr>
      </w:pPr>
      <w:r>
        <w:rPr>
          <w:rFonts w:ascii="Arial" w:cs="Arial" w:eastAsia="Arial" w:hAnsi="Arial"/>
          <w:sz w:val="18"/>
          <w:szCs w:val="18"/>
          <w:color w:val="auto"/>
        </w:rPr>
        <w:t>We are also developing a topical foam formulation of roflumilast, and have successfully completed Phase 2 studies in both seborrheic dermatitis and scalp psoriasis. In seborrheic dermatitis, we have initiated a single pivotal Phase 3 clinical trial, with topline data expected in the second or third quarter of 2022. If successful, we believe this study will be sufficient basis to file an NDA, based on our discussions with the FDA. In scalp psoriasis, we also had a successful End of Phase 2 meeting with the FDA and plan to initiate a single pivotal Phase 3 clinical trial in the third quarter of 2021, with topline data expected in the second half of 2022.</w:t>
      </w:r>
    </w:p>
    <w:p>
      <w:pPr>
        <w:spacing w:after="0" w:line="140" w:lineRule="exact"/>
        <w:rPr>
          <w:sz w:val="20"/>
          <w:szCs w:val="20"/>
          <w:color w:val="auto"/>
        </w:rPr>
      </w:pPr>
    </w:p>
    <w:p>
      <w:pPr>
        <w:ind w:right="20" w:firstLine="643"/>
        <w:spacing w:after="0" w:line="249" w:lineRule="auto"/>
        <w:rPr>
          <w:sz w:val="20"/>
          <w:szCs w:val="20"/>
          <w:color w:val="auto"/>
        </w:rPr>
      </w:pPr>
      <w:r>
        <w:rPr>
          <w:rFonts w:ascii="Arial" w:cs="Arial" w:eastAsia="Arial" w:hAnsi="Arial"/>
          <w:sz w:val="18"/>
          <w:szCs w:val="18"/>
          <w:color w:val="auto"/>
        </w:rPr>
        <w:t>We are developing ARQ-252, a potent and highly selective topical JAK1 inhibitor, for the treatment of chronic hand eczema and vitiligo. As previously disclosed, our Phase 1/2b study of ARQ-252 for the treatment of chronic hand eczema did not meet its primary endpoint. Further analyses of that study pointed toward inadequate local drug delivery to the skin as a key driver of the lack of efficacy. Importantly, there were no safety or tolerability issues seen in that study. Based on these findings, we also recently terminated our Phase 2 proof of concept study evaluating ARQ-252 as a potential treatment for vitiligo. We are currently working on re-formulating ARQ-252 to develop an enhanced formulation that delivers more active drug to targets in the skin.</w:t>
      </w:r>
    </w:p>
    <w:p>
      <w:pPr>
        <w:spacing w:after="0" w:line="144" w:lineRule="exact"/>
        <w:rPr>
          <w:sz w:val="20"/>
          <w:szCs w:val="20"/>
          <w:color w:val="auto"/>
        </w:rPr>
      </w:pPr>
    </w:p>
    <w:p>
      <w:pPr>
        <w:ind w:right="720" w:firstLine="643"/>
        <w:spacing w:after="0" w:line="255" w:lineRule="auto"/>
        <w:rPr>
          <w:sz w:val="20"/>
          <w:szCs w:val="20"/>
          <w:color w:val="auto"/>
        </w:rPr>
      </w:pPr>
      <w:r>
        <w:rPr>
          <w:rFonts w:ascii="Arial" w:cs="Arial" w:eastAsia="Arial" w:hAnsi="Arial"/>
          <w:sz w:val="18"/>
          <w:szCs w:val="18"/>
          <w:color w:val="auto"/>
        </w:rPr>
        <w:t>Additionally, we have formulation and preclinical efforts underway for ARQ-255, an alternative topical formulation of ARQ-252 designed to reach deeper into the skin in order to potentially treat alopecia areata.</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120" w:firstLine="643"/>
        <w:spacing w:after="0" w:line="265" w:lineRule="auto"/>
        <w:rPr>
          <w:sz w:val="20"/>
          <w:szCs w:val="20"/>
          <w:color w:val="auto"/>
        </w:rPr>
      </w:pPr>
      <w:r>
        <w:rPr>
          <w:rFonts w:ascii="Arial" w:cs="Arial" w:eastAsia="Arial" w:hAnsi="Arial"/>
          <w:sz w:val="17"/>
          <w:szCs w:val="17"/>
          <w:color w:val="auto"/>
        </w:rPr>
        <w:t>Since our inception in 2016, we have invested a significant portion of our efforts and financial resources in clinical development activities. We have not generated any revenue from product sales and have funded our operations primarily with the net proceeds from our IPO completed in January 2020 and with the net proceeds from our follow-on equity offerings in October 2020 and February 2021, respectively, as well as with $162.5 million in net cash proceeds from private placements of our convertible preferred stock prior to IPO. On February 4, 2020, we closed our IPO of 10,781,250 shares of common stock at an offering price of $17.00 per share, which included the exercise in full by the underwriters of their option to purchase up to 1,406,250 additional shares of common stock. Our net proceeds, after deducting underwriting discounts, commissions, and offering related transaction costs, were $167.2 million. In addition, on October 6, 2020, we closed our public offering of 4,000,000 shares of common stock and concurrent private placement of 1,400,000 shares of common stock, both at a price of $25.00 per share, receiving an aggregate of $128.4 million in net proceeds after deducting the underwriting discounts,</w:t>
      </w:r>
    </w:p>
    <w:p>
      <w:pPr>
        <w:spacing w:after="0" w:line="26"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commissions, and offering related transaction costs. Also, on February 5, 2021, we closed our public offering of 6,325,000 shares of common stock at a price of $35.00 per share, including 825,000 shares sold pursuant to the underwriters' full exercise of their option to purchase additional shares, receiving an aggregate of $207.5 million in net proceeds, after deducting underwriting discounts, commissions, and offering</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related transaction costs. See Note 1 to the unaudited condensed financial statements for additional information.</w:t>
      </w:r>
    </w:p>
    <w:p>
      <w:pPr>
        <w:spacing w:after="0" w:line="141" w:lineRule="exact"/>
        <w:rPr>
          <w:sz w:val="20"/>
          <w:szCs w:val="20"/>
          <w:color w:val="auto"/>
        </w:rPr>
      </w:pPr>
    </w:p>
    <w:p>
      <w:pPr>
        <w:ind w:right="100" w:firstLine="643"/>
        <w:spacing w:after="0" w:line="250" w:lineRule="auto"/>
        <w:rPr>
          <w:sz w:val="20"/>
          <w:szCs w:val="20"/>
          <w:color w:val="auto"/>
        </w:rPr>
      </w:pPr>
      <w:r>
        <w:rPr>
          <w:rFonts w:ascii="Arial" w:cs="Arial" w:eastAsia="Arial" w:hAnsi="Arial"/>
          <w:sz w:val="18"/>
          <w:szCs w:val="18"/>
          <w:color w:val="auto"/>
        </w:rPr>
        <w:t>We have incurred net losses in each year since inception, including net losses of $42.0 million and $78.1 million for the three and six months ended June 30, 2021, respectively, and $35.4 million and $63.4 million for the three and six months ended June 30, 2020, respectively. As of June 30, 2021, we had an accumulated deficit of $280.0 million and cash, cash equivalents, restricted cash, and marketable securities of $410.9 million.</w:t>
      </w:r>
    </w:p>
    <w:p>
      <w:pPr>
        <w:spacing w:after="0" w:line="142" w:lineRule="exact"/>
        <w:rPr>
          <w:sz w:val="20"/>
          <w:szCs w:val="20"/>
          <w:color w:val="auto"/>
        </w:rPr>
      </w:pPr>
    </w:p>
    <w:p>
      <w:pPr>
        <w:ind w:right="20" w:firstLine="643"/>
        <w:spacing w:after="0" w:line="267" w:lineRule="auto"/>
        <w:rPr>
          <w:sz w:val="20"/>
          <w:szCs w:val="20"/>
          <w:color w:val="auto"/>
        </w:rPr>
      </w:pPr>
      <w:r>
        <w:rPr>
          <w:rFonts w:ascii="Arial" w:cs="Arial" w:eastAsia="Arial" w:hAnsi="Arial"/>
          <w:sz w:val="17"/>
          <w:szCs w:val="17"/>
          <w:color w:val="auto"/>
        </w:rPr>
        <w:t>We expect to continue to incur losses for the foreseeable future and expect to incur increased expenses as we advance our product candidates through clinical trials and regulatory submissions. We do not expect to generate revenue from product sales unless, and until, we obtain regulatory approval or clearance from the FDA or other foreign regulatory authorities for our product candidates. If we obtain regulatory approval or clearance for our product candidates, we expect to incur significant commercialization expenses related to product sales, marketing, manufacturing, and distribution. In addition, we expect that our expenses will increase substantially as we continue preclinical studies and clinical trials for, and research and development of, our product candidates and maintain, expand, and protect our intellectual</w:t>
      </w:r>
    </w:p>
    <w:p>
      <w:pPr>
        <w:spacing w:after="0" w:line="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property portfolio. As a result, we will need substantial additional funding to support our operating activities. Adequate funding may not be available to us on acceptable terms, or at all. We currently anticipate that we will seek to fund our operations through equity or debt financings or other sources, such as future potential collaboration agreements. Our failure to obtain sufficient funds on acceptable terms as and when needed could have a material adverse effect on our business, results of operations, and financial condition. See “Liquidity, Capital Resources, and Requirements” below and Note 1 to the financial statements for additional information. Based on our current planned operations, we expect that our current cash, cash equivalents, and marketable securities will be sufficient to fund our operations well into 2023.</w:t>
      </w:r>
    </w:p>
    <w:p>
      <w:pPr>
        <w:spacing w:after="0" w:line="128" w:lineRule="exact"/>
        <w:rPr>
          <w:sz w:val="20"/>
          <w:szCs w:val="20"/>
          <w:color w:val="auto"/>
        </w:rPr>
      </w:pPr>
    </w:p>
    <w:p>
      <w:pPr>
        <w:ind w:right="180" w:firstLine="643"/>
        <w:spacing w:after="0" w:line="250" w:lineRule="auto"/>
        <w:rPr>
          <w:sz w:val="20"/>
          <w:szCs w:val="20"/>
          <w:color w:val="auto"/>
        </w:rPr>
      </w:pPr>
      <w:r>
        <w:rPr>
          <w:rFonts w:ascii="Arial" w:cs="Arial" w:eastAsia="Arial" w:hAnsi="Arial"/>
          <w:sz w:val="18"/>
          <w:szCs w:val="18"/>
          <w:color w:val="auto"/>
        </w:rPr>
        <w:t>We rely on third parties in the conduct of our preclinical studies and clinical trials and for manufacturing and supply of our product candidates. We have no internal manufacturing capabilities, and we will continue to rely on third parties, many of whom are single source suppliers, for our preclinical and clinical trial materials, as well as the commercial supply of our products. In addition, we do not yet have a sales organization or fully developed commercial infrastructure. Accordingly, we expect to incur significant expenses to fully develop a sales organization or commercial infrastructure in advance of generating any product sales.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Update</w:t>
      </w:r>
    </w:p>
    <w:p>
      <w:pPr>
        <w:spacing w:after="0" w:line="177" w:lineRule="exact"/>
        <w:rPr>
          <w:sz w:val="20"/>
          <w:szCs w:val="20"/>
          <w:color w:val="auto"/>
        </w:rPr>
      </w:pPr>
    </w:p>
    <w:p>
      <w:pPr>
        <w:ind w:firstLine="643"/>
        <w:spacing w:after="0" w:line="249" w:lineRule="auto"/>
        <w:rPr>
          <w:sz w:val="20"/>
          <w:szCs w:val="20"/>
          <w:color w:val="auto"/>
        </w:rPr>
      </w:pPr>
      <w:r>
        <w:rPr>
          <w:rFonts w:ascii="Arial" w:cs="Arial" w:eastAsia="Arial" w:hAnsi="Arial"/>
          <w:sz w:val="18"/>
          <w:szCs w:val="18"/>
          <w:color w:val="auto"/>
        </w:rPr>
        <w:t>In March 2020, the World Health Organization declared a pandemic related to the COVID-19 outbreak. COVID-19 has placed strains on the providers of healthcare services, including the sites where we conduct our clinical trials. These strains have resulted in some clinical sites slowing or halting enrollment in clinical trials and restricting the on-site monitoring of clinical trials. We follow FDA guidance on clinical trial conduct during the COVID-19 pandemic, including the remote monitoring of clinical data. We are monitoring the impact COVID-19 may have on the clinical development of our product candidates, including potential delays or modifications to ongoing and planned trials. Thus far, we have seen limited impact on our clinical trials, including some disruptions in screening, enrollment, and monitoring; however at this time, we do not expect delays to previously disclosed clinical timelines, including those for roflumilast cream and roflumilast foam. We cannot, at this time, predict the specific extent, duration, or full impact that the COVID-19 outbreak will have on our ongoing and planned clinical trials and other business operations.</w:t>
      </w: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100" w:firstLine="643"/>
        <w:spacing w:after="0" w:line="255" w:lineRule="auto"/>
        <w:rPr>
          <w:sz w:val="20"/>
          <w:szCs w:val="20"/>
          <w:color w:val="auto"/>
        </w:rPr>
      </w:pPr>
      <w:r>
        <w:rPr>
          <w:rFonts w:ascii="Arial" w:cs="Arial" w:eastAsia="Arial" w:hAnsi="Arial"/>
          <w:sz w:val="18"/>
          <w:szCs w:val="18"/>
          <w:color w:val="auto"/>
        </w:rPr>
        <w:t>There have been no disruptions in our supply chain of drug manufacturers necessary to conduct our clinical trials and, given our drug inventories, we believe that we will be able to supply the drug needs of our ongoing clinical studies.</w:t>
      </w:r>
    </w:p>
    <w:p>
      <w:pPr>
        <w:spacing w:after="0" w:line="123" w:lineRule="exact"/>
        <w:rPr>
          <w:sz w:val="20"/>
          <w:szCs w:val="20"/>
          <w:color w:val="auto"/>
        </w:rPr>
      </w:pPr>
    </w:p>
    <w:p>
      <w:pPr>
        <w:ind w:right="320" w:firstLine="643"/>
        <w:spacing w:after="0" w:line="250" w:lineRule="auto"/>
        <w:rPr>
          <w:sz w:val="20"/>
          <w:szCs w:val="20"/>
          <w:color w:val="auto"/>
        </w:rPr>
      </w:pPr>
      <w:r>
        <w:rPr>
          <w:rFonts w:ascii="Arial" w:cs="Arial" w:eastAsia="Arial" w:hAnsi="Arial"/>
          <w:sz w:val="18"/>
          <w:szCs w:val="18"/>
          <w:color w:val="auto"/>
        </w:rPr>
        <w:t>In alignment with public health guidance designed to slow the spread of COVID-19, we implemented a remote work plan for all employees as of mid-March 2020. We developed a return-to-work protocol, and as the pandemic conditions improved in the southern California region, we reopened our office for in-person work beginning in the first quarter of 2021, and have now returned to normal operations. We may need to undertake additional actions that could impact our operations as required by applicable laws or regulations, or which we determine to be in the best interests of our employees.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License Agreements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AstraZeneca License Agreement</w:t>
      </w:r>
    </w:p>
    <w:p>
      <w:pPr>
        <w:spacing w:after="0" w:line="163" w:lineRule="exact"/>
        <w:rPr>
          <w:sz w:val="20"/>
          <w:szCs w:val="20"/>
          <w:color w:val="auto"/>
        </w:rPr>
      </w:pPr>
    </w:p>
    <w:p>
      <w:pPr>
        <w:ind w:firstLine="643"/>
        <w:spacing w:after="0" w:line="249" w:lineRule="auto"/>
        <w:rPr>
          <w:sz w:val="20"/>
          <w:szCs w:val="20"/>
          <w:color w:val="auto"/>
        </w:rPr>
      </w:pPr>
      <w:r>
        <w:rPr>
          <w:rFonts w:ascii="Arial" w:cs="Arial" w:eastAsia="Arial" w:hAnsi="Arial"/>
          <w:sz w:val="18"/>
          <w:szCs w:val="18"/>
          <w:color w:val="auto"/>
        </w:rPr>
        <w:t>In July 2018, we entered into the AstraZeneca License Agreement with AstraZeneca, granting us a worldwide exclusive license, with the right to sublicense through multiple tiers, under certain AstraZeneca-controlled patent rights, know-how and regulatory documentation, to research, develop, manufacture, commercialize, and otherwise exploit products containing roflumilast in topical forms, as well as delivery systems sold with or for the administration of roflumilast, or collectively, the AZ-Licensed Products, for all diagnostic, prophylactic and therapeutic uses for human dermatological indications, or the Dermatology Field. Under this agreement, we have sole responsibility for development, regulatory, and commercialization activities for the AZ-Licensed Products in the Dermatology Field, at our expense, and we shall use commercially reasonable efforts to develop, obtain, and maintain regulatory approvals for, and commercialize the AZ-Licensed Products in the Dermatology Field in each of the United States, Italy, Spain, Germany, the United Kingdom, France, China, and Japan.</w:t>
      </w:r>
    </w:p>
    <w:p>
      <w:pPr>
        <w:spacing w:after="0" w:line="143" w:lineRule="exact"/>
        <w:rPr>
          <w:sz w:val="20"/>
          <w:szCs w:val="20"/>
          <w:color w:val="auto"/>
        </w:rPr>
      </w:pPr>
    </w:p>
    <w:p>
      <w:pPr>
        <w:ind w:right="80" w:firstLine="643"/>
        <w:spacing w:after="0" w:line="249" w:lineRule="auto"/>
        <w:rPr>
          <w:sz w:val="20"/>
          <w:szCs w:val="20"/>
          <w:color w:val="auto"/>
        </w:rPr>
      </w:pPr>
      <w:r>
        <w:rPr>
          <w:rFonts w:ascii="Arial" w:cs="Arial" w:eastAsia="Arial" w:hAnsi="Arial"/>
          <w:sz w:val="18"/>
          <w:szCs w:val="18"/>
          <w:color w:val="auto"/>
        </w:rPr>
        <w:t>We paid AstraZeneca an upfront non-refundable cash payment of $1.0 million and issued 484,388 shares of our Series B Preferred stock, valued at $3.0 million on the date of the AstraZeneca License Agreement. We subsequently paid AstraZeneca the first milestone cash payment of $2.0 million upon the completion of a Phase 2b study of roflumilast cream in plaque psoriasis in August 2019 for the achievement of positive Phase 2 data for an AZ-Licensed Product. We have agreed to make additional cash payments to AstraZeneca of up to an aggregate of $12.5 million upon the achievement of specific regulatory approval milestones with respect to the AZ-Licensed Products, which includes $7.5 million upon FDA approval of our first product, and payments up to an additional aggregate amount of $15.0 million upon the achievement of certain aggregate worldwide net sales milestones. With respect to any AZ-Licensed Products we commercialize under the AstraZeneca License Agreement, we will pay AstraZeneca a low to high single-digit percentage royalty rate on our, our affiliates’ and our sublicensees’ net sales of such AZ-Licensed Products, until, as determined on an AZ-Licensed Product-by-AZ-Licensed Product and country-by-country basis, the later of the date of the expiration of the last-to-expire AstraZeneca-licensed patent right containing a valid claim in such country and ten years from the first commercial sale of such AZ-Licensed Product in such country. See Note 6 to the unaudited condensed financial statements for additional information.</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Hengrui Exclusive Option and License Agreement</w:t>
      </w:r>
    </w:p>
    <w:p>
      <w:pPr>
        <w:spacing w:after="0" w:line="163" w:lineRule="exact"/>
        <w:rPr>
          <w:sz w:val="20"/>
          <w:szCs w:val="20"/>
          <w:color w:val="auto"/>
        </w:rPr>
      </w:pPr>
    </w:p>
    <w:p>
      <w:pPr>
        <w:ind w:firstLine="643"/>
        <w:spacing w:after="0" w:line="263" w:lineRule="auto"/>
        <w:rPr>
          <w:sz w:val="20"/>
          <w:szCs w:val="20"/>
          <w:color w:val="auto"/>
        </w:rPr>
      </w:pPr>
      <w:r>
        <w:rPr>
          <w:rFonts w:ascii="Arial" w:cs="Arial" w:eastAsia="Arial" w:hAnsi="Arial"/>
          <w:sz w:val="17"/>
          <w:szCs w:val="17"/>
          <w:color w:val="auto"/>
        </w:rPr>
        <w:t>In January 2018, we entered into the Hengrui License Agreement, with Hengrui, whereby Hengrui granted us an exclusive option to obtain certain exclusive rights to research, develop, and commercialize products containing the compound designated by Hengrui as SHR0302, a JAK 1 inhibitor, in topical formulations for the treatment of skin diseases, disorders, and conditions in the United States, Canada, Japan, and the European Union (including for clarity the United Kingdom). We made a $0.4 million upfront non-refundable cash payment to Hengrui upon execution of the Hengrui Option and License Agreement. In December 2019, we exercised our exclusive option under the agreement, for which we made a $1.5 million cash payment, and also contemporaneously amended the agreement to expand the territory to additionally include Canada. In addition, we have agreed to make cash payments of up to an aggregate of $20.5 million upon our achievement of specified clinical development and regulatory approval milestones with respect to the licensed products and cash payments of up to an additional aggregate of $200.0 million in sales-based milestones based on achieving certain aggregate annual net sales volumes with respect to a licensed product. With respect to any products we commercialize under the Hengrui License Agreement, we will pay tiered royalties to Hengrui on net sales of each licensed product by us, or our affiliates, or our sublicensees, ranging from mid single-digit to sub-teen percentage rates based on tiered annual net sales bands subject to specified reductions. We are obligated to pay royalties until the later of</w:t>
      </w:r>
    </w:p>
    <w:p>
      <w:pPr>
        <w:ind w:right="240" w:firstLine="7"/>
        <w:spacing w:after="0" w:line="250" w:lineRule="auto"/>
        <w:tabs>
          <w:tab w:leader="none" w:pos="268"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expiration of the last valid claim of the licensed patent rights covering such licensed product in such country and (2) the expiration of regulatory exclusivity for the relevant licensed product in the relevant country, on a licensed product-by-licensed product and country-by-country basis. Additionally, we are obligated to pay Hengrui a specified percentage, ranging from the low-thirties to the sub-teens, of certain non-royalty sublicensing income we receive from sublicensees of our rights to the licensed products, such percentage decreasing as the development stage of the licensed products advance.</w:t>
      </w:r>
    </w:p>
    <w:p>
      <w:pPr>
        <w:spacing w:after="0" w:line="140" w:lineRule="exact"/>
        <w:rPr>
          <w:sz w:val="20"/>
          <w:szCs w:val="20"/>
          <w:color w:val="auto"/>
        </w:rPr>
      </w:pPr>
    </w:p>
    <w:p>
      <w:pPr>
        <w:jc w:val="both"/>
        <w:ind w:right="160" w:firstLine="643"/>
        <w:spacing w:after="0" w:line="250" w:lineRule="auto"/>
        <w:rPr>
          <w:sz w:val="20"/>
          <w:szCs w:val="20"/>
          <w:color w:val="auto"/>
        </w:rPr>
      </w:pPr>
      <w:r>
        <w:rPr>
          <w:rFonts w:ascii="Arial" w:cs="Arial" w:eastAsia="Arial" w:hAnsi="Arial"/>
          <w:sz w:val="18"/>
          <w:szCs w:val="18"/>
          <w:color w:val="auto"/>
        </w:rPr>
        <w:t>The agreement continues in effect until the expiration of our obligation to pay royalties as described above, unless earlier terminated in accordance with the following: (1) by either party upon written notice for the other party’s material breach or insolvency event if such party fails to cure such breach or the insolvency event is not dismissed within specified time periods; and (2) by us for convenience upon 90 days prior written notice to Hengrui and having discussed and consulted any potential cause or concern with Hengrui in good faith. See Note 6 to the unaudited condensed financial statements for additional information.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77" w:lineRule="exact"/>
        <w:rPr>
          <w:sz w:val="20"/>
          <w:szCs w:val="20"/>
          <w:color w:val="auto"/>
        </w:rPr>
      </w:pPr>
    </w:p>
    <w:p>
      <w:pPr>
        <w:ind w:right="40" w:firstLine="643"/>
        <w:spacing w:after="0" w:line="249" w:lineRule="auto"/>
        <w:rPr>
          <w:sz w:val="20"/>
          <w:szCs w:val="20"/>
          <w:color w:val="auto"/>
        </w:rPr>
      </w:pPr>
      <w:r>
        <w:rPr>
          <w:rFonts w:ascii="Arial" w:cs="Arial" w:eastAsia="Arial" w:hAnsi="Arial"/>
          <w:sz w:val="18"/>
          <w:szCs w:val="18"/>
          <w:color w:val="auto"/>
        </w:rPr>
        <w:t>Since our inception, we have focused significant resources on our research and development activities, including conducting preclinical studies and clinical trials, manufacturing development efforts, and activities related to regulatory filings for our product candidates. Research and development costs are expensed as incurred. These costs include direct program expenses, which are payments made to third parties that specifically relate to our research and development, such as payments to clinical research organizations, clinical investigators, manufacturing of clinical material, preclinical testing, and consultants. In addition, employee costs, including salaries, payroll taxes, benefits, stock-based compensation, and travel; for employees contributing to research and development activities are classified as research and development costs. We allocate direct external costs on a program specific basis (topical roflumilast program, topical JAK inhibitor program, and early stage programs). Our internal costs are primarily related to personnel or professional services and apply across programs, and thus are not allocatable on a program specific basis.</w:t>
      </w:r>
    </w:p>
    <w:p>
      <w:pPr>
        <w:spacing w:after="0" w:line="129" w:lineRule="exact"/>
        <w:rPr>
          <w:sz w:val="20"/>
          <w:szCs w:val="20"/>
          <w:color w:val="auto"/>
        </w:rPr>
      </w:pPr>
    </w:p>
    <w:p>
      <w:pPr>
        <w:ind w:firstLine="643"/>
        <w:spacing w:after="0" w:line="250" w:lineRule="auto"/>
        <w:rPr>
          <w:sz w:val="20"/>
          <w:szCs w:val="20"/>
          <w:color w:val="auto"/>
        </w:rPr>
      </w:pPr>
      <w:r>
        <w:rPr>
          <w:rFonts w:ascii="Arial" w:cs="Arial" w:eastAsia="Arial" w:hAnsi="Arial"/>
          <w:sz w:val="18"/>
          <w:szCs w:val="18"/>
          <w:color w:val="auto"/>
        </w:rPr>
        <w:t>We expect to continue to incur substantial research and development expenses in the future as we develop our product candidates. In particular, we expect to incur substantial research and development expenses for the Phase 3 trials of roflumilast cream for atopic dermatitis, the Phase 3 trials of roflumilast foam for seborrheic dermatitis and scalp psoriasis, ARQ-252 for hand eczema and vitiligo, and ARQ-255 for alopecia areata.</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100" w:firstLine="643"/>
        <w:spacing w:after="0" w:line="250" w:lineRule="auto"/>
        <w:rPr>
          <w:sz w:val="20"/>
          <w:szCs w:val="20"/>
          <w:color w:val="auto"/>
        </w:rPr>
      </w:pPr>
      <w:r>
        <w:rPr>
          <w:rFonts w:ascii="Arial" w:cs="Arial" w:eastAsia="Arial" w:hAnsi="Arial"/>
          <w:sz w:val="18"/>
          <w:szCs w:val="18"/>
          <w:color w:val="auto"/>
        </w:rPr>
        <w:t>We have entered, and may continue to enter, into license agreements to access and utilize certain molecules for the treatment of dermatological diseases and disorders. We evaluate if the license agreement is an acquisition of an asset or a business. To date, none of our license agreements have been considered to be an acquisition of a business. For asset acquisitions, the upfront payments to acquire such licenses, as well as any future milestone payments made before product approval, are immediately recognized as research and development expense when due, provided there is no alternative future use of the rights in other research and development projects.</w:t>
      </w:r>
    </w:p>
    <w:p>
      <w:pPr>
        <w:spacing w:after="0" w:line="127" w:lineRule="exact"/>
        <w:rPr>
          <w:sz w:val="20"/>
          <w:szCs w:val="20"/>
          <w:color w:val="auto"/>
        </w:rPr>
      </w:pPr>
    </w:p>
    <w:p>
      <w:pPr>
        <w:ind w:right="40" w:firstLine="643"/>
        <w:spacing w:after="0" w:line="250" w:lineRule="auto"/>
        <w:rPr>
          <w:sz w:val="20"/>
          <w:szCs w:val="20"/>
          <w:color w:val="auto"/>
        </w:rPr>
      </w:pPr>
      <w:r>
        <w:rPr>
          <w:rFonts w:ascii="Arial" w:cs="Arial" w:eastAsia="Arial" w:hAnsi="Arial"/>
          <w:sz w:val="18"/>
          <w:szCs w:val="18"/>
          <w:color w:val="auto"/>
        </w:rPr>
        <w:t>The successful development of our product candidates is highly uncertain. At this time, we cannot reasonably estimate the nature, timing, or costs required to complete the remaining development of roflumilast cream, roflumilast foam, ARQ-252, and ARQ-255, or any future product candidates. This is due to the numerous risks and uncertainties associated with the development of product candidates. See “Risk Factors” for a discussion of the risks and uncertainties associated with the development of our product candidates.</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7" w:lineRule="exact"/>
        <w:rPr>
          <w:sz w:val="20"/>
          <w:szCs w:val="20"/>
          <w:color w:val="auto"/>
        </w:rPr>
      </w:pPr>
    </w:p>
    <w:p>
      <w:pPr>
        <w:ind w:firstLine="643"/>
        <w:spacing w:after="0" w:line="249" w:lineRule="auto"/>
        <w:rPr>
          <w:sz w:val="20"/>
          <w:szCs w:val="20"/>
          <w:color w:val="auto"/>
        </w:rPr>
      </w:pPr>
      <w:r>
        <w:rPr>
          <w:rFonts w:ascii="Arial" w:cs="Arial" w:eastAsia="Arial" w:hAnsi="Arial"/>
          <w:sz w:val="18"/>
          <w:szCs w:val="18"/>
          <w:color w:val="auto"/>
        </w:rPr>
        <w:t>Our general and administrative expenses consist primarily of salaries and related costs, including payroll taxes, benefits, stock-based compensation, and travel. Other general and administrative expenses include legal costs of pursuing patent protection of our intellectual property, insurance, and professional services fees for marketing, auditing, tax, and general legal services. We expect our general and administrative expenses to continue to increase in the future as we expand our operating activities and prepare for potential commercialization of our product candidates, increase our headcount, and support our operations as a public company; including increased expenses related to legal, accounting, insurance, regulatory, and tax-related services associated with maintaining compliance with exchange listing and SEC requirements, directors and officers liability insurance premiums, and investor relations activities.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income, net primarily consists of interest income earned on our cash, cash equivalents, and marketable securities.</w:t>
      </w: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Results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2021 and 2020</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540" w:type="dxa"/>
            <w:vAlign w:val="bottom"/>
            <w:gridSpan w:val="6"/>
          </w:tcPr>
          <w:p>
            <w:pPr>
              <w:ind w:left="540"/>
              <w:spacing w:after="0"/>
              <w:rPr>
                <w:sz w:val="20"/>
                <w:szCs w:val="20"/>
                <w:color w:val="auto"/>
              </w:rPr>
            </w:pPr>
            <w:r>
              <w:rPr>
                <w:rFonts w:ascii="Arial" w:cs="Arial" w:eastAsia="Arial" w:hAnsi="Arial"/>
                <w:sz w:val="14"/>
                <w:szCs w:val="14"/>
                <w:b w:val="1"/>
                <w:bCs w:val="1"/>
                <w:color w:val="auto"/>
              </w:rPr>
              <w:t>Three Months Ended June 30,</w:t>
            </w: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7"/>
                <w:szCs w:val="17"/>
                <w:color w:val="auto"/>
              </w:rPr>
            </w:pPr>
          </w:p>
        </w:tc>
      </w:tr>
      <w:tr>
        <w:trPr>
          <w:trHeight w:val="181"/>
        </w:trPr>
        <w:tc>
          <w:tcPr>
            <w:tcW w:w="2680" w:type="dxa"/>
            <w:vAlign w:val="bottom"/>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0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w:t>
            </w:r>
          </w:p>
        </w:tc>
      </w:tr>
      <w:tr>
        <w:trPr>
          <w:trHeight w:val="196"/>
        </w:trPr>
        <w:tc>
          <w:tcPr>
            <w:tcW w:w="2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9"/>
              </w:rPr>
              <w:t>(unaudited)</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20"/>
        </w:trPr>
        <w:tc>
          <w:tcPr>
            <w:tcW w:w="2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8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54"/>
        </w:trPr>
        <w:tc>
          <w:tcPr>
            <w:tcW w:w="26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Operating expenses:</w:t>
            </w:r>
          </w:p>
        </w:tc>
        <w:tc>
          <w:tcPr>
            <w:tcW w:w="10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r>
      <w:tr>
        <w:trPr>
          <w:trHeight w:val="239"/>
        </w:trPr>
        <w:tc>
          <w:tcPr>
            <w:tcW w:w="2680" w:type="dxa"/>
            <w:vAlign w:val="bottom"/>
          </w:tcPr>
          <w:p>
            <w:pPr>
              <w:ind w:left="980"/>
              <w:spacing w:after="0"/>
              <w:rPr>
                <w:sz w:val="20"/>
                <w:szCs w:val="20"/>
                <w:color w:val="auto"/>
              </w:rPr>
            </w:pPr>
            <w:r>
              <w:rPr>
                <w:rFonts w:ascii="Arial" w:cs="Arial" w:eastAsia="Arial" w:hAnsi="Arial"/>
                <w:sz w:val="18"/>
                <w:szCs w:val="18"/>
                <w:color w:val="auto"/>
              </w:rPr>
              <w:t>Research and</w:t>
            </w:r>
          </w:p>
        </w:tc>
        <w:tc>
          <w:tcPr>
            <w:tcW w:w="10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2"/>
        </w:trPr>
        <w:tc>
          <w:tcPr>
            <w:tcW w:w="2680" w:type="dxa"/>
            <w:vAlign w:val="bottom"/>
          </w:tcPr>
          <w:p>
            <w:pPr>
              <w:ind w:left="340"/>
              <w:spacing w:after="0"/>
              <w:rPr>
                <w:sz w:val="20"/>
                <w:szCs w:val="20"/>
                <w:color w:val="auto"/>
              </w:rPr>
            </w:pPr>
            <w:r>
              <w:rPr>
                <w:rFonts w:ascii="Arial" w:cs="Arial" w:eastAsia="Arial" w:hAnsi="Arial"/>
                <w:sz w:val="18"/>
                <w:szCs w:val="18"/>
                <w:color w:val="auto"/>
              </w:rPr>
              <w:t>development</w:t>
            </w: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30,765</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30,009</w:t>
            </w:r>
          </w:p>
        </w:tc>
        <w:tc>
          <w:tcPr>
            <w:tcW w:w="100" w:type="dxa"/>
            <w:vAlign w:val="bottom"/>
          </w:tcPr>
          <w:p>
            <w:pPr>
              <w:spacing w:after="0"/>
              <w:rPr>
                <w:sz w:val="21"/>
                <w:szCs w:val="21"/>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756</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26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General and</w:t>
            </w:r>
          </w:p>
        </w:tc>
        <w:tc>
          <w:tcPr>
            <w:tcW w:w="10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r>
      <w:tr>
        <w:trPr>
          <w:trHeight w:val="243"/>
        </w:trPr>
        <w:tc>
          <w:tcPr>
            <w:tcW w:w="2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10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11,315</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5,618</w:t>
            </w:r>
          </w:p>
        </w:tc>
        <w:tc>
          <w:tcPr>
            <w:tcW w:w="1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5,697</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7"/>
        </w:trPr>
        <w:tc>
          <w:tcPr>
            <w:tcW w:w="2680" w:type="dxa"/>
            <w:vAlign w:val="bottom"/>
          </w:tcPr>
          <w:p>
            <w:pPr>
              <w:ind w:left="660"/>
              <w:spacing w:after="0"/>
              <w:rPr>
                <w:sz w:val="20"/>
                <w:szCs w:val="20"/>
                <w:color w:val="auto"/>
              </w:rPr>
            </w:pPr>
            <w:r>
              <w:rPr>
                <w:rFonts w:ascii="Arial" w:cs="Arial" w:eastAsia="Arial" w:hAnsi="Arial"/>
                <w:sz w:val="18"/>
                <w:szCs w:val="18"/>
                <w:color w:val="auto"/>
                <w:w w:val="98"/>
              </w:rPr>
              <w:t>Total operating expenses</w:t>
            </w: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42,080</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35,627</w:t>
            </w:r>
          </w:p>
        </w:tc>
        <w:tc>
          <w:tcPr>
            <w:tcW w:w="100" w:type="dxa"/>
            <w:vAlign w:val="bottom"/>
          </w:tcPr>
          <w:p>
            <w:pPr>
              <w:spacing w:after="0"/>
              <w:rPr>
                <w:sz w:val="21"/>
                <w:szCs w:val="21"/>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6,453</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9"/>
        </w:trPr>
        <w:tc>
          <w:tcPr>
            <w:tcW w:w="268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Loss from operations</w:t>
            </w:r>
          </w:p>
        </w:tc>
        <w:tc>
          <w:tcPr>
            <w:tcW w:w="100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(42,080)</w:t>
            </w:r>
          </w:p>
        </w:tc>
        <w:tc>
          <w:tcPr>
            <w:tcW w:w="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(35,627)</w:t>
            </w:r>
          </w:p>
        </w:tc>
        <w:tc>
          <w:tcPr>
            <w:tcW w:w="100" w:type="dxa"/>
            <w:vAlign w:val="bottom"/>
            <w:tcBorders>
              <w:top w:val="single" w:sz="8" w:color="CCEEFF"/>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(6,453)</w:t>
            </w:r>
          </w:p>
        </w:tc>
        <w:tc>
          <w:tcPr>
            <w:tcW w:w="126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7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7"/>
        </w:trPr>
        <w:tc>
          <w:tcPr>
            <w:tcW w:w="268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Other income, net</w:t>
            </w:r>
          </w:p>
        </w:tc>
        <w:tc>
          <w:tcPr>
            <w:tcW w:w="10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2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(67)</w:t>
            </w: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r>
      <w:tr>
        <w:trPr>
          <w:trHeight w:val="242"/>
        </w:trPr>
        <w:tc>
          <w:tcPr>
            <w:tcW w:w="2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loss</w:t>
            </w: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(42,008)</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(35,412)</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(6,596)</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r>
    </w:tbl>
    <w:p>
      <w:pPr>
        <w:spacing w:after="0" w:line="20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0" w:type="dxa"/>
            <w:vAlign w:val="bottom"/>
            <w:gridSpan w:val="6"/>
          </w:tcPr>
          <w:p>
            <w:pPr>
              <w:ind w:left="480"/>
              <w:spacing w:after="0"/>
              <w:rPr>
                <w:sz w:val="20"/>
                <w:szCs w:val="20"/>
                <w:color w:val="auto"/>
              </w:rPr>
            </w:pPr>
            <w:r>
              <w:rPr>
                <w:rFonts w:ascii="Arial" w:cs="Arial" w:eastAsia="Arial" w:hAnsi="Arial"/>
                <w:sz w:val="14"/>
                <w:szCs w:val="14"/>
                <w:b w:val="1"/>
                <w:bCs w:val="1"/>
                <w:color w:val="auto"/>
              </w:rPr>
              <w:t>Three Months Ended June 30,</w:t>
            </w: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840" w:type="dxa"/>
            <w:vAlign w:val="bottom"/>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2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(unaudited)</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8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Direct external costs:</w:t>
            </w:r>
          </w:p>
        </w:tc>
        <w:tc>
          <w:tcPr>
            <w:tcW w:w="9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840" w:type="dxa"/>
            <w:vAlign w:val="bottom"/>
          </w:tcPr>
          <w:p>
            <w:pPr>
              <w:ind w:left="980"/>
              <w:spacing w:after="0" w:line="187" w:lineRule="exact"/>
              <w:rPr>
                <w:sz w:val="20"/>
                <w:szCs w:val="20"/>
                <w:color w:val="auto"/>
              </w:rPr>
            </w:pPr>
            <w:r>
              <w:rPr>
                <w:rFonts w:ascii="Arial" w:cs="Arial" w:eastAsia="Arial" w:hAnsi="Arial"/>
                <w:sz w:val="18"/>
                <w:szCs w:val="18"/>
                <w:color w:val="auto"/>
              </w:rPr>
              <w:t>Topical roflumilast</w:t>
            </w:r>
          </w:p>
        </w:tc>
        <w:tc>
          <w:tcPr>
            <w:tcW w:w="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840" w:type="dxa"/>
            <w:vAlign w:val="bottom"/>
          </w:tcPr>
          <w:p>
            <w:pPr>
              <w:ind w:left="340"/>
              <w:spacing w:after="0"/>
              <w:rPr>
                <w:sz w:val="20"/>
                <w:szCs w:val="20"/>
                <w:color w:val="auto"/>
              </w:rPr>
            </w:pPr>
            <w:r>
              <w:rPr>
                <w:rFonts w:ascii="Arial" w:cs="Arial" w:eastAsia="Arial" w:hAnsi="Arial"/>
                <w:sz w:val="18"/>
                <w:szCs w:val="18"/>
                <w:color w:val="auto"/>
              </w:rPr>
              <w:t>program</w:t>
            </w: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16,886</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23,249</w:t>
            </w:r>
          </w:p>
        </w:tc>
        <w:tc>
          <w:tcPr>
            <w:tcW w:w="80" w:type="dxa"/>
            <w:vAlign w:val="bottom"/>
          </w:tcPr>
          <w:p>
            <w:pPr>
              <w:spacing w:after="0"/>
              <w:rPr>
                <w:sz w:val="18"/>
                <w:szCs w:val="18"/>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(6,363)</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7"/>
        </w:trPr>
        <w:tc>
          <w:tcPr>
            <w:tcW w:w="2840" w:type="dxa"/>
            <w:vAlign w:val="bottom"/>
            <w:shd w:val="clear" w:color="auto" w:fill="CCEEFF"/>
          </w:tcPr>
          <w:p>
            <w:pPr>
              <w:ind w:left="980"/>
              <w:spacing w:after="0" w:line="188" w:lineRule="exact"/>
              <w:rPr>
                <w:sz w:val="20"/>
                <w:szCs w:val="20"/>
                <w:color w:val="auto"/>
              </w:rPr>
            </w:pPr>
            <w:r>
              <w:rPr>
                <w:rFonts w:ascii="Arial" w:cs="Arial" w:eastAsia="Arial" w:hAnsi="Arial"/>
                <w:sz w:val="18"/>
                <w:szCs w:val="18"/>
                <w:color w:val="auto"/>
              </w:rPr>
              <w:t>Topical JAK inhibitor</w:t>
            </w:r>
          </w:p>
        </w:tc>
        <w:tc>
          <w:tcPr>
            <w:tcW w:w="9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program</w:t>
            </w:r>
          </w:p>
        </w:tc>
        <w:tc>
          <w:tcPr>
            <w:tcW w:w="9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7"/>
        </w:trPr>
        <w:tc>
          <w:tcPr>
            <w:tcW w:w="2840" w:type="dxa"/>
            <w:vAlign w:val="bottom"/>
          </w:tcPr>
          <w:p>
            <w:pPr>
              <w:ind w:left="980"/>
              <w:spacing w:after="0" w:line="187" w:lineRule="exact"/>
              <w:rPr>
                <w:sz w:val="20"/>
                <w:szCs w:val="20"/>
                <w:color w:val="auto"/>
              </w:rPr>
            </w:pPr>
            <w:r>
              <w:rPr>
                <w:rFonts w:ascii="Arial" w:cs="Arial" w:eastAsia="Arial" w:hAnsi="Arial"/>
                <w:sz w:val="18"/>
                <w:szCs w:val="18"/>
                <w:color w:val="auto"/>
              </w:rPr>
              <w:t>Other early stage</w:t>
            </w:r>
          </w:p>
        </w:tc>
        <w:tc>
          <w:tcPr>
            <w:tcW w:w="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840" w:type="dxa"/>
            <w:vAlign w:val="bottom"/>
          </w:tcPr>
          <w:p>
            <w:pPr>
              <w:ind w:left="340"/>
              <w:spacing w:after="0"/>
              <w:rPr>
                <w:sz w:val="20"/>
                <w:szCs w:val="20"/>
                <w:color w:val="auto"/>
              </w:rPr>
            </w:pPr>
            <w:r>
              <w:rPr>
                <w:rFonts w:ascii="Arial" w:cs="Arial" w:eastAsia="Arial" w:hAnsi="Arial"/>
                <w:sz w:val="18"/>
                <w:szCs w:val="18"/>
                <w:color w:val="auto"/>
              </w:rPr>
              <w:t>programs</w:t>
            </w:r>
          </w:p>
        </w:tc>
        <w:tc>
          <w:tcPr>
            <w:tcW w:w="9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114</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8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Indirect costs:</w:t>
            </w:r>
          </w:p>
        </w:tc>
        <w:tc>
          <w:tcPr>
            <w:tcW w:w="9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840" w:type="dxa"/>
            <w:vAlign w:val="bottom"/>
          </w:tcPr>
          <w:p>
            <w:pPr>
              <w:ind w:left="980"/>
              <w:spacing w:after="0" w:line="187" w:lineRule="exact"/>
              <w:rPr>
                <w:sz w:val="20"/>
                <w:szCs w:val="20"/>
                <w:color w:val="auto"/>
              </w:rPr>
            </w:pPr>
            <w:r>
              <w:rPr>
                <w:rFonts w:ascii="Arial" w:cs="Arial" w:eastAsia="Arial" w:hAnsi="Arial"/>
                <w:sz w:val="18"/>
                <w:szCs w:val="18"/>
                <w:color w:val="auto"/>
              </w:rPr>
              <w:t>Compensation and</w:t>
            </w:r>
          </w:p>
        </w:tc>
        <w:tc>
          <w:tcPr>
            <w:tcW w:w="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840" w:type="dxa"/>
            <w:vAlign w:val="bottom"/>
          </w:tcPr>
          <w:p>
            <w:pPr>
              <w:ind w:left="340"/>
              <w:spacing w:after="0"/>
              <w:rPr>
                <w:sz w:val="20"/>
                <w:szCs w:val="20"/>
                <w:color w:val="auto"/>
              </w:rPr>
            </w:pPr>
            <w:r>
              <w:rPr>
                <w:rFonts w:ascii="Arial" w:cs="Arial" w:eastAsia="Arial" w:hAnsi="Arial"/>
                <w:sz w:val="18"/>
                <w:szCs w:val="18"/>
                <w:color w:val="auto"/>
              </w:rPr>
              <w:t>personnel-related</w:t>
            </w:r>
          </w:p>
        </w:tc>
        <w:tc>
          <w:tcPr>
            <w:tcW w:w="9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6,329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3,109</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3,220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8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3,607</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7"/>
        </w:trPr>
        <w:tc>
          <w:tcPr>
            <w:tcW w:w="2840" w:type="dxa"/>
            <w:vAlign w:val="bottom"/>
          </w:tcPr>
          <w:p>
            <w:pPr>
              <w:ind w:left="660"/>
              <w:spacing w:after="0" w:line="167" w:lineRule="exact"/>
              <w:rPr>
                <w:sz w:val="20"/>
                <w:szCs w:val="20"/>
                <w:color w:val="auto"/>
              </w:rPr>
            </w:pPr>
            <w:r>
              <w:rPr>
                <w:rFonts w:ascii="Arial" w:cs="Arial" w:eastAsia="Arial" w:hAnsi="Arial"/>
                <w:sz w:val="18"/>
                <w:szCs w:val="18"/>
                <w:color w:val="auto"/>
              </w:rPr>
              <w:t>Total research and</w:t>
            </w:r>
          </w:p>
        </w:tc>
        <w:tc>
          <w:tcPr>
            <w:tcW w:w="980" w:type="dxa"/>
            <w:vAlign w:val="bottom"/>
            <w:vMerge w:val="restart"/>
          </w:tcPr>
          <w:p>
            <w:pPr>
              <w:jc w:val="right"/>
              <w:ind w:right="131"/>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30,765</w:t>
            </w:r>
          </w:p>
        </w:tc>
        <w:tc>
          <w:tcPr>
            <w:tcW w:w="1140" w:type="dxa"/>
            <w:vAlign w:val="bottom"/>
            <w:gridSpan w:val="3"/>
            <w:vMerge w:val="restart"/>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30,009</w:t>
            </w:r>
          </w:p>
        </w:tc>
        <w:tc>
          <w:tcPr>
            <w:tcW w:w="80" w:type="dxa"/>
            <w:vAlign w:val="bottom"/>
          </w:tcPr>
          <w:p>
            <w:pPr>
              <w:spacing w:after="0"/>
              <w:rPr>
                <w:sz w:val="14"/>
                <w:szCs w:val="14"/>
                <w:color w:val="auto"/>
              </w:rPr>
            </w:pPr>
          </w:p>
        </w:tc>
        <w:tc>
          <w:tcPr>
            <w:tcW w:w="1020" w:type="dxa"/>
            <w:vAlign w:val="bottom"/>
            <w:vMerge w:val="restart"/>
          </w:tcPr>
          <w:p>
            <w:pPr>
              <w:jc w:val="right"/>
              <w:ind w:right="171"/>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756</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840" w:type="dxa"/>
            <w:vAlign w:val="bottom"/>
          </w:tcPr>
          <w:p>
            <w:pPr>
              <w:ind w:left="20"/>
              <w:spacing w:after="0" w:line="189" w:lineRule="exact"/>
              <w:rPr>
                <w:sz w:val="20"/>
                <w:szCs w:val="20"/>
                <w:color w:val="auto"/>
              </w:rPr>
            </w:pPr>
            <w:r>
              <w:rPr>
                <w:rFonts w:ascii="Arial" w:cs="Arial" w:eastAsia="Arial" w:hAnsi="Arial"/>
                <w:sz w:val="18"/>
                <w:szCs w:val="18"/>
                <w:color w:val="auto"/>
              </w:rPr>
              <w:t>development expense</w:t>
            </w:r>
          </w:p>
        </w:tc>
        <w:tc>
          <w:tcPr>
            <w:tcW w:w="98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24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3</w:t>
            </w: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ind w:right="40" w:firstLine="643"/>
        <w:spacing w:after="0" w:line="249" w:lineRule="auto"/>
        <w:rPr>
          <w:sz w:val="20"/>
          <w:szCs w:val="20"/>
          <w:color w:val="auto"/>
        </w:rPr>
      </w:pPr>
      <w:r>
        <w:rPr>
          <w:rFonts w:ascii="Arial" w:cs="Arial" w:eastAsia="Arial" w:hAnsi="Arial"/>
          <w:sz w:val="18"/>
          <w:szCs w:val="18"/>
          <w:color w:val="auto"/>
        </w:rPr>
        <w:t>Research and development expenses increased by $0.8 million, or 3%, for the three months ended June 30, 2021 compared to the three months ended June 30, 2020. The increase was due to an increase in direct costs related to the topical JAK inhibitor program (ARQ-252 and ARQ-255) of $1.7 million, coupled with an increase in compensation and personnel-related costs of $3.2 million, and an increase in other costs of $2.2 million. This increase was offset by a decrease in direct costs related to the topical roflumilast program of $6.4 million. The increased topical JAK inhibitor program costs relate primarily to our Phase 2 study of ARQ-252 in vitiligo. The increase in compensation and personnel-related expenses, which includes stock-based compensation, was primarily due to an increase in headcount. The increase in other costs relate primarily to an increase in consulting activity and medical affairs spending. The decreased topical roflumilast program costs relate primarily to completion of our Phase 3 studies of roflumilast cream in plaque psoriasis and Phase 2 studies of roflumilast foam in seborrheic dermatitis and scalp psoriasis, partially offset by the costs related to our ongoing Phase 3 studies of roflumilast cream in atopic dermatitis and Phase 3 studies of roflumilast foam in seborrheic dermatitis and scalp psoriasis.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63" w:lineRule="exact"/>
        <w:rPr>
          <w:sz w:val="20"/>
          <w:szCs w:val="20"/>
          <w:color w:val="auto"/>
        </w:rPr>
      </w:pPr>
    </w:p>
    <w:p>
      <w:pPr>
        <w:ind w:right="100" w:firstLine="643"/>
        <w:spacing w:after="0" w:line="250" w:lineRule="auto"/>
        <w:rPr>
          <w:sz w:val="20"/>
          <w:szCs w:val="20"/>
          <w:color w:val="auto"/>
        </w:rPr>
      </w:pPr>
      <w:r>
        <w:rPr>
          <w:rFonts w:ascii="Arial" w:cs="Arial" w:eastAsia="Arial" w:hAnsi="Arial"/>
          <w:sz w:val="18"/>
          <w:szCs w:val="18"/>
          <w:color w:val="auto"/>
        </w:rPr>
        <w:t>General and administrative expenses increased by $5.7 million, or 101%, for the three months ended June 30, 2021 compared to the three months ended June 30, 2020. The increase was primarily due to an increase in compensation and personnel-related expenses of $2.9 million, and an increase in professional services of $2.1 million. The increase in compensation and personnel-related expenses, which includes stock-based compensation, was primarily due to an increase in headcount. The increase in professional services was mainly due to an increase in consulting activity and marketing expenses primarily related to roflumilast.</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77" w:lineRule="exact"/>
        <w:rPr>
          <w:sz w:val="20"/>
          <w:szCs w:val="20"/>
          <w:color w:val="auto"/>
        </w:rPr>
      </w:pPr>
    </w:p>
    <w:p>
      <w:pPr>
        <w:ind w:right="200" w:firstLine="643"/>
        <w:spacing w:after="0" w:line="255" w:lineRule="auto"/>
        <w:rPr>
          <w:sz w:val="20"/>
          <w:szCs w:val="20"/>
          <w:color w:val="auto"/>
        </w:rPr>
      </w:pPr>
      <w:r>
        <w:rPr>
          <w:rFonts w:ascii="Arial" w:cs="Arial" w:eastAsia="Arial" w:hAnsi="Arial"/>
          <w:sz w:val="18"/>
          <w:szCs w:val="18"/>
          <w:color w:val="auto"/>
        </w:rPr>
        <w:t>Other income, net decreased by $143,000, or 67%, for the three months ended June 30, 2021 compared to the three months ended June 30, 2020. The decrease was due to a lower yield on our investment portfolio.</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2021 and 2020</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6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Six Months Ended June 30,</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ind w:right="720"/>
              <w:spacing w:after="0"/>
              <w:rPr>
                <w:sz w:val="20"/>
                <w:szCs w:val="20"/>
                <w:color w:val="auto"/>
              </w:rPr>
            </w:pPr>
            <w:r>
              <w:rPr>
                <w:rFonts w:ascii="Arial" w:cs="Arial" w:eastAsia="Arial" w:hAnsi="Arial"/>
                <w:sz w:val="14"/>
                <w:szCs w:val="14"/>
                <w:b w:val="1"/>
                <w:bCs w:val="1"/>
                <w:color w:val="auto"/>
                <w:w w:val="97"/>
              </w:rPr>
              <w:t>Change</w:t>
            </w:r>
          </w:p>
        </w:tc>
        <w:tc>
          <w:tcPr>
            <w:tcW w:w="760" w:type="dxa"/>
            <w:vAlign w:val="bottom"/>
            <w:tcBorders>
              <w:bottom w:val="single" w:sz="8" w:color="auto"/>
            </w:tcBorders>
          </w:tcPr>
          <w:p>
            <w:pPr>
              <w:spacing w:after="0"/>
              <w:rPr>
                <w:sz w:val="17"/>
                <w:szCs w:val="17"/>
                <w:color w:val="auto"/>
              </w:rPr>
            </w:pPr>
          </w:p>
        </w:tc>
      </w:tr>
      <w:tr>
        <w:trPr>
          <w:trHeight w:val="181"/>
        </w:trPr>
        <w:tc>
          <w:tcPr>
            <w:tcW w:w="26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w:t>
            </w:r>
          </w:p>
        </w:tc>
      </w:tr>
      <w:tr>
        <w:trPr>
          <w:trHeight w:val="196"/>
        </w:trPr>
        <w:tc>
          <w:tcPr>
            <w:tcW w:w="2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4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9"/>
              </w:rPr>
              <w:t>(unaudited)</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20"/>
        </w:trPr>
        <w:tc>
          <w:tcPr>
            <w:tcW w:w="2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5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54"/>
        </w:trPr>
        <w:tc>
          <w:tcPr>
            <w:tcW w:w="26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Operating expenses:</w:t>
            </w:r>
          </w:p>
        </w:tc>
        <w:tc>
          <w:tcPr>
            <w:tcW w:w="10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r>
      <w:tr>
        <w:trPr>
          <w:trHeight w:val="239"/>
        </w:trPr>
        <w:tc>
          <w:tcPr>
            <w:tcW w:w="2600" w:type="dxa"/>
            <w:vAlign w:val="bottom"/>
          </w:tcPr>
          <w:p>
            <w:pPr>
              <w:ind w:left="980"/>
              <w:spacing w:after="0"/>
              <w:rPr>
                <w:sz w:val="20"/>
                <w:szCs w:val="20"/>
                <w:color w:val="auto"/>
              </w:rPr>
            </w:pPr>
            <w:r>
              <w:rPr>
                <w:rFonts w:ascii="Arial" w:cs="Arial" w:eastAsia="Arial" w:hAnsi="Arial"/>
                <w:sz w:val="18"/>
                <w:szCs w:val="18"/>
                <w:color w:val="auto"/>
              </w:rPr>
              <w:t>Research and</w:t>
            </w:r>
          </w:p>
        </w:tc>
        <w:tc>
          <w:tcPr>
            <w:tcW w:w="10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2"/>
        </w:trPr>
        <w:tc>
          <w:tcPr>
            <w:tcW w:w="2600" w:type="dxa"/>
            <w:vAlign w:val="bottom"/>
          </w:tcPr>
          <w:p>
            <w:pPr>
              <w:ind w:left="340"/>
              <w:spacing w:after="0"/>
              <w:rPr>
                <w:sz w:val="20"/>
                <w:szCs w:val="20"/>
                <w:color w:val="auto"/>
              </w:rPr>
            </w:pPr>
            <w:r>
              <w:rPr>
                <w:rFonts w:ascii="Arial" w:cs="Arial" w:eastAsia="Arial" w:hAnsi="Arial"/>
                <w:sz w:val="18"/>
                <w:szCs w:val="18"/>
                <w:color w:val="auto"/>
              </w:rPr>
              <w:t>development</w:t>
            </w: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52,396</w:t>
            </w:r>
          </w:p>
        </w:tc>
        <w:tc>
          <w:tcPr>
            <w:tcW w:w="13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55,191</w:t>
            </w:r>
          </w:p>
        </w:tc>
        <w:tc>
          <w:tcPr>
            <w:tcW w:w="100" w:type="dxa"/>
            <w:vAlign w:val="bottom"/>
          </w:tcPr>
          <w:p>
            <w:pPr>
              <w:spacing w:after="0"/>
              <w:rPr>
                <w:sz w:val="21"/>
                <w:szCs w:val="21"/>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(2,795)</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26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General and</w:t>
            </w:r>
          </w:p>
        </w:tc>
        <w:tc>
          <w:tcPr>
            <w:tcW w:w="10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r>
      <w:tr>
        <w:trPr>
          <w:trHeight w:val="243"/>
        </w:trPr>
        <w:tc>
          <w:tcPr>
            <w:tcW w:w="2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10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25,769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9,087</w:t>
            </w:r>
          </w:p>
        </w:tc>
        <w:tc>
          <w:tcPr>
            <w:tcW w:w="10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16,682</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2600" w:type="dxa"/>
            <w:vAlign w:val="bottom"/>
          </w:tcPr>
          <w:p>
            <w:pPr>
              <w:ind w:left="660"/>
              <w:spacing w:after="0"/>
              <w:rPr>
                <w:sz w:val="20"/>
                <w:szCs w:val="20"/>
                <w:color w:val="auto"/>
              </w:rPr>
            </w:pPr>
            <w:r>
              <w:rPr>
                <w:rFonts w:ascii="Arial" w:cs="Arial" w:eastAsia="Arial" w:hAnsi="Arial"/>
                <w:sz w:val="18"/>
                <w:szCs w:val="18"/>
                <w:color w:val="auto"/>
              </w:rPr>
              <w:t>Total operating</w:t>
            </w:r>
          </w:p>
        </w:tc>
        <w:tc>
          <w:tcPr>
            <w:tcW w:w="1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42"/>
        </w:trPr>
        <w:tc>
          <w:tcPr>
            <w:tcW w:w="2600" w:type="dxa"/>
            <w:vAlign w:val="bottom"/>
          </w:tcPr>
          <w:p>
            <w:pPr>
              <w:ind w:left="20"/>
              <w:spacing w:after="0"/>
              <w:rPr>
                <w:sz w:val="20"/>
                <w:szCs w:val="20"/>
                <w:color w:val="auto"/>
              </w:rPr>
            </w:pPr>
            <w:r>
              <w:rPr>
                <w:rFonts w:ascii="Arial" w:cs="Arial" w:eastAsia="Arial" w:hAnsi="Arial"/>
                <w:sz w:val="18"/>
                <w:szCs w:val="18"/>
                <w:color w:val="auto"/>
              </w:rPr>
              <w:t>expenses</w:t>
            </w: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78,165</w:t>
            </w:r>
          </w:p>
        </w:tc>
        <w:tc>
          <w:tcPr>
            <w:tcW w:w="13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64,278</w:t>
            </w:r>
          </w:p>
        </w:tc>
        <w:tc>
          <w:tcPr>
            <w:tcW w:w="100" w:type="dxa"/>
            <w:vAlign w:val="bottom"/>
          </w:tcPr>
          <w:p>
            <w:pPr>
              <w:spacing w:after="0"/>
              <w:rPr>
                <w:sz w:val="21"/>
                <w:szCs w:val="21"/>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13,887</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9"/>
        </w:trPr>
        <w:tc>
          <w:tcPr>
            <w:tcW w:w="260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Loss from operations</w:t>
            </w:r>
          </w:p>
        </w:tc>
        <w:tc>
          <w:tcPr>
            <w:tcW w:w="100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(78,165)</w:t>
            </w:r>
          </w:p>
        </w:tc>
        <w:tc>
          <w:tcPr>
            <w:tcW w:w="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(64,278)</w:t>
            </w:r>
          </w:p>
        </w:tc>
        <w:tc>
          <w:tcPr>
            <w:tcW w:w="10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(13,887)</w:t>
            </w:r>
          </w:p>
        </w:tc>
        <w:tc>
          <w:tcPr>
            <w:tcW w:w="124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7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7"/>
        </w:trPr>
        <w:tc>
          <w:tcPr>
            <w:tcW w:w="260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Other income, net</w:t>
            </w:r>
          </w:p>
        </w:tc>
        <w:tc>
          <w:tcPr>
            <w:tcW w:w="10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124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(87)</w:t>
            </w: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r>
      <w:tr>
        <w:trPr>
          <w:trHeight w:val="242"/>
        </w:trPr>
        <w:tc>
          <w:tcPr>
            <w:tcW w:w="2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loss</w:t>
            </w: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(78,050)</w:t>
            </w: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(63,425)</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(14,625)</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r>
    </w:tbl>
    <w:p>
      <w:pPr>
        <w:spacing w:after="0" w:line="20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74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ind w:right="720"/>
              <w:spacing w:after="0"/>
              <w:rPr>
                <w:sz w:val="20"/>
                <w:szCs w:val="20"/>
                <w:color w:val="auto"/>
              </w:rPr>
            </w:pPr>
            <w:r>
              <w:rPr>
                <w:rFonts w:ascii="Arial" w:cs="Arial" w:eastAsia="Arial" w:hAnsi="Arial"/>
                <w:sz w:val="14"/>
                <w:szCs w:val="14"/>
                <w:b w:val="1"/>
                <w:bCs w:val="1"/>
                <w:color w:val="auto"/>
                <w:w w:val="97"/>
              </w:rPr>
              <w:t>Change</w:t>
            </w: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7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2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(unaudited)</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Direct external costs:</w:t>
            </w:r>
          </w:p>
        </w:tc>
        <w:tc>
          <w:tcPr>
            <w:tcW w:w="9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740" w:type="dxa"/>
            <w:vAlign w:val="bottom"/>
          </w:tcPr>
          <w:p>
            <w:pPr>
              <w:ind w:left="980"/>
              <w:spacing w:after="0" w:line="187" w:lineRule="exact"/>
              <w:rPr>
                <w:sz w:val="20"/>
                <w:szCs w:val="20"/>
                <w:color w:val="auto"/>
              </w:rPr>
            </w:pPr>
            <w:r>
              <w:rPr>
                <w:rFonts w:ascii="Arial" w:cs="Arial" w:eastAsia="Arial" w:hAnsi="Arial"/>
                <w:sz w:val="18"/>
                <w:szCs w:val="18"/>
                <w:color w:val="auto"/>
              </w:rPr>
              <w:t>Topical roflumilast</w:t>
            </w: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740" w:type="dxa"/>
            <w:vAlign w:val="bottom"/>
          </w:tcPr>
          <w:p>
            <w:pPr>
              <w:ind w:left="340"/>
              <w:spacing w:after="0"/>
              <w:rPr>
                <w:sz w:val="20"/>
                <w:szCs w:val="20"/>
                <w:color w:val="auto"/>
              </w:rPr>
            </w:pPr>
            <w:r>
              <w:rPr>
                <w:rFonts w:ascii="Arial" w:cs="Arial" w:eastAsia="Arial" w:hAnsi="Arial"/>
                <w:sz w:val="18"/>
                <w:szCs w:val="18"/>
                <w:color w:val="auto"/>
              </w:rPr>
              <w:t>program</w:t>
            </w: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26,673</w:t>
            </w:r>
          </w:p>
        </w:tc>
        <w:tc>
          <w:tcPr>
            <w:tcW w:w="13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43,834</w:t>
            </w:r>
          </w:p>
        </w:tc>
        <w:tc>
          <w:tcPr>
            <w:tcW w:w="100" w:type="dxa"/>
            <w:vAlign w:val="bottom"/>
          </w:tcPr>
          <w:p>
            <w:pPr>
              <w:spacing w:after="0"/>
              <w:rPr>
                <w:sz w:val="18"/>
                <w:szCs w:val="18"/>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(17,161)</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7"/>
        </w:trPr>
        <w:tc>
          <w:tcPr>
            <w:tcW w:w="2740" w:type="dxa"/>
            <w:vAlign w:val="bottom"/>
            <w:shd w:val="clear" w:color="auto" w:fill="CCEEFF"/>
          </w:tcPr>
          <w:p>
            <w:pPr>
              <w:ind w:left="980"/>
              <w:spacing w:after="0" w:line="188" w:lineRule="exact"/>
              <w:rPr>
                <w:sz w:val="20"/>
                <w:szCs w:val="20"/>
                <w:color w:val="auto"/>
              </w:rPr>
            </w:pPr>
            <w:r>
              <w:rPr>
                <w:rFonts w:ascii="Arial" w:cs="Arial" w:eastAsia="Arial" w:hAnsi="Arial"/>
                <w:sz w:val="18"/>
                <w:szCs w:val="18"/>
                <w:color w:val="auto"/>
              </w:rPr>
              <w:t>Topical JAK inhibitor</w:t>
            </w:r>
          </w:p>
        </w:tc>
        <w:tc>
          <w:tcPr>
            <w:tcW w:w="9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program</w:t>
            </w:r>
          </w:p>
        </w:tc>
        <w:tc>
          <w:tcPr>
            <w:tcW w:w="9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3,902</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7"/>
        </w:trPr>
        <w:tc>
          <w:tcPr>
            <w:tcW w:w="2740" w:type="dxa"/>
            <w:vAlign w:val="bottom"/>
          </w:tcPr>
          <w:p>
            <w:pPr>
              <w:ind w:left="980"/>
              <w:spacing w:after="0" w:line="187" w:lineRule="exact"/>
              <w:rPr>
                <w:sz w:val="20"/>
                <w:szCs w:val="20"/>
                <w:color w:val="auto"/>
              </w:rPr>
            </w:pPr>
            <w:r>
              <w:rPr>
                <w:rFonts w:ascii="Arial" w:cs="Arial" w:eastAsia="Arial" w:hAnsi="Arial"/>
                <w:sz w:val="18"/>
                <w:szCs w:val="18"/>
                <w:color w:val="auto"/>
              </w:rPr>
              <w:t>Other early stage</w:t>
            </w: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740" w:type="dxa"/>
            <w:vAlign w:val="bottom"/>
          </w:tcPr>
          <w:p>
            <w:pPr>
              <w:ind w:left="340"/>
              <w:spacing w:after="0"/>
              <w:rPr>
                <w:sz w:val="20"/>
                <w:szCs w:val="20"/>
                <w:color w:val="auto"/>
              </w:rPr>
            </w:pPr>
            <w:r>
              <w:rPr>
                <w:rFonts w:ascii="Arial" w:cs="Arial" w:eastAsia="Arial" w:hAnsi="Arial"/>
                <w:sz w:val="18"/>
                <w:szCs w:val="18"/>
                <w:color w:val="auto"/>
              </w:rPr>
              <w:t>programs</w:t>
            </w:r>
          </w:p>
        </w:tc>
        <w:tc>
          <w:tcPr>
            <w:tcW w:w="9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219</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592</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Indirect costs:</w:t>
            </w:r>
          </w:p>
        </w:tc>
        <w:tc>
          <w:tcPr>
            <w:tcW w:w="9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740" w:type="dxa"/>
            <w:vAlign w:val="bottom"/>
          </w:tcPr>
          <w:p>
            <w:pPr>
              <w:ind w:left="980"/>
              <w:spacing w:after="0" w:line="187" w:lineRule="exact"/>
              <w:rPr>
                <w:sz w:val="20"/>
                <w:szCs w:val="20"/>
                <w:color w:val="auto"/>
              </w:rPr>
            </w:pPr>
            <w:r>
              <w:rPr>
                <w:rFonts w:ascii="Arial" w:cs="Arial" w:eastAsia="Arial" w:hAnsi="Arial"/>
                <w:sz w:val="18"/>
                <w:szCs w:val="18"/>
                <w:color w:val="auto"/>
              </w:rPr>
              <w:t>Compensation and</w:t>
            </w: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740" w:type="dxa"/>
            <w:vAlign w:val="bottom"/>
          </w:tcPr>
          <w:p>
            <w:pPr>
              <w:ind w:left="340"/>
              <w:spacing w:after="0"/>
              <w:rPr>
                <w:sz w:val="20"/>
                <w:szCs w:val="20"/>
                <w:color w:val="auto"/>
              </w:rPr>
            </w:pPr>
            <w:r>
              <w:rPr>
                <w:rFonts w:ascii="Arial" w:cs="Arial" w:eastAsia="Arial" w:hAnsi="Arial"/>
                <w:sz w:val="18"/>
                <w:szCs w:val="18"/>
                <w:color w:val="auto"/>
              </w:rPr>
              <w:t>personnel-related</w:t>
            </w:r>
          </w:p>
        </w:tc>
        <w:tc>
          <w:tcPr>
            <w:tcW w:w="9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11,438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5,376</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6,062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113</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7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6,514</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4,183</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7"/>
        </w:trPr>
        <w:tc>
          <w:tcPr>
            <w:tcW w:w="2740" w:type="dxa"/>
            <w:vAlign w:val="bottom"/>
          </w:tcPr>
          <w:p>
            <w:pPr>
              <w:ind w:left="660"/>
              <w:spacing w:after="0" w:line="167" w:lineRule="exact"/>
              <w:rPr>
                <w:sz w:val="20"/>
                <w:szCs w:val="20"/>
                <w:color w:val="auto"/>
              </w:rPr>
            </w:pPr>
            <w:r>
              <w:rPr>
                <w:rFonts w:ascii="Arial" w:cs="Arial" w:eastAsia="Arial" w:hAnsi="Arial"/>
                <w:sz w:val="18"/>
                <w:szCs w:val="18"/>
                <w:color w:val="auto"/>
              </w:rPr>
              <w:t>Total research and</w:t>
            </w:r>
          </w:p>
        </w:tc>
        <w:tc>
          <w:tcPr>
            <w:tcW w:w="980" w:type="dxa"/>
            <w:vAlign w:val="bottom"/>
            <w:vMerge w:val="restart"/>
          </w:tcPr>
          <w:p>
            <w:pPr>
              <w:jc w:val="right"/>
              <w:ind w:right="131"/>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52,396</w:t>
            </w:r>
          </w:p>
        </w:tc>
        <w:tc>
          <w:tcPr>
            <w:tcW w:w="1340" w:type="dxa"/>
            <w:vAlign w:val="bottom"/>
            <w:gridSpan w:val="3"/>
            <w:vMerge w:val="restart"/>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55,191</w:t>
            </w:r>
          </w:p>
        </w:tc>
        <w:tc>
          <w:tcPr>
            <w:tcW w:w="100" w:type="dxa"/>
            <w:vAlign w:val="bottom"/>
          </w:tcPr>
          <w:p>
            <w:pPr>
              <w:spacing w:after="0"/>
              <w:rPr>
                <w:sz w:val="14"/>
                <w:szCs w:val="14"/>
                <w:color w:val="auto"/>
              </w:rPr>
            </w:pPr>
          </w:p>
        </w:tc>
        <w:tc>
          <w:tcPr>
            <w:tcW w:w="1040" w:type="dxa"/>
            <w:vAlign w:val="bottom"/>
            <w:vMerge w:val="restart"/>
          </w:tcPr>
          <w:p>
            <w:pPr>
              <w:jc w:val="right"/>
              <w:ind w:right="191"/>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(2,795)</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740" w:type="dxa"/>
            <w:vAlign w:val="bottom"/>
          </w:tcPr>
          <w:p>
            <w:pPr>
              <w:ind w:left="20"/>
              <w:spacing w:after="0" w:line="189" w:lineRule="exact"/>
              <w:rPr>
                <w:sz w:val="20"/>
                <w:szCs w:val="20"/>
                <w:color w:val="auto"/>
              </w:rPr>
            </w:pPr>
            <w:r>
              <w:rPr>
                <w:rFonts w:ascii="Arial" w:cs="Arial" w:eastAsia="Arial" w:hAnsi="Arial"/>
                <w:sz w:val="18"/>
                <w:szCs w:val="18"/>
                <w:color w:val="auto"/>
              </w:rPr>
              <w:t>development expense</w:t>
            </w:r>
          </w:p>
        </w:tc>
        <w:tc>
          <w:tcPr>
            <w:tcW w:w="98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24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(5)</w:t>
            </w: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9"/>
        </w:trPr>
        <w:tc>
          <w:tcPr>
            <w:tcW w:w="2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rPr>
              <w:t>29</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7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80" w:firstLine="643"/>
        <w:spacing w:after="0" w:line="249" w:lineRule="auto"/>
        <w:rPr>
          <w:sz w:val="20"/>
          <w:szCs w:val="20"/>
          <w:color w:val="auto"/>
        </w:rPr>
      </w:pPr>
      <w:r>
        <w:rPr>
          <w:rFonts w:ascii="Arial" w:cs="Arial" w:eastAsia="Arial" w:hAnsi="Arial"/>
          <w:sz w:val="18"/>
          <w:szCs w:val="18"/>
          <w:color w:val="auto"/>
        </w:rPr>
        <w:t>Research and development expenses decreased by $2.8 million, or 5%, for the six months ended June 30, 2021 compared to the six months ended June 30, 2020. The decrease was due to a decrease in direct costs related to the topical roflumilast program of $17.2 million. This decrease was offset by an increase in direct costs related to the topical JAK inhibitor program (ARQ-252 and ARQ-255) of $3.9 million, an increase in compensation and personnel-related costs of $6.1 million, and an increase of $4.2 million in other costs. The decreased topical roflumilast program costs relate primarily to the completion of the Phase 3 studies of roflumilast cream for plaque psoriasis and the Phase 2 studies of roflumilast foam in seborrheic dermatitis and scalp psoriasis. This decrease was partially offset by the costs related to our Phase 3 studies of roflumilast cream in atopic dermatitis and Phase 3 studies of roflumilast foam in seborrheic dermatitis and scalp psoriasis. The increased topical JAK inhibitor program costs relate primarily to our Phase 2 studies of ARQ-252 in hand eczema and vitiligo. The increase in compensation and personnel-related expenses, which includes stock-based compensation, was primarily due to an increase in headcount. The increase in other costs relate primarily to an increase in consulting activity and medical affairs spending.</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7" w:lineRule="exact"/>
        <w:rPr>
          <w:sz w:val="20"/>
          <w:szCs w:val="20"/>
          <w:color w:val="auto"/>
        </w:rPr>
      </w:pPr>
    </w:p>
    <w:p>
      <w:pPr>
        <w:ind w:firstLine="643"/>
        <w:spacing w:after="0" w:line="249" w:lineRule="auto"/>
        <w:rPr>
          <w:sz w:val="20"/>
          <w:szCs w:val="20"/>
          <w:color w:val="auto"/>
        </w:rPr>
      </w:pPr>
      <w:r>
        <w:rPr>
          <w:rFonts w:ascii="Arial" w:cs="Arial" w:eastAsia="Arial" w:hAnsi="Arial"/>
          <w:sz w:val="18"/>
          <w:szCs w:val="18"/>
          <w:color w:val="auto"/>
        </w:rPr>
        <w:t>General and administrative expenses increased by $16.7 million, or 184%, for the six months ended June 30, 2021 compared to the six months ended June 30, 2020. The increase was primarily due to an increase in compensation and personnel-related expenses of $10.5 million, and an increase in professional services of $4.7 million. The increase in compensation and personnel-related expenses, which includes stock-based compensation, was primarily due to the recognition of $5.3 million of incremental stock-based compensation expense as a result of modification to the vesting schedule and exercise term of previously-granted awards in connection with the retirement of our former Chief Financial Officer during the first quarter, as well as an increase in headcount. The increase in professional services was mainly due to an increase in consulting activity and marketing expenses primarily related to roflumilast.</w:t>
      </w:r>
    </w:p>
    <w:p>
      <w:pPr>
        <w:spacing w:after="0" w:line="12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63" w:lineRule="exact"/>
        <w:rPr>
          <w:sz w:val="20"/>
          <w:szCs w:val="20"/>
          <w:color w:val="auto"/>
        </w:rPr>
      </w:pPr>
    </w:p>
    <w:p>
      <w:pPr>
        <w:ind w:right="420" w:firstLine="643"/>
        <w:spacing w:after="0" w:line="255" w:lineRule="auto"/>
        <w:rPr>
          <w:sz w:val="20"/>
          <w:szCs w:val="20"/>
          <w:color w:val="auto"/>
        </w:rPr>
      </w:pPr>
      <w:r>
        <w:rPr>
          <w:rFonts w:ascii="Arial" w:cs="Arial" w:eastAsia="Arial" w:hAnsi="Arial"/>
          <w:sz w:val="18"/>
          <w:szCs w:val="18"/>
          <w:color w:val="auto"/>
        </w:rPr>
        <w:t>Other income, net decreased by $0.7 million, or 87%, for the six months ended June 30, 2021 compared to the six months ended June 30, 2020. The decrease was due to a lower yield on our investment portfolio.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Capital Resources, and Requirements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63" w:lineRule="exact"/>
        <w:rPr>
          <w:sz w:val="20"/>
          <w:szCs w:val="20"/>
          <w:color w:val="auto"/>
        </w:rPr>
      </w:pPr>
    </w:p>
    <w:p>
      <w:pPr>
        <w:ind w:right="20" w:firstLine="643"/>
        <w:spacing w:after="0" w:line="267" w:lineRule="auto"/>
        <w:rPr>
          <w:sz w:val="20"/>
          <w:szCs w:val="20"/>
          <w:color w:val="auto"/>
        </w:rPr>
      </w:pPr>
      <w:r>
        <w:rPr>
          <w:rFonts w:ascii="Arial" w:cs="Arial" w:eastAsia="Arial" w:hAnsi="Arial"/>
          <w:sz w:val="17"/>
          <w:szCs w:val="17"/>
          <w:color w:val="auto"/>
        </w:rPr>
        <w:t>We have incurred operating losses since our inception and have an accumulated deficit as a result of ongoing efforts to develop our product candidates, including conducting preclinical and clinical trials and providing general and administrative support for these operations. As of June 30, 2021, we had cash, cash equivalents, restricted cash, and marketable securities of $410.9 million, and an accumulated deficit of $280.0 million. We anticipate that operating losses and net cash used in operating activities will increase over the next several years as we further develop roflumilast cream, roflumilast foam, ARQ-252, and ARQ-255, move into later and more costly stages of product development, develop new product candidates, hire personnel, and prepare for regulatory submissions and the commercialization of our product candidates.</w:t>
      </w:r>
    </w:p>
    <w:p>
      <w:pPr>
        <w:spacing w:after="0" w:line="128" w:lineRule="exact"/>
        <w:rPr>
          <w:sz w:val="20"/>
          <w:szCs w:val="20"/>
          <w:color w:val="auto"/>
        </w:rPr>
      </w:pPr>
    </w:p>
    <w:p>
      <w:pPr>
        <w:ind w:firstLine="643"/>
        <w:spacing w:after="0" w:line="249" w:lineRule="auto"/>
        <w:rPr>
          <w:sz w:val="20"/>
          <w:szCs w:val="20"/>
          <w:color w:val="auto"/>
        </w:rPr>
      </w:pPr>
      <w:r>
        <w:rPr>
          <w:rFonts w:ascii="Arial" w:cs="Arial" w:eastAsia="Arial" w:hAnsi="Arial"/>
          <w:sz w:val="18"/>
          <w:szCs w:val="18"/>
          <w:color w:val="auto"/>
        </w:rPr>
        <w:t>We have historically financed our operations primarily through private placements of preferred stock, as well as our IPO completed in January 2020, and our follow-on financings in October 2020 and February 2021. We will continue to be dependent upon equity, debt financing, collaborations, or other forms of capital at least until we are able to generate positive cash flows from our operations. On May 6, 2021, we entered into a Sales Agreement, with Cowen, to sell shares of our common stock, from time to time, with aggregate gross sales proceeds of up to $100.0 million through an ATM equity offering program under which Cowen acts as sales agent. During the six months ended June 30, 2021, we did not issue or sell any shares of our common stock through our ATM.</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cash flows for the periods indicated: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80" w:type="dxa"/>
            <w:vAlign w:val="bottom"/>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center"/>
              <w:ind w:left="18"/>
              <w:spacing w:after="0"/>
              <w:rPr>
                <w:sz w:val="20"/>
                <w:szCs w:val="20"/>
                <w:color w:val="auto"/>
              </w:rPr>
            </w:pPr>
            <w:r>
              <w:rPr>
                <w:rFonts w:ascii="Arial" w:cs="Arial" w:eastAsia="Arial" w:hAnsi="Arial"/>
                <w:sz w:val="14"/>
                <w:szCs w:val="14"/>
                <w:b w:val="1"/>
                <w:bCs w:val="1"/>
                <w:color w:val="auto"/>
              </w:rPr>
              <w:t>Six Months Ended June 30,</w:t>
            </w:r>
          </w:p>
        </w:tc>
        <w:tc>
          <w:tcPr>
            <w:tcW w:w="1220" w:type="dxa"/>
            <w:vAlign w:val="bottom"/>
            <w:tcBorders>
              <w:bottom w:val="single" w:sz="8" w:color="auto"/>
            </w:tcBorders>
          </w:tcPr>
          <w:p>
            <w:pPr>
              <w:spacing w:after="0"/>
              <w:rPr>
                <w:sz w:val="16"/>
                <w:szCs w:val="16"/>
                <w:color w:val="auto"/>
              </w:rPr>
            </w:pPr>
          </w:p>
        </w:tc>
      </w:tr>
      <w:tr>
        <w:trPr>
          <w:trHeight w:val="181"/>
        </w:trPr>
        <w:tc>
          <w:tcPr>
            <w:tcW w:w="6080" w:type="dxa"/>
            <w:vAlign w:val="bottom"/>
          </w:tcPr>
          <w:p>
            <w:pPr>
              <w:spacing w:after="0"/>
              <w:rPr>
                <w:sz w:val="15"/>
                <w:szCs w:val="15"/>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2020</w:t>
            </w:r>
          </w:p>
        </w:tc>
      </w:tr>
      <w:tr>
        <w:trPr>
          <w:trHeight w:val="236"/>
        </w:trPr>
        <w:tc>
          <w:tcPr>
            <w:tcW w:w="60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540" w:type="dxa"/>
            <w:vAlign w:val="bottom"/>
            <w:gridSpan w:val="3"/>
          </w:tcPr>
          <w:p>
            <w:pPr>
              <w:jc w:val="center"/>
              <w:ind w:left="638"/>
              <w:spacing w:after="0"/>
              <w:rPr>
                <w:sz w:val="20"/>
                <w:szCs w:val="20"/>
                <w:color w:val="auto"/>
              </w:rPr>
            </w:pPr>
            <w:r>
              <w:rPr>
                <w:rFonts w:ascii="Arial" w:cs="Arial" w:eastAsia="Arial" w:hAnsi="Arial"/>
                <w:sz w:val="14"/>
                <w:szCs w:val="14"/>
                <w:b w:val="1"/>
                <w:bCs w:val="1"/>
                <w:color w:val="auto"/>
              </w:rPr>
              <w:t>(unaudited)</w:t>
            </w:r>
          </w:p>
        </w:tc>
        <w:tc>
          <w:tcPr>
            <w:tcW w:w="6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20"/>
        </w:trPr>
        <w:tc>
          <w:tcPr>
            <w:tcW w:w="60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180" w:type="dxa"/>
            <w:vAlign w:val="bottom"/>
            <w:gridSpan w:val="4"/>
          </w:tcPr>
          <w:p>
            <w:pPr>
              <w:jc w:val="center"/>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19"/>
                <w:szCs w:val="19"/>
                <w:color w:val="auto"/>
              </w:rPr>
            </w:pPr>
          </w:p>
        </w:tc>
      </w:tr>
      <w:tr>
        <w:trPr>
          <w:trHeight w:val="233"/>
        </w:trPr>
        <w:tc>
          <w:tcPr>
            <w:tcW w:w="60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Cash used in operating activities</w:t>
            </w:r>
          </w:p>
        </w:tc>
        <w:tc>
          <w:tcPr>
            <w:tcW w:w="1760" w:type="dxa"/>
            <w:vAlign w:val="bottom"/>
            <w:shd w:val="clear" w:color="auto" w:fill="CCEEFF"/>
          </w:tcPr>
          <w:p>
            <w:pPr>
              <w:jc w:val="right"/>
              <w:ind w:right="91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(82,034)</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(46,771)</w:t>
            </w:r>
          </w:p>
        </w:tc>
      </w:tr>
      <w:tr>
        <w:trPr>
          <w:trHeight w:val="227"/>
        </w:trPr>
        <w:tc>
          <w:tcPr>
            <w:tcW w:w="6080" w:type="dxa"/>
            <w:vAlign w:val="bottom"/>
          </w:tcPr>
          <w:p>
            <w:pPr>
              <w:ind w:left="660"/>
              <w:spacing w:after="0"/>
              <w:rPr>
                <w:sz w:val="20"/>
                <w:szCs w:val="20"/>
                <w:color w:val="auto"/>
              </w:rPr>
            </w:pPr>
            <w:r>
              <w:rPr>
                <w:rFonts w:ascii="Arial" w:cs="Arial" w:eastAsia="Arial" w:hAnsi="Arial"/>
                <w:sz w:val="18"/>
                <w:szCs w:val="18"/>
                <w:color w:val="auto"/>
              </w:rPr>
              <w:t>Cash used in investing activities</w:t>
            </w:r>
          </w:p>
        </w:tc>
        <w:tc>
          <w:tcPr>
            <w:tcW w:w="17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8"/>
              </w:rPr>
              <w:t>(102,923)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(14,221)</w:t>
            </w:r>
          </w:p>
        </w:tc>
      </w:tr>
      <w:tr>
        <w:trPr>
          <w:trHeight w:val="228"/>
        </w:trPr>
        <w:tc>
          <w:tcPr>
            <w:tcW w:w="60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Cash provided by financing activities</w:t>
            </w:r>
          </w:p>
        </w:tc>
        <w:tc>
          <w:tcPr>
            <w:tcW w:w="17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209,003</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169,202</w:t>
            </w:r>
          </w:p>
        </w:tc>
      </w:tr>
      <w:tr>
        <w:trPr>
          <w:trHeight w:val="220"/>
        </w:trPr>
        <w:tc>
          <w:tcPr>
            <w:tcW w:w="6080" w:type="dxa"/>
            <w:vAlign w:val="bottom"/>
          </w:tcPr>
          <w:p>
            <w:pPr>
              <w:ind w:left="660"/>
              <w:spacing w:after="0"/>
              <w:rPr>
                <w:sz w:val="20"/>
                <w:szCs w:val="20"/>
                <w:color w:val="auto"/>
              </w:rPr>
            </w:pPr>
            <w:r>
              <w:rPr>
                <w:rFonts w:ascii="Arial" w:cs="Arial" w:eastAsia="Arial" w:hAnsi="Arial"/>
                <w:sz w:val="18"/>
                <w:szCs w:val="18"/>
                <w:color w:val="auto"/>
              </w:rPr>
              <w:t>Net increase in cash, cash equivalents, and restricted cash</w:t>
            </w:r>
          </w:p>
        </w:tc>
        <w:tc>
          <w:tcPr>
            <w:tcW w:w="1760" w:type="dxa"/>
            <w:vAlign w:val="bottom"/>
            <w:tcBorders>
              <w:bottom w:val="single" w:sz="8" w:color="auto"/>
            </w:tcBorders>
          </w:tcPr>
          <w:p>
            <w:pPr>
              <w:jc w:val="right"/>
              <w:ind w:right="917"/>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24,046</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108,210</w:t>
            </w:r>
          </w:p>
        </w:tc>
      </w:tr>
      <w:tr>
        <w:trPr>
          <w:trHeight w:val="21"/>
        </w:trPr>
        <w:tc>
          <w:tcPr>
            <w:tcW w:w="60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63" w:lineRule="exact"/>
        <w:rPr>
          <w:sz w:val="20"/>
          <w:szCs w:val="20"/>
          <w:color w:val="auto"/>
        </w:rPr>
      </w:pPr>
    </w:p>
    <w:p>
      <w:pPr>
        <w:ind w:right="160" w:firstLine="643"/>
        <w:spacing w:after="0" w:line="249" w:lineRule="auto"/>
        <w:rPr>
          <w:sz w:val="20"/>
          <w:szCs w:val="20"/>
          <w:color w:val="auto"/>
        </w:rPr>
      </w:pPr>
      <w:r>
        <w:rPr>
          <w:rFonts w:ascii="Arial" w:cs="Arial" w:eastAsia="Arial" w:hAnsi="Arial"/>
          <w:sz w:val="18"/>
          <w:szCs w:val="18"/>
          <w:color w:val="auto"/>
        </w:rPr>
        <w:t>During the six months ended June 30, 2021, net cash used in operating activities was $82.0 million, which consisted of a net loss of $78.1 million and a change in net operating assets and liabilities of $18.6 million offset by net non-cash charges of $14.6 million. The change in net operating assets and liabilities was primarily due to an increase of $9.8 million in prepaid expenses and other current assets due to an increase in prepaid clinical trials and a decrease of $9.0 million in accounts payable and accrued liabilities due to the timing of payments to contract research organizations and payment of employee bonuses accrued for at December 31, 2020. The net non-cash charges were primarily related to stock-based compensation expense of $12.8 million.</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During the six months ended June 30, 2020, net cash used in operating activities was $46.8 million, which consisted of a net loss of</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$63.4 million, offset by a change in net operating assets and liabilities of $13.8 million and net non-cash charges of $2.8 million. The change in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net operating assets and liabilities was due to an increase of $14.5 million in accounts payable and accrued liabilities due to our operating</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expense growth and timing of payments, partially offset by an increase of $0.6 million in prepaid expenses and other current assets. The net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non- cash charges were primarily related to stock-based compensation expense of $3.0 million.</w:t>
      </w:r>
    </w:p>
    <w:p>
      <w:pPr>
        <w:spacing w:after="0" w:line="1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63" w:lineRule="exact"/>
        <w:rPr>
          <w:sz w:val="20"/>
          <w:szCs w:val="20"/>
          <w:color w:val="auto"/>
        </w:rPr>
      </w:pPr>
    </w:p>
    <w:p>
      <w:pPr>
        <w:ind w:right="20" w:firstLine="643"/>
        <w:spacing w:after="0" w:line="252" w:lineRule="auto"/>
        <w:rPr>
          <w:sz w:val="20"/>
          <w:szCs w:val="20"/>
          <w:color w:val="auto"/>
        </w:rPr>
      </w:pPr>
      <w:r>
        <w:rPr>
          <w:rFonts w:ascii="Arial" w:cs="Arial" w:eastAsia="Arial" w:hAnsi="Arial"/>
          <w:sz w:val="18"/>
          <w:szCs w:val="18"/>
          <w:color w:val="auto"/>
        </w:rPr>
        <w:t>During the six months ended June 30, 2021, net cash used in investing activities was $102.9 million, which was comprised primarily of purchases of marketable securities of $211.9 million, partially offset by the proceeds from the maturities of marketable securities of $109.6 million.</w:t>
      </w:r>
    </w:p>
    <w:p>
      <w:pPr>
        <w:spacing w:after="0" w:line="138" w:lineRule="exact"/>
        <w:rPr>
          <w:sz w:val="20"/>
          <w:szCs w:val="20"/>
          <w:color w:val="auto"/>
        </w:rPr>
      </w:pPr>
    </w:p>
    <w:p>
      <w:pPr>
        <w:ind w:right="120" w:firstLine="643"/>
        <w:spacing w:after="0" w:line="285" w:lineRule="auto"/>
        <w:rPr>
          <w:sz w:val="20"/>
          <w:szCs w:val="20"/>
          <w:color w:val="auto"/>
        </w:rPr>
      </w:pPr>
      <w:r>
        <w:rPr>
          <w:rFonts w:ascii="Arial" w:cs="Arial" w:eastAsia="Arial" w:hAnsi="Arial"/>
          <w:sz w:val="17"/>
          <w:szCs w:val="17"/>
          <w:color w:val="auto"/>
        </w:rPr>
        <w:t>During the six months ended June 30, 2020, net cash used in investing activities was $14.2 million, which was comprised primarily of purchases of marketable securities of $62.8 million, partially offset by proceeds from the maturities of marketable securities of $48.6 million.</w:t>
      </w:r>
    </w:p>
    <w:p>
      <w:pPr>
        <w:spacing w:after="0" w:line="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63" w:lineRule="exact"/>
        <w:rPr>
          <w:sz w:val="20"/>
          <w:szCs w:val="20"/>
          <w:color w:val="auto"/>
        </w:rPr>
      </w:pPr>
    </w:p>
    <w:p>
      <w:pPr>
        <w:ind w:right="580" w:firstLine="643"/>
        <w:spacing w:after="0" w:line="255" w:lineRule="auto"/>
        <w:rPr>
          <w:sz w:val="20"/>
          <w:szCs w:val="20"/>
          <w:color w:val="auto"/>
        </w:rPr>
      </w:pPr>
      <w:r>
        <w:rPr>
          <w:rFonts w:ascii="Arial" w:cs="Arial" w:eastAsia="Arial" w:hAnsi="Arial"/>
          <w:sz w:val="18"/>
          <w:szCs w:val="18"/>
          <w:color w:val="auto"/>
        </w:rPr>
        <w:t>During the six months ended June 30, 2021, net cash provided by financing activities was $209.0 million, which was comprised primarily of the net cash proceeds received from the follow-on financing in February 2021 of $207.5 million.</w:t>
      </w:r>
    </w:p>
    <w:p>
      <w:pPr>
        <w:spacing w:after="0" w:line="136" w:lineRule="exact"/>
        <w:rPr>
          <w:sz w:val="20"/>
          <w:szCs w:val="20"/>
          <w:color w:val="auto"/>
        </w:rPr>
      </w:pPr>
    </w:p>
    <w:p>
      <w:pPr>
        <w:ind w:right="580" w:firstLine="643"/>
        <w:spacing w:after="0" w:line="255" w:lineRule="auto"/>
        <w:rPr>
          <w:sz w:val="20"/>
          <w:szCs w:val="20"/>
          <w:color w:val="auto"/>
        </w:rPr>
      </w:pPr>
      <w:r>
        <w:rPr>
          <w:rFonts w:ascii="Arial" w:cs="Arial" w:eastAsia="Arial" w:hAnsi="Arial"/>
          <w:sz w:val="18"/>
          <w:szCs w:val="18"/>
          <w:color w:val="auto"/>
        </w:rPr>
        <w:t>During the six months ended June 30, 2020, net cash provided by financing activities was $169.2 million, which was comprised primarily of the net cash proceeds received from the IPO of $168.6 million.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63" w:lineRule="exact"/>
        <w:rPr>
          <w:sz w:val="20"/>
          <w:szCs w:val="20"/>
          <w:color w:val="auto"/>
        </w:rPr>
      </w:pPr>
    </w:p>
    <w:p>
      <w:pPr>
        <w:ind w:right="80" w:firstLine="643"/>
        <w:spacing w:after="0" w:line="250" w:lineRule="auto"/>
        <w:rPr>
          <w:sz w:val="20"/>
          <w:szCs w:val="20"/>
          <w:color w:val="auto"/>
        </w:rPr>
      </w:pPr>
      <w:r>
        <w:rPr>
          <w:rFonts w:ascii="Arial" w:cs="Arial" w:eastAsia="Arial" w:hAnsi="Arial"/>
          <w:sz w:val="18"/>
          <w:szCs w:val="18"/>
          <w:color w:val="auto"/>
        </w:rPr>
        <w:t>We have historically incurred significant losses and negative cash flows from operations since our inception and had an accumulated deficit of $280.0 million as of June 30, 2021. We had cash, cash equivalents, and marketable securities of $409.4 million as of June 30, 2021. Based on our current planned operations, we expect that our current cash, cash equivalents, and marketable securities will be sufficient to fund our operations well into 2023. Our ability to continue as a going concern is dependent upon our ability to successfully secure sources of financing and ultimately achieve profitable operations.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100" w:firstLine="643"/>
        <w:spacing w:after="0" w:line="267" w:lineRule="auto"/>
        <w:rPr>
          <w:sz w:val="20"/>
          <w:szCs w:val="20"/>
          <w:color w:val="auto"/>
        </w:rPr>
      </w:pPr>
      <w:r>
        <w:rPr>
          <w:rFonts w:ascii="Arial" w:cs="Arial" w:eastAsia="Arial" w:hAnsi="Arial"/>
          <w:sz w:val="17"/>
          <w:szCs w:val="17"/>
          <w:color w:val="auto"/>
        </w:rPr>
        <w:t>We will need to raise substantial additional capital to fund our operations through the sale of our equity securities, incurring debt, entering into licensing or collaboration agreements with partners, grants, or other sources of financing. There can be no assurance that sufficient funds will be available to us at all or on attractive terms when needed from these sources. If we are unable to obtain additional funding from these or other sources when needed it may be necessary to significantly reduce our current rate of spending through reductions in staff and delaying, scaling back, or stopping certain research and development programs. Insufficient liquidity may also require us to relinquish rights to product candidates at an earlier stage of development or on less favorable terms than we would otherwise choose.</w:t>
      </w:r>
    </w:p>
    <w:p>
      <w:pPr>
        <w:spacing w:after="0" w:line="114" w:lineRule="exact"/>
        <w:rPr>
          <w:sz w:val="20"/>
          <w:szCs w:val="20"/>
          <w:color w:val="auto"/>
        </w:rPr>
      </w:pPr>
    </w:p>
    <w:p>
      <w:pPr>
        <w:ind w:right="180" w:firstLine="643"/>
        <w:spacing w:after="0" w:line="250" w:lineRule="auto"/>
        <w:rPr>
          <w:sz w:val="20"/>
          <w:szCs w:val="20"/>
          <w:color w:val="auto"/>
        </w:rPr>
      </w:pPr>
      <w:r>
        <w:rPr>
          <w:rFonts w:ascii="Arial" w:cs="Arial" w:eastAsia="Arial" w:hAnsi="Arial"/>
          <w:sz w:val="18"/>
          <w:szCs w:val="18"/>
          <w:color w:val="auto"/>
        </w:rPr>
        <w:t>We have based our projections of operating capital requirements on assumptions that may prove to be incorrect and we may use all our available capital resources sooner than we expect. 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w:t>
      </w:r>
    </w:p>
    <w:p>
      <w:pPr>
        <w:spacing w:after="0" w:line="142" w:lineRule="exact"/>
        <w:rPr>
          <w:sz w:val="20"/>
          <w:szCs w:val="20"/>
          <w:color w:val="auto"/>
        </w:rPr>
      </w:pPr>
    </w:p>
    <w:p>
      <w:pPr>
        <w:ind w:left="820" w:hanging="170"/>
        <w:spacing w:after="0" w:line="250" w:lineRule="auto"/>
        <w:tabs>
          <w:tab w:leader="none" w:pos="8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lead product candidates or any future product candidates, and conducting preclinical studies and clinical trials, in particular our planned or ongoing clinical studies of roflumilast cream in plaque psoriasis and atopic dermatitis, roflumilast foam in seborrheic dermatitis and scalp psoriasis, ARQ-252 in hand eczema and vitiligo, and our formulation and preclinical efforts for ARQ-255 for alopecia areata;</w:t>
      </w:r>
    </w:p>
    <w:p>
      <w:pPr>
        <w:spacing w:after="0" w:line="141" w:lineRule="exact"/>
        <w:rPr>
          <w:rFonts w:ascii="Arial" w:cs="Arial" w:eastAsia="Arial" w:hAnsi="Arial"/>
          <w:sz w:val="18"/>
          <w:szCs w:val="18"/>
          <w:color w:val="auto"/>
        </w:rPr>
      </w:pPr>
    </w:p>
    <w:p>
      <w:pPr>
        <w:ind w:left="820" w:right="200" w:hanging="170"/>
        <w:spacing w:after="0" w:line="255" w:lineRule="auto"/>
        <w:tabs>
          <w:tab w:leader="none" w:pos="8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suspensions or delays in the enrollment or changes to the number of patients we decide to enroll in our ongoing clinical trials as a result of the COVID-19 pandemic;</w:t>
      </w:r>
    </w:p>
    <w:p>
      <w:pPr>
        <w:spacing w:after="0" w:line="122" w:lineRule="exact"/>
        <w:rPr>
          <w:rFonts w:ascii="Arial" w:cs="Arial" w:eastAsia="Arial" w:hAnsi="Arial"/>
          <w:sz w:val="18"/>
          <w:szCs w:val="18"/>
          <w:color w:val="auto"/>
        </w:rPr>
      </w:pPr>
    </w:p>
    <w:p>
      <w:pPr>
        <w:ind w:left="820" w:right="860" w:hanging="170"/>
        <w:spacing w:after="0" w:line="255" w:lineRule="auto"/>
        <w:tabs>
          <w:tab w:leader="none" w:pos="8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lead product candidate or our other product candidates;</w:t>
      </w:r>
    </w:p>
    <w:p>
      <w:pPr>
        <w:spacing w:after="0" w:line="135" w:lineRule="exact"/>
        <w:rPr>
          <w:rFonts w:ascii="Arial" w:cs="Arial" w:eastAsia="Arial" w:hAnsi="Arial"/>
          <w:sz w:val="18"/>
          <w:szCs w:val="18"/>
          <w:color w:val="auto"/>
        </w:rPr>
      </w:pPr>
    </w:p>
    <w:p>
      <w:pPr>
        <w:ind w:left="800" w:hanging="150"/>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and characteristics of any additional product candidates we develop or acquire;</w:t>
      </w:r>
    </w:p>
    <w:p>
      <w:pPr>
        <w:spacing w:after="0" w:line="154" w:lineRule="exact"/>
        <w:rPr>
          <w:rFonts w:ascii="Arial" w:cs="Arial" w:eastAsia="Arial" w:hAnsi="Arial"/>
          <w:sz w:val="18"/>
          <w:szCs w:val="18"/>
          <w:color w:val="auto"/>
        </w:rPr>
      </w:pPr>
    </w:p>
    <w:p>
      <w:pPr>
        <w:ind w:left="820" w:right="840" w:hanging="170"/>
        <w:spacing w:after="0" w:line="255" w:lineRule="auto"/>
        <w:tabs>
          <w:tab w:leader="none" w:pos="8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manufacturing our lead product candidates or any future product candidates and any products we successfully commercialize, including costs associated with building out our supply chain;</w:t>
      </w:r>
    </w:p>
    <w:p>
      <w:pPr>
        <w:spacing w:after="0" w:line="122" w:lineRule="exact"/>
        <w:rPr>
          <w:rFonts w:ascii="Arial" w:cs="Arial" w:eastAsia="Arial" w:hAnsi="Arial"/>
          <w:sz w:val="18"/>
          <w:szCs w:val="18"/>
          <w:color w:val="auto"/>
        </w:rPr>
      </w:pPr>
    </w:p>
    <w:p>
      <w:pPr>
        <w:ind w:left="820" w:right="600" w:hanging="170"/>
        <w:spacing w:after="0" w:line="255" w:lineRule="auto"/>
        <w:tabs>
          <w:tab w:leader="none" w:pos="8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commercialization activities if our lead product candidates or any future product candidates are approved for sale, including marketing, sales, and distribution costs;</w:t>
      </w:r>
    </w:p>
    <w:p>
      <w:pPr>
        <w:spacing w:after="0" w:line="135" w:lineRule="exact"/>
        <w:rPr>
          <w:rFonts w:ascii="Arial" w:cs="Arial" w:eastAsia="Arial" w:hAnsi="Arial"/>
          <w:sz w:val="18"/>
          <w:szCs w:val="18"/>
          <w:color w:val="auto"/>
        </w:rPr>
      </w:pPr>
    </w:p>
    <w:p>
      <w:pPr>
        <w:ind w:left="800" w:hanging="150"/>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building a sales force in anticipation of product commercialization;</w:t>
      </w:r>
    </w:p>
    <w:p>
      <w:pPr>
        <w:spacing w:after="0" w:line="154" w:lineRule="exact"/>
        <w:rPr>
          <w:rFonts w:ascii="Arial" w:cs="Arial" w:eastAsia="Arial" w:hAnsi="Arial"/>
          <w:sz w:val="18"/>
          <w:szCs w:val="18"/>
          <w:color w:val="auto"/>
        </w:rPr>
      </w:pPr>
    </w:p>
    <w:p>
      <w:pPr>
        <w:ind w:left="820" w:right="280" w:hanging="170"/>
        <w:spacing w:after="0" w:line="255" w:lineRule="auto"/>
        <w:tabs>
          <w:tab w:leader="none" w:pos="8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licensing or other arrangements, and the financial terms of any such agreements that we may enter into;</w:t>
      </w:r>
    </w:p>
    <w:p>
      <w:pPr>
        <w:spacing w:after="0" w:line="122" w:lineRule="exact"/>
        <w:rPr>
          <w:rFonts w:ascii="Arial" w:cs="Arial" w:eastAsia="Arial" w:hAnsi="Arial"/>
          <w:sz w:val="18"/>
          <w:szCs w:val="18"/>
          <w:color w:val="auto"/>
        </w:rPr>
      </w:pPr>
    </w:p>
    <w:p>
      <w:pPr>
        <w:ind w:left="800" w:hanging="150"/>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related to milestone payments to AstraZeneca or Hengrui, upon the achievement of predetermined milestones;</w:t>
      </w:r>
    </w:p>
    <w:p>
      <w:pPr>
        <w:spacing w:after="0" w:line="154" w:lineRule="exact"/>
        <w:rPr>
          <w:rFonts w:ascii="Arial" w:cs="Arial" w:eastAsia="Arial" w:hAnsi="Arial"/>
          <w:sz w:val="18"/>
          <w:szCs w:val="18"/>
          <w:color w:val="auto"/>
        </w:rPr>
      </w:pPr>
    </w:p>
    <w:p>
      <w:pPr>
        <w:ind w:left="800" w:hanging="150"/>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product liability or other lawsuits related to our products;</w:t>
      </w:r>
    </w:p>
    <w:p>
      <w:pPr>
        <w:spacing w:after="0" w:line="154" w:lineRule="exact"/>
        <w:rPr>
          <w:rFonts w:ascii="Arial" w:cs="Arial" w:eastAsia="Arial" w:hAnsi="Arial"/>
          <w:sz w:val="18"/>
          <w:szCs w:val="18"/>
          <w:color w:val="auto"/>
        </w:rPr>
      </w:pPr>
    </w:p>
    <w:p>
      <w:pPr>
        <w:ind w:left="800" w:hanging="150"/>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w:t>
      </w:r>
    </w:p>
    <w:p>
      <w:pPr>
        <w:spacing w:after="0" w:line="141" w:lineRule="exact"/>
        <w:rPr>
          <w:rFonts w:ascii="Arial" w:cs="Arial" w:eastAsia="Arial" w:hAnsi="Arial"/>
          <w:sz w:val="18"/>
          <w:szCs w:val="18"/>
          <w:color w:val="auto"/>
        </w:rPr>
      </w:pPr>
    </w:p>
    <w:p>
      <w:pPr>
        <w:ind w:left="800" w:hanging="150"/>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154" w:lineRule="exact"/>
        <w:rPr>
          <w:rFonts w:ascii="Arial" w:cs="Arial" w:eastAsia="Arial" w:hAnsi="Arial"/>
          <w:sz w:val="18"/>
          <w:szCs w:val="18"/>
          <w:color w:val="auto"/>
        </w:rPr>
      </w:pPr>
    </w:p>
    <w:p>
      <w:pPr>
        <w:ind w:left="820" w:right="40" w:hanging="170"/>
        <w:spacing w:after="0" w:line="255" w:lineRule="auto"/>
        <w:tabs>
          <w:tab w:leader="none" w:pos="8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claims, and the outcome of this and any other future patent litigation we may be involved in; and</w:t>
      </w:r>
    </w:p>
    <w:p>
      <w:pPr>
        <w:spacing w:after="0" w:line="135" w:lineRule="exact"/>
        <w:rPr>
          <w:rFonts w:ascii="Arial" w:cs="Arial" w:eastAsia="Arial" w:hAnsi="Arial"/>
          <w:sz w:val="18"/>
          <w:szCs w:val="18"/>
          <w:color w:val="auto"/>
        </w:rPr>
      </w:pPr>
    </w:p>
    <w:p>
      <w:pPr>
        <w:ind w:left="800" w:hanging="150"/>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receipt, and amount of sales of any future approved products, if any.</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40" w:right="3580" w:firstLine="2848"/>
        <w:spacing w:after="0" w:line="375" w:lineRule="auto"/>
        <w:rPr>
          <w:sz w:val="20"/>
          <w:szCs w:val="20"/>
          <w:color w:val="auto"/>
        </w:rPr>
      </w:pPr>
      <w:r>
        <w:rPr>
          <w:rFonts w:ascii="Arial" w:cs="Arial" w:eastAsia="Arial" w:hAnsi="Arial"/>
          <w:sz w:val="17"/>
          <w:szCs w:val="17"/>
          <w:b w:val="1"/>
          <w:bCs w:val="1"/>
          <w:color w:val="auto"/>
        </w:rPr>
        <w:t xml:space="preserve">Contractual Obligations and Contingent Liabilities </w:t>
      </w:r>
      <w:r>
        <w:rPr>
          <w:rFonts w:ascii="Arial" w:cs="Arial" w:eastAsia="Arial" w:hAnsi="Arial"/>
          <w:sz w:val="17"/>
          <w:szCs w:val="17"/>
          <w:color w:val="auto"/>
        </w:rPr>
        <w:t>The following summarizes our significant contractual obligations as of June 30, 2021:</w:t>
      </w:r>
    </w:p>
    <w:tbl>
      <w:tblPr>
        <w:tblLayout w:type="fixed"/>
        <w:tblInd w:w="0" w:type="dxa"/>
        <w:tblCellMar>
          <w:top w:w="0" w:type="dxa"/>
          <w:left w:w="0" w:type="dxa"/>
          <w:bottom w:w="0" w:type="dxa"/>
          <w:right w:w="0" w:type="dxa"/>
        </w:tblCellMar>
      </w:tblPr>
      <w:tr>
        <w:trPr>
          <w:trHeight w:val="148"/>
        </w:trPr>
        <w:tc>
          <w:tcPr>
            <w:tcW w:w="1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800" w:type="dxa"/>
            <w:vAlign w:val="bottom"/>
          </w:tcPr>
          <w:p>
            <w:pPr>
              <w:spacing w:after="0"/>
              <w:rPr>
                <w:sz w:val="12"/>
                <w:szCs w:val="12"/>
                <w:color w:val="auto"/>
              </w:rPr>
            </w:pPr>
          </w:p>
        </w:tc>
        <w:tc>
          <w:tcPr>
            <w:tcW w:w="10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Less than 1</w:t>
            </w:r>
          </w:p>
        </w:tc>
        <w:tc>
          <w:tcPr>
            <w:tcW w:w="820" w:type="dxa"/>
            <w:vAlign w:val="bottom"/>
          </w:tcPr>
          <w:p>
            <w:pPr>
              <w:spacing w:after="0"/>
              <w:rPr>
                <w:sz w:val="12"/>
                <w:szCs w:val="12"/>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1-3 Years</w:t>
            </w:r>
          </w:p>
        </w:tc>
        <w:tc>
          <w:tcPr>
            <w:tcW w:w="880" w:type="dxa"/>
            <w:vAlign w:val="bottom"/>
          </w:tcPr>
          <w:p>
            <w:pPr>
              <w:spacing w:after="0"/>
              <w:rPr>
                <w:sz w:val="12"/>
                <w:szCs w:val="12"/>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3-5 Years</w:t>
            </w:r>
          </w:p>
        </w:tc>
        <w:tc>
          <w:tcPr>
            <w:tcW w:w="1940" w:type="dxa"/>
            <w:vAlign w:val="bottom"/>
            <w:gridSpan w:val="2"/>
            <w:vMerge w:val="restart"/>
          </w:tcPr>
          <w:p>
            <w:pPr>
              <w:ind w:left="680"/>
              <w:spacing w:after="0"/>
              <w:rPr>
                <w:sz w:val="20"/>
                <w:szCs w:val="20"/>
                <w:color w:val="auto"/>
              </w:rPr>
            </w:pPr>
            <w:r>
              <w:rPr>
                <w:rFonts w:ascii="Arial" w:cs="Arial" w:eastAsia="Arial" w:hAnsi="Arial"/>
                <w:sz w:val="14"/>
                <w:szCs w:val="14"/>
                <w:b w:val="1"/>
                <w:bCs w:val="1"/>
                <w:color w:val="auto"/>
              </w:rPr>
              <w:t>More than 5 Years</w:t>
            </w:r>
          </w:p>
        </w:tc>
        <w:tc>
          <w:tcPr>
            <w:tcW w:w="0" w:type="dxa"/>
            <w:vAlign w:val="bottom"/>
          </w:tcPr>
          <w:p>
            <w:pPr>
              <w:spacing w:after="0"/>
              <w:rPr>
                <w:sz w:val="1"/>
                <w:szCs w:val="1"/>
                <w:color w:val="auto"/>
              </w:rPr>
            </w:pPr>
          </w:p>
        </w:tc>
      </w:tr>
      <w:tr>
        <w:trPr>
          <w:trHeight w:val="174"/>
        </w:trPr>
        <w:tc>
          <w:tcPr>
            <w:tcW w:w="14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vMerge w:val="continue"/>
          </w:tcPr>
          <w:p>
            <w:pPr>
              <w:spacing w:after="0"/>
              <w:rPr>
                <w:sz w:val="15"/>
                <w:szCs w:val="15"/>
                <w:color w:val="auto"/>
              </w:rPr>
            </w:pPr>
          </w:p>
        </w:tc>
        <w:tc>
          <w:tcPr>
            <w:tcW w:w="186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Year</w:t>
            </w:r>
          </w:p>
        </w:tc>
        <w:tc>
          <w:tcPr>
            <w:tcW w:w="8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vMerge w:val="continue"/>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vMerge w:val="continue"/>
          </w:tcPr>
          <w:p>
            <w:pPr>
              <w:spacing w:after="0"/>
              <w:rPr>
                <w:sz w:val="15"/>
                <w:szCs w:val="15"/>
                <w:color w:val="auto"/>
              </w:rPr>
            </w:pPr>
          </w:p>
        </w:tc>
        <w:tc>
          <w:tcPr>
            <w:tcW w:w="194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480" w:type="dxa"/>
            <w:vAlign w:val="bottom"/>
            <w:shd w:val="clear" w:color="auto" w:fill="CCEEFF"/>
          </w:tcPr>
          <w:p>
            <w:pPr>
              <w:ind w:left="660"/>
              <w:spacing w:after="0" w:line="187" w:lineRule="exact"/>
              <w:rPr>
                <w:sz w:val="20"/>
                <w:szCs w:val="20"/>
                <w:color w:val="auto"/>
              </w:rPr>
            </w:pPr>
            <w:r>
              <w:rPr>
                <w:rFonts w:ascii="Arial" w:cs="Arial" w:eastAsia="Arial" w:hAnsi="Arial"/>
                <w:sz w:val="18"/>
                <w:szCs w:val="18"/>
                <w:color w:val="auto"/>
              </w:rPr>
              <w:t>Operating</w:t>
            </w:r>
          </w:p>
        </w:tc>
        <w:tc>
          <w:tcPr>
            <w:tcW w:w="9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leases</w:t>
            </w:r>
          </w:p>
        </w:tc>
        <w:tc>
          <w:tcPr>
            <w:tcW w:w="9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6,673</w:t>
            </w:r>
          </w:p>
        </w:tc>
        <w:tc>
          <w:tcPr>
            <w:tcW w:w="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8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0" w:type="dxa"/>
            <w:vAlign w:val="bottom"/>
          </w:tcPr>
          <w:p>
            <w:pPr>
              <w:spacing w:after="0"/>
              <w:rPr>
                <w:sz w:val="1"/>
                <w:szCs w:val="1"/>
                <w:color w:val="auto"/>
              </w:rPr>
            </w:pPr>
          </w:p>
        </w:tc>
      </w:tr>
      <w:tr>
        <w:trPr>
          <w:trHeight w:val="167"/>
        </w:trPr>
        <w:tc>
          <w:tcPr>
            <w:tcW w:w="1480" w:type="dxa"/>
            <w:vAlign w:val="bottom"/>
          </w:tcPr>
          <w:p>
            <w:pPr>
              <w:ind w:left="660"/>
              <w:spacing w:after="0" w:line="167" w:lineRule="exact"/>
              <w:rPr>
                <w:sz w:val="20"/>
                <w:szCs w:val="20"/>
                <w:color w:val="auto"/>
              </w:rPr>
            </w:pPr>
            <w:r>
              <w:rPr>
                <w:rFonts w:ascii="Arial" w:cs="Arial" w:eastAsia="Arial" w:hAnsi="Arial"/>
                <w:sz w:val="18"/>
                <w:szCs w:val="18"/>
                <w:color w:val="auto"/>
              </w:rPr>
              <w:t>Total</w:t>
            </w:r>
          </w:p>
        </w:tc>
        <w:tc>
          <w:tcPr>
            <w:tcW w:w="940" w:type="dxa"/>
            <w:vAlign w:val="bottom"/>
            <w:vMerge w:val="restart"/>
          </w:tcPr>
          <w:p>
            <w:pPr>
              <w:jc w:val="right"/>
              <w:ind w:right="91"/>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6,673</w:t>
            </w:r>
          </w:p>
        </w:tc>
        <w:tc>
          <w:tcPr>
            <w:tcW w:w="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1,746</w:t>
            </w:r>
          </w:p>
        </w:tc>
        <w:tc>
          <w:tcPr>
            <w:tcW w:w="80" w:type="dxa"/>
            <w:vAlign w:val="bottom"/>
          </w:tcPr>
          <w:p>
            <w:pPr>
              <w:spacing w:after="0"/>
              <w:rPr>
                <w:sz w:val="14"/>
                <w:szCs w:val="14"/>
                <w:color w:val="auto"/>
              </w:rPr>
            </w:pPr>
          </w:p>
        </w:tc>
        <w:tc>
          <w:tcPr>
            <w:tcW w:w="88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14"/>
                <w:szCs w:val="14"/>
                <w:color w:val="auto"/>
              </w:rPr>
            </w:pPr>
          </w:p>
        </w:tc>
        <w:tc>
          <w:tcPr>
            <w:tcW w:w="1100" w:type="dxa"/>
            <w:vAlign w:val="bottom"/>
            <w:vMerge w:val="restart"/>
          </w:tcPr>
          <w:p>
            <w:pPr>
              <w:ind w:left="66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2,794</w:t>
            </w:r>
          </w:p>
        </w:tc>
        <w:tc>
          <w:tcPr>
            <w:tcW w:w="0" w:type="dxa"/>
            <w:vAlign w:val="bottom"/>
          </w:tcPr>
          <w:p>
            <w:pPr>
              <w:spacing w:after="0"/>
              <w:rPr>
                <w:sz w:val="1"/>
                <w:szCs w:val="1"/>
                <w:color w:val="auto"/>
              </w:rPr>
            </w:pPr>
          </w:p>
        </w:tc>
      </w:tr>
      <w:tr>
        <w:trPr>
          <w:trHeight w:val="193"/>
        </w:trPr>
        <w:tc>
          <w:tcPr>
            <w:tcW w:w="1480" w:type="dxa"/>
            <w:vAlign w:val="bottom"/>
          </w:tcPr>
          <w:p>
            <w:pPr>
              <w:ind w:left="20"/>
              <w:spacing w:after="0" w:line="189" w:lineRule="exact"/>
              <w:rPr>
                <w:sz w:val="20"/>
                <w:szCs w:val="20"/>
                <w:color w:val="auto"/>
              </w:rPr>
            </w:pPr>
            <w:r>
              <w:rPr>
                <w:rFonts w:ascii="Arial" w:cs="Arial" w:eastAsia="Arial" w:hAnsi="Arial"/>
                <w:sz w:val="18"/>
                <w:szCs w:val="18"/>
                <w:color w:val="auto"/>
              </w:rPr>
              <w:t>obligations</w:t>
            </w:r>
          </w:p>
        </w:tc>
        <w:tc>
          <w:tcPr>
            <w:tcW w:w="94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ind w:right="400" w:firstLine="643"/>
        <w:spacing w:after="0" w:line="252" w:lineRule="auto"/>
        <w:rPr>
          <w:sz w:val="20"/>
          <w:szCs w:val="20"/>
          <w:color w:val="auto"/>
        </w:rPr>
      </w:pPr>
      <w:r>
        <w:rPr>
          <w:rFonts w:ascii="Arial" w:cs="Arial" w:eastAsia="Arial" w:hAnsi="Arial"/>
          <w:sz w:val="18"/>
          <w:szCs w:val="18"/>
          <w:color w:val="auto"/>
        </w:rPr>
        <w:t>In April 2020, we amended our lease agreement for our facility in Westlake Village, California to relocate to a new expanded space including 22,643 square feet. The lease payment term for the new space began on December 30, 2020 and will terminate 91 months thereafter, with a renewal option term of five years. We have a one-time option to cancel the lease after month 67.</w:t>
      </w:r>
    </w:p>
    <w:p>
      <w:pPr>
        <w:spacing w:after="0" w:line="125" w:lineRule="exact"/>
        <w:rPr>
          <w:sz w:val="20"/>
          <w:szCs w:val="20"/>
          <w:color w:val="auto"/>
        </w:rPr>
      </w:pPr>
    </w:p>
    <w:p>
      <w:pPr>
        <w:ind w:right="240" w:firstLine="643"/>
        <w:spacing w:after="0" w:line="250" w:lineRule="auto"/>
        <w:rPr>
          <w:sz w:val="20"/>
          <w:szCs w:val="20"/>
          <w:color w:val="auto"/>
        </w:rPr>
      </w:pPr>
      <w:r>
        <w:rPr>
          <w:rFonts w:ascii="Arial" w:cs="Arial" w:eastAsia="Arial" w:hAnsi="Arial"/>
          <w:sz w:val="18"/>
          <w:szCs w:val="18"/>
          <w:color w:val="auto"/>
        </w:rPr>
        <w:t>The lease is subject to fixed rate escalation increases with an initial base rent of $76,000 per month and includes rent free periods aggregating approximately one year. The amended lease agreement required that we deliver a letter of credit to the landlord of $1.5 million upon occupying the space, which is allowed to be reduced throughout the lease period as rent obligations are met. Accordingly, in November 2020, we entered into a letter of credit for $1.5 million, which is secured with a restricted cash account in the same amount.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77" w:lineRule="exact"/>
        <w:rPr>
          <w:sz w:val="20"/>
          <w:szCs w:val="20"/>
          <w:color w:val="auto"/>
        </w:rPr>
      </w:pPr>
    </w:p>
    <w:p>
      <w:pPr>
        <w:ind w:right="140" w:firstLine="643"/>
        <w:spacing w:after="0" w:line="250" w:lineRule="auto"/>
        <w:rPr>
          <w:sz w:val="20"/>
          <w:szCs w:val="20"/>
          <w:color w:val="auto"/>
        </w:rPr>
      </w:pPr>
      <w:r>
        <w:rPr>
          <w:rFonts w:ascii="Arial" w:cs="Arial" w:eastAsia="Arial" w:hAnsi="Arial"/>
          <w:sz w:val="18"/>
          <w:szCs w:val="18"/>
          <w:color w:val="auto"/>
        </w:rPr>
        <w:t>In the normal course of business, we enter into contracts and agreements that contain a variety of representations and warranties and provide for general indemnifications. Our exposure under these agreements is unknown because it involves claims that may be made against us in the future, but have not yet been made. To date, we have not paid any claims or been required to defend any action related to our indemnification obligations. However, we may record charges in the future as a result of these indemnification obligations.</w:t>
      </w:r>
    </w:p>
    <w:p>
      <w:pPr>
        <w:spacing w:after="0" w:line="128" w:lineRule="exact"/>
        <w:rPr>
          <w:sz w:val="20"/>
          <w:szCs w:val="20"/>
          <w:color w:val="auto"/>
        </w:rPr>
      </w:pPr>
    </w:p>
    <w:p>
      <w:pPr>
        <w:ind w:right="140" w:firstLine="643"/>
        <w:spacing w:after="0" w:line="252" w:lineRule="auto"/>
        <w:rPr>
          <w:sz w:val="20"/>
          <w:szCs w:val="20"/>
          <w:color w:val="auto"/>
        </w:rPr>
      </w:pPr>
      <w:r>
        <w:rPr>
          <w:rFonts w:ascii="Arial" w:cs="Arial" w:eastAsia="Arial" w:hAnsi="Arial"/>
          <w:sz w:val="18"/>
          <w:szCs w:val="18"/>
          <w:color w:val="auto"/>
        </w:rPr>
        <w:t>In accordance with our certificate of incorporation and bylaws, we have indemnification obligations to our officers and directors for specified events or occurrences, subject to some limits, while they are serving at our request in such capacities. There have been no claims to date, and we have director and officer insurance that may enable us to recover a portion of any amounts paid for future potential claims.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77" w:lineRule="exact"/>
        <w:rPr>
          <w:sz w:val="20"/>
          <w:szCs w:val="20"/>
          <w:color w:val="auto"/>
        </w:rPr>
      </w:pPr>
    </w:p>
    <w:p>
      <w:pPr>
        <w:ind w:right="300" w:firstLine="643"/>
        <w:spacing w:after="0" w:line="255"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SEC rules.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Use of Estimates</w:t>
      </w:r>
    </w:p>
    <w:p>
      <w:pPr>
        <w:spacing w:after="0" w:line="177" w:lineRule="exact"/>
        <w:rPr>
          <w:sz w:val="20"/>
          <w:szCs w:val="20"/>
          <w:color w:val="auto"/>
        </w:rPr>
      </w:pPr>
    </w:p>
    <w:p>
      <w:pPr>
        <w:ind w:right="260" w:firstLine="643"/>
        <w:spacing w:after="0" w:line="249" w:lineRule="auto"/>
        <w:rPr>
          <w:sz w:val="20"/>
          <w:szCs w:val="20"/>
          <w:color w:val="auto"/>
        </w:rPr>
      </w:pPr>
      <w:r>
        <w:rPr>
          <w:rFonts w:ascii="Arial" w:cs="Arial" w:eastAsia="Arial" w:hAnsi="Arial"/>
          <w:sz w:val="18"/>
          <w:szCs w:val="18"/>
          <w:color w:val="auto"/>
        </w:rPr>
        <w:t>The preparation of our condensed financial statements in conformity with GAAP requires management to make estimates and assumptions that affect the amounts reported in the financial statements and the notes to the financial statements. Some of those judgments can be subjective and complex, and therefore, actual results could differ materially from those estimates under different assumptions or conditions. A summary of our critical accounting policies is presented in Part II, Item 7. Management’s Discussion and Analysis of Financial Condition and Results of Operations, of our Annual Report on Form 10-K for the year ended December 31, 2020. There were no material changes to our critical accounting policies during the six months ended June 30, 2021.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Note 2 to our unaudited condensed financial statements.</w:t>
      </w:r>
    </w:p>
    <w:p>
      <w:pPr>
        <w:spacing w:after="0" w:line="200" w:lineRule="exact"/>
        <w:rPr>
          <w:sz w:val="20"/>
          <w:szCs w:val="20"/>
          <w:color w:val="auto"/>
        </w:rPr>
      </w:pPr>
    </w:p>
    <w:p>
      <w:pPr>
        <w:spacing w:after="0" w:line="35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125" w:right="2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Emerging Growth Company Status</w:t>
      </w:r>
    </w:p>
    <w:p>
      <w:pPr>
        <w:spacing w:after="0" w:line="163" w:lineRule="exact"/>
        <w:rPr>
          <w:sz w:val="20"/>
          <w:szCs w:val="20"/>
          <w:color w:val="auto"/>
        </w:rPr>
      </w:pPr>
    </w:p>
    <w:p>
      <w:pPr>
        <w:ind w:firstLine="643"/>
        <w:spacing w:after="0" w:line="248" w:lineRule="auto"/>
        <w:rPr>
          <w:sz w:val="20"/>
          <w:szCs w:val="20"/>
          <w:color w:val="auto"/>
        </w:rPr>
      </w:pPr>
      <w:r>
        <w:rPr>
          <w:rFonts w:ascii="Arial" w:cs="Arial" w:eastAsia="Arial" w:hAnsi="Arial"/>
          <w:sz w:val="18"/>
          <w:szCs w:val="18"/>
          <w:color w:val="auto"/>
        </w:rPr>
        <w:t xml:space="preserve">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that we are (i) no longer an emerging growth company or (ii) affirmatively and irrevocably opt out of the extended transition period provided in the JOBS Act. As a result, these financial statements may not be comparable to companies that comply with the new or revised accounting pronouncements as of public company effective dates. We early adopted ASU No. 016-01, </w:t>
      </w:r>
      <w:r>
        <w:rPr>
          <w:rFonts w:ascii="Arial" w:cs="Arial" w:eastAsia="Arial" w:hAnsi="Arial"/>
          <w:sz w:val="18"/>
          <w:szCs w:val="18"/>
          <w:i w:val="1"/>
          <w:iCs w:val="1"/>
          <w:color w:val="auto"/>
        </w:rPr>
        <w:t>Financial Instruments—Overall (Topic 825)—Recognition and Measurement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Assets and Financial Liabilities</w:t>
      </w:r>
      <w:r>
        <w:rPr>
          <w:rFonts w:ascii="Arial" w:cs="Arial" w:eastAsia="Arial" w:hAnsi="Arial"/>
          <w:sz w:val="18"/>
          <w:szCs w:val="18"/>
          <w:color w:val="auto"/>
        </w:rPr>
        <w:t>, ASU 2016-09,</w:t>
      </w:r>
      <w:r>
        <w:rPr>
          <w:rFonts w:ascii="Arial" w:cs="Arial" w:eastAsia="Arial" w:hAnsi="Arial"/>
          <w:sz w:val="18"/>
          <w:szCs w:val="18"/>
          <w:i w:val="1"/>
          <w:iCs w:val="1"/>
          <w:color w:val="auto"/>
        </w:rPr>
        <w:t xml:space="preserve"> Compensation—Stock Compensation (Topic 718)—Improvements to Employee Share Based Payment Accounting</w:t>
      </w:r>
      <w:r>
        <w:rPr>
          <w:rFonts w:ascii="Arial" w:cs="Arial" w:eastAsia="Arial" w:hAnsi="Arial"/>
          <w:sz w:val="18"/>
          <w:szCs w:val="18"/>
          <w:color w:val="auto"/>
        </w:rPr>
        <w:t>, ASU No. 2018-07,</w:t>
      </w:r>
      <w:r>
        <w:rPr>
          <w:rFonts w:ascii="Arial" w:cs="Arial" w:eastAsia="Arial" w:hAnsi="Arial"/>
          <w:sz w:val="18"/>
          <w:szCs w:val="18"/>
          <w:i w:val="1"/>
          <w:iCs w:val="1"/>
          <w:color w:val="auto"/>
        </w:rPr>
        <w:t xml:space="preserve"> Compensation-Stock Compensation (Topic 718): Improvements to Nonemployee Share-Based Payment Accounting</w:t>
      </w:r>
      <w:r>
        <w:rPr>
          <w:rFonts w:ascii="Arial" w:cs="Arial" w:eastAsia="Arial" w:hAnsi="Arial"/>
          <w:sz w:val="18"/>
          <w:szCs w:val="18"/>
          <w:color w:val="auto"/>
        </w:rPr>
        <w:t>, ASU No. 2016-02,</w:t>
      </w:r>
      <w:r>
        <w:rPr>
          <w:rFonts w:ascii="Arial" w:cs="Arial" w:eastAsia="Arial" w:hAnsi="Arial"/>
          <w:sz w:val="18"/>
          <w:szCs w:val="18"/>
          <w:i w:val="1"/>
          <w:iCs w:val="1"/>
          <w:color w:val="auto"/>
        </w:rPr>
        <w:t xml:space="preserve"> Leases, </w:t>
      </w:r>
      <w:r>
        <w:rPr>
          <w:rFonts w:ascii="Arial" w:cs="Arial" w:eastAsia="Arial" w:hAnsi="Arial"/>
          <w:sz w:val="18"/>
          <w:szCs w:val="18"/>
          <w:color w:val="auto"/>
        </w:rPr>
        <w:t>ASU No. 2016-13,</w:t>
      </w:r>
      <w:r>
        <w:rPr>
          <w:rFonts w:ascii="Arial" w:cs="Arial" w:eastAsia="Arial" w:hAnsi="Arial"/>
          <w:sz w:val="18"/>
          <w:szCs w:val="18"/>
          <w:i w:val="1"/>
          <w:iCs w:val="1"/>
          <w:color w:val="auto"/>
        </w:rPr>
        <w:t xml:space="preserve"> Financial Instruments—Credit Losses (Topic 326): Measurement of Credit Losses on Financial Instruments, </w:t>
      </w:r>
      <w:r>
        <w:rPr>
          <w:rFonts w:ascii="Arial" w:cs="Arial" w:eastAsia="Arial" w:hAnsi="Arial"/>
          <w:sz w:val="18"/>
          <w:szCs w:val="18"/>
          <w:color w:val="auto"/>
        </w:rPr>
        <w:t>ASU No. 2018-13,</w:t>
      </w:r>
      <w:r>
        <w:rPr>
          <w:rFonts w:ascii="Arial" w:cs="Arial" w:eastAsia="Arial" w:hAnsi="Arial"/>
          <w:sz w:val="18"/>
          <w:szCs w:val="18"/>
          <w:i w:val="1"/>
          <w:iCs w:val="1"/>
          <w:color w:val="auto"/>
        </w:rPr>
        <w:t xml:space="preserve"> Fair Value Measurement (Topic 820): Disclosure Framework—Changes to the Disclosure Requirements for Fair Value Measurement, </w:t>
      </w:r>
      <w:r>
        <w:rPr>
          <w:rFonts w:ascii="Arial" w:cs="Arial" w:eastAsia="Arial" w:hAnsi="Arial"/>
          <w:sz w:val="18"/>
          <w:szCs w:val="18"/>
          <w:color w:val="auto"/>
        </w:rPr>
        <w:t>and ASU No. 2019-12,</w:t>
      </w:r>
      <w:r>
        <w:rPr>
          <w:rFonts w:ascii="Arial" w:cs="Arial" w:eastAsia="Arial" w:hAnsi="Arial"/>
          <w:sz w:val="18"/>
          <w:szCs w:val="18"/>
          <w:i w:val="1"/>
          <w:iCs w:val="1"/>
          <w:color w:val="auto"/>
        </w:rPr>
        <w:t xml:space="preserve"> Income Taxes (Topic 740), </w:t>
      </w:r>
      <w:r>
        <w:rPr>
          <w:rFonts w:ascii="Arial" w:cs="Arial" w:eastAsia="Arial" w:hAnsi="Arial"/>
          <w:sz w:val="18"/>
          <w:szCs w:val="18"/>
          <w:color w:val="auto"/>
        </w:rPr>
        <w:t>as the JOBS Act does not preclude an</w:t>
      </w:r>
      <w:r>
        <w:rPr>
          <w:rFonts w:ascii="Arial" w:cs="Arial" w:eastAsia="Arial" w:hAnsi="Arial"/>
          <w:sz w:val="18"/>
          <w:szCs w:val="18"/>
          <w:i w:val="1"/>
          <w:iCs w:val="1"/>
          <w:color w:val="auto"/>
        </w:rPr>
        <w:t xml:space="preserve"> </w:t>
      </w:r>
      <w:r>
        <w:rPr>
          <w:rFonts w:ascii="Arial" w:cs="Arial" w:eastAsia="Arial" w:hAnsi="Arial"/>
          <w:sz w:val="18"/>
          <w:szCs w:val="18"/>
          <w:color w:val="auto"/>
        </w:rPr>
        <w:t>emerging growth company from early adopting a new or revised accounting standard earlier than the time such standard applies to private companies. We expect to use the extended transition period for any other new or revised accounting standards during the period in which we remain an emerging growth company. As of June 30, 2021, we determined that we will become a "large accelerated filer" under the rules of the SEC and we will no longer be classified as an emerging growth company as of December 31, 2021.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7" w:lineRule="exact"/>
        <w:rPr>
          <w:sz w:val="20"/>
          <w:szCs w:val="20"/>
          <w:color w:val="auto"/>
        </w:rPr>
      </w:pPr>
    </w:p>
    <w:p>
      <w:pPr>
        <w:ind w:right="60" w:firstLine="643"/>
        <w:spacing w:after="0" w:line="249"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sensitivities. As of June 30, 2021, we had cash and cash equivalents of $89.1 million, restricted cash of $1.5 million, and marketable securities of $320.2 million; which consist of bank deposits, money market funds, commercial paper, government securities, and corporate debt securities. The primary objective of our investment activities is to preserve capital to fund our operations. We also seek to maximize income from our investments without assuming significant risk. Because our investments are primarily short-term in duration, we believe that our exposure to interest rate risk is not significant, and a 1% movement in market interest rates would not have a significant impact on the total value of our portfolio. We had no debt outstanding as of June 30, 2021.</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7" w:lineRule="exact"/>
        <w:rPr>
          <w:sz w:val="20"/>
          <w:szCs w:val="20"/>
          <w:color w:val="auto"/>
        </w:rPr>
      </w:pPr>
    </w:p>
    <w:p>
      <w:pPr>
        <w:ind w:right="420" w:firstLine="437"/>
        <w:spacing w:after="0" w:line="250" w:lineRule="auto"/>
        <w:rPr>
          <w:sz w:val="20"/>
          <w:szCs w:val="20"/>
          <w:color w:val="auto"/>
        </w:rPr>
      </w:pPr>
      <w:r>
        <w:rPr>
          <w:rFonts w:ascii="Arial" w:cs="Arial" w:eastAsia="Arial" w:hAnsi="Arial"/>
          <w:sz w:val="18"/>
          <w:szCs w:val="18"/>
          <w:color w:val="auto"/>
        </w:rPr>
        <w:t>Our disclosure controls and procedures are designed to provide reasonable assurance of achieving their objectives of ensuring that information we are required to disclose in the reports we file or submit under the Exchange Act is accumulated and communicated to our management, including our CEO and CFO, as appropriate to allow timely decisions regarding required disclosures, and is recorded, processed, summarized, and reported, within the time periods specified in the SEC’s rules and forms. There is no assurance that our disclosure controls and procedures will operate effectively under all circumstances.</w:t>
      </w:r>
    </w:p>
    <w:p>
      <w:pPr>
        <w:spacing w:after="0" w:line="127" w:lineRule="exact"/>
        <w:rPr>
          <w:sz w:val="20"/>
          <w:szCs w:val="20"/>
          <w:color w:val="auto"/>
        </w:rPr>
      </w:pPr>
    </w:p>
    <w:p>
      <w:pPr>
        <w:ind w:firstLine="437"/>
        <w:spacing w:after="0" w:line="249" w:lineRule="auto"/>
        <w:rPr>
          <w:sz w:val="20"/>
          <w:szCs w:val="20"/>
          <w:color w:val="auto"/>
        </w:rPr>
      </w:pPr>
      <w:r>
        <w:rPr>
          <w:rFonts w:ascii="Arial" w:cs="Arial" w:eastAsia="Arial" w:hAnsi="Arial"/>
          <w:sz w:val="18"/>
          <w:szCs w:val="18"/>
          <w:color w:val="auto"/>
        </w:rPr>
        <w:t>Management, with the participation of our CEO and CFO, evaluated the effectiveness of our disclosure controls and procedures as of June 30, 2021. The term “disclosure controls and procedures,” as defined in Rule 13a-15(e) of the Securities Exchange Act of 1934, or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is accumulated and communicated to our management, including our CEO and CFO, as appropriate, to allow timely decisions regarding required disclosure. Based on the evaluation of our disclosure controls and procedures as of June 30, 2021, our CEO and CFO have concluded that, as of June 30, 2021, our disclosure controls and procedures were effective at the reasonable assurance level.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7" w:lineRule="exact"/>
        <w:rPr>
          <w:sz w:val="20"/>
          <w:szCs w:val="20"/>
          <w:color w:val="auto"/>
        </w:rPr>
      </w:pPr>
    </w:p>
    <w:p>
      <w:pPr>
        <w:ind w:right="100" w:firstLine="643"/>
        <w:spacing w:after="0" w:line="252"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during the six months ended June 30, 2021 that has materially affected, or is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 and Procedures</w:t>
      </w:r>
    </w:p>
    <w:p>
      <w:pPr>
        <w:spacing w:after="0" w:line="163" w:lineRule="exact"/>
        <w:rPr>
          <w:sz w:val="20"/>
          <w:szCs w:val="20"/>
          <w:color w:val="auto"/>
        </w:rPr>
      </w:pPr>
    </w:p>
    <w:p>
      <w:pPr>
        <w:ind w:firstLine="643"/>
        <w:spacing w:after="0" w:line="249" w:lineRule="auto"/>
        <w:rPr>
          <w:sz w:val="20"/>
          <w:szCs w:val="20"/>
          <w:color w:val="auto"/>
        </w:rPr>
      </w:pPr>
      <w:r>
        <w:rPr>
          <w:rFonts w:ascii="Arial" w:cs="Arial" w:eastAsia="Arial" w:hAnsi="Arial"/>
          <w:sz w:val="18"/>
          <w:szCs w:val="18"/>
          <w:color w:val="auto"/>
        </w:rPr>
        <w:t>In designing and evaluating our disclosure controls and procedures (as defined in Rules 13a-15(e) and 15d-15(e) under the Exchange Act),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disclosure controls and procedures are designed to provide reasonable assurance of achieving their control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7" w:lineRule="exact"/>
        <w:rPr>
          <w:sz w:val="20"/>
          <w:szCs w:val="20"/>
          <w:color w:val="auto"/>
        </w:rPr>
      </w:pPr>
    </w:p>
    <w:p>
      <w:pPr>
        <w:ind w:right="520" w:firstLine="643"/>
        <w:spacing w:after="0"/>
        <w:rPr>
          <w:sz w:val="20"/>
          <w:szCs w:val="20"/>
          <w:color w:val="auto"/>
        </w:rPr>
      </w:pPr>
      <w:r>
        <w:rPr>
          <w:rFonts w:ascii="Arial" w:cs="Arial" w:eastAsia="Arial" w:hAnsi="Arial"/>
          <w:sz w:val="18"/>
          <w:szCs w:val="18"/>
          <w:color w:val="auto"/>
        </w:rPr>
        <w:t>We may from time to time be involved in various legal proceedings of a character normally incident to the ordinary course of our business. We are not currently a party to any material litigation or other material legal proceedings.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RISK </w:t>
      </w:r>
      <w:r>
        <w:rPr>
          <w:rFonts w:ascii="Arial" w:cs="Arial" w:eastAsia="Arial" w:hAnsi="Arial"/>
          <w:sz w:val="18"/>
          <w:szCs w:val="18"/>
          <w:b w:val="1"/>
          <w:bCs w:val="1"/>
          <w:i w:val="1"/>
          <w:iCs w:val="1"/>
          <w:color w:val="auto"/>
        </w:rPr>
        <w:t>FACTORS</w:t>
      </w:r>
    </w:p>
    <w:p>
      <w:pPr>
        <w:spacing w:after="0" w:line="145" w:lineRule="exact"/>
        <w:rPr>
          <w:sz w:val="20"/>
          <w:szCs w:val="20"/>
          <w:color w:val="auto"/>
        </w:rPr>
      </w:pPr>
    </w:p>
    <w:p>
      <w:pPr>
        <w:ind w:firstLine="643"/>
        <w:spacing w:after="0" w:line="251" w:lineRule="auto"/>
        <w:rPr>
          <w:sz w:val="20"/>
          <w:szCs w:val="20"/>
          <w:color w:val="auto"/>
        </w:rPr>
      </w:pPr>
      <w:r>
        <w:rPr>
          <w:rFonts w:ascii="Arial" w:cs="Arial" w:eastAsia="Arial" w:hAnsi="Arial"/>
          <w:sz w:val="18"/>
          <w:szCs w:val="18"/>
          <w:i w:val="1"/>
          <w:iCs w:val="1"/>
          <w:color w:val="auto"/>
        </w:rPr>
        <w:t>This Quarterly Report on Form 10-Q contains forward-looking information based on our current expectations. Because our business is subject to many risks and our actual results may differ materially from any forward-looking statements made by or on behalf of us, this section includes a discussion of important factors that could affect our business, operating results, financial condition, and the trading price of our common stock. This discussion should be read in conjunction with the other information in this Quarterly Report on Form 10-Q, including our unaudited condensed financial statements and the related notes and “Management’s Discussion and Analysis of Financial Condition and Results of Operations", and our Annual Report on Form 10-K for the year ended December 31, 2020. The occurrence of any of the events or developments described below could have a material adverse effect on our business, results of operations, financial condition, prospects, and stock price. Additional risks and uncertainties not presently known to us or that we currently deem immaterial may also impair our business operations.</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Limited Operating History, Financial Condition, and Capital Requirements</w:t>
      </w:r>
    </w:p>
    <w:p>
      <w:pPr>
        <w:spacing w:after="0" w:line="15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We are a late-stage biopharmaceutical company with a limited operating history and no products approved for commercial sale, and we have incurred significant losses since our inception. We anticipate that we will continue to incur losses for the foreseeable future, which, together with our limited operating history, makes it difficult to assess our future viability.</w:t>
      </w:r>
    </w:p>
    <w:p>
      <w:pPr>
        <w:spacing w:after="0" w:line="116" w:lineRule="exact"/>
        <w:rPr>
          <w:sz w:val="20"/>
          <w:szCs w:val="20"/>
          <w:color w:val="auto"/>
        </w:rPr>
      </w:pPr>
    </w:p>
    <w:p>
      <w:pPr>
        <w:ind w:firstLine="643"/>
        <w:spacing w:after="0" w:line="266" w:lineRule="auto"/>
        <w:rPr>
          <w:sz w:val="20"/>
          <w:szCs w:val="20"/>
          <w:color w:val="auto"/>
        </w:rPr>
      </w:pPr>
      <w:r>
        <w:rPr>
          <w:rFonts w:ascii="Arial" w:cs="Arial" w:eastAsia="Arial" w:hAnsi="Arial"/>
          <w:sz w:val="17"/>
          <w:szCs w:val="17"/>
          <w:color w:val="auto"/>
        </w:rPr>
        <w:t>We are a late-stage biopharmaceutical company with a limited operating history. Biopharmaceutical product development is a highly speculative undertaking and involves a substantial degree of risk. We have no products approved for commercial sale and have not generated any revenue from product sales and have incurred losses in each year since our inception in June 2016. We have a limited operating history upon which you can evaluate our business and prospects, and have not yet demonstrated an ability to successfully overcome many of the risks and uncertainties frequently encountered by companies in new and rapidly evolving fields. Our operations to date have been limited to organizing and staffing our company, business planning, raising capital, identifying potential product candidates, establishing licensing arrangements, undertaking various research and preclinical studies, and conducting clinical trials for our product candidates.</w:t>
      </w:r>
    </w:p>
    <w:p>
      <w:pPr>
        <w:spacing w:after="0" w:line="130" w:lineRule="exact"/>
        <w:rPr>
          <w:sz w:val="20"/>
          <w:szCs w:val="20"/>
          <w:color w:val="auto"/>
        </w:rPr>
      </w:pPr>
    </w:p>
    <w:p>
      <w:pPr>
        <w:jc w:val="both"/>
        <w:ind w:right="160" w:firstLine="643"/>
        <w:spacing w:after="0" w:line="252" w:lineRule="auto"/>
        <w:rPr>
          <w:sz w:val="20"/>
          <w:szCs w:val="20"/>
          <w:color w:val="auto"/>
        </w:rPr>
      </w:pPr>
      <w:r>
        <w:rPr>
          <w:rFonts w:ascii="Arial" w:cs="Arial" w:eastAsia="Arial" w:hAnsi="Arial"/>
          <w:sz w:val="18"/>
          <w:szCs w:val="18"/>
          <w:color w:val="auto"/>
        </w:rPr>
        <w:t>We have never generated any revenue from product sales and have incurred losses in each year since our inception in June 2016. We have not yet demonstrated our ability to successfully obtain regulatory approvals, manufacture a drug on a commercial scale, or arrange for a third party to do so on our behalf, or conduct sales and marketing activities necessary for successful commercialization.</w:t>
      </w:r>
    </w:p>
    <w:p>
      <w:pPr>
        <w:spacing w:after="0" w:line="138" w:lineRule="exact"/>
        <w:rPr>
          <w:sz w:val="20"/>
          <w:szCs w:val="20"/>
          <w:color w:val="auto"/>
        </w:rPr>
      </w:pPr>
    </w:p>
    <w:p>
      <w:pPr>
        <w:ind w:right="100" w:firstLine="643"/>
        <w:spacing w:after="0" w:line="249" w:lineRule="auto"/>
        <w:rPr>
          <w:sz w:val="20"/>
          <w:szCs w:val="20"/>
          <w:color w:val="auto"/>
        </w:rPr>
      </w:pPr>
      <w:r>
        <w:rPr>
          <w:rFonts w:ascii="Arial" w:cs="Arial" w:eastAsia="Arial" w:hAnsi="Arial"/>
          <w:sz w:val="18"/>
          <w:szCs w:val="18"/>
          <w:color w:val="auto"/>
        </w:rPr>
        <w:t>Our net loss for the six months ended June 30, 2021 was approximately $78.1 million. As of June 30, 2021, we had an accumulated deficit of $280.0 million. We expect to continue to incur losses for the foreseeable future, and we anticipate these losses will increase as we continue to develop our product candidates, conduct clinical trials, and pursue research and development activities. We may never achieve profitability and, even if we do, we may not be able to sustain profitability in subsequent periods. We will continue to incur significant research and development and other expenses related to our ongoing operations and the development of our product candidates. Our prior losses, combined with expected future losses, have had and will continue to have an adverse effect on our stockholders’ equity (deficit) and working capital.</w:t>
      </w:r>
    </w:p>
    <w:p>
      <w:pPr>
        <w:spacing w:after="0" w:line="130" w:lineRule="exact"/>
        <w:rPr>
          <w:sz w:val="20"/>
          <w:szCs w:val="20"/>
          <w:color w:val="auto"/>
        </w:rPr>
      </w:pPr>
    </w:p>
    <w:p>
      <w:pPr>
        <w:ind w:right="200" w:firstLine="643"/>
        <w:spacing w:after="0" w:line="252" w:lineRule="auto"/>
        <w:rPr>
          <w:sz w:val="20"/>
          <w:szCs w:val="20"/>
          <w:color w:val="auto"/>
        </w:rPr>
      </w:pPr>
      <w:r>
        <w:rPr>
          <w:rFonts w:ascii="Arial" w:cs="Arial" w:eastAsia="Arial" w:hAnsi="Arial"/>
          <w:sz w:val="18"/>
          <w:szCs w:val="18"/>
          <w:color w:val="auto"/>
        </w:rPr>
        <w:t>We may encounter unforeseen expenses, difficulties, complications, delays, and other known or unknown factors in achieving our business objectives. We will need to transition at some point from a company with a development focus to a company capable of supporting commercial activities. We may not be successful in such a transition.</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We will require substantial additional financing to achieve our goals, and a failure to obtain this necessary capital when needed on acceptable terms, or at all, could force us to delay, limit, reduce, or terminate our product development, other operations, or commercialization efforts.</w:t>
      </w:r>
    </w:p>
    <w:p>
      <w:pPr>
        <w:spacing w:after="0" w:line="116" w:lineRule="exact"/>
        <w:rPr>
          <w:sz w:val="20"/>
          <w:szCs w:val="20"/>
          <w:color w:val="auto"/>
        </w:rPr>
      </w:pPr>
    </w:p>
    <w:p>
      <w:pPr>
        <w:ind w:firstLine="643"/>
        <w:spacing w:after="0" w:line="249" w:lineRule="auto"/>
        <w:rPr>
          <w:sz w:val="20"/>
          <w:szCs w:val="20"/>
          <w:color w:val="auto"/>
        </w:rPr>
      </w:pPr>
      <w:r>
        <w:rPr>
          <w:rFonts w:ascii="Arial" w:cs="Arial" w:eastAsia="Arial" w:hAnsi="Arial"/>
          <w:sz w:val="18"/>
          <w:szCs w:val="18"/>
          <w:color w:val="auto"/>
        </w:rPr>
        <w:t>Since our inception, we have invested substantially all of our efforts and financial resources in research and development activities, and we expect to continue to expend substantial resources for the foreseeable future in connection with the development of our current product candidates, roflumilast cream, roflumilast foam, ARQ-252 and ARQ-255, the development or acquisition of additional product candidates, and the maintenance and expansion of our business operations and capabilities. These expenditures will include costs associated with conducting preclinical studies and clinical trials, obtaining regulatory approvals, and securing manufacturing and supply of product candidates, and marketing and selling any products approved for sale. These expenditures may also include costs associated with in-licensing dermatology assets consistent with our core strategy. In addition, other unanticipated costs may arise. Because the outcome of any preclinical study or clinical trial is highly uncertain, we cannot reasonably estimate the actual amounts necessary to successfully complete the development and commercialization of our lead product candidates and any future product candidates.</w:t>
      </w:r>
    </w:p>
    <w:p>
      <w:pPr>
        <w:spacing w:after="0" w:line="143" w:lineRule="exact"/>
        <w:rPr>
          <w:sz w:val="20"/>
          <w:szCs w:val="20"/>
          <w:color w:val="auto"/>
        </w:rPr>
      </w:pPr>
    </w:p>
    <w:p>
      <w:pPr>
        <w:ind w:right="20" w:firstLine="643"/>
        <w:spacing w:after="0" w:line="249" w:lineRule="auto"/>
        <w:rPr>
          <w:sz w:val="20"/>
          <w:szCs w:val="20"/>
          <w:color w:val="auto"/>
        </w:rPr>
      </w:pPr>
      <w:r>
        <w:rPr>
          <w:rFonts w:ascii="Arial" w:cs="Arial" w:eastAsia="Arial" w:hAnsi="Arial"/>
          <w:sz w:val="18"/>
          <w:szCs w:val="18"/>
          <w:color w:val="auto"/>
        </w:rPr>
        <w:t>As of June 30, 2021, we had capital resources consisting of cash, cash equivalents, and marketable securities of $409.4 million. Based on our planned operations, we believe that our existing cash, cash equivalents, and marketable securities will be sufficient to fund our operations well into 2023. However, our operating plans may change as a result of many factors currently unknown to us, and we may need to seek additional funds sooner than planned, through public or private equity or debt financings or other sources, such as strategic collaborations. Such financing may result in dilution to stockholders, imposition of burdensome debt covenants and repayment obligations, or other restrictions that may affect our business. In addition, we may seek additional capital due to favorable market conditions or strategic considerations even if we believe we have sufficient funds for our current or future operating plans.</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future capital requirements depend on many factors, including, but not limited to:</w:t>
      </w:r>
    </w:p>
    <w:p>
      <w:pPr>
        <w:spacing w:after="0" w:line="141" w:lineRule="exact"/>
        <w:rPr>
          <w:sz w:val="20"/>
          <w:szCs w:val="20"/>
          <w:color w:val="auto"/>
        </w:rPr>
      </w:pPr>
    </w:p>
    <w:p>
      <w:pPr>
        <w:ind w:left="820" w:hanging="170"/>
        <w:spacing w:after="0" w:line="250"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lead product candidates or any future product candidates, and conducting preclinical studies and clinical trials, in particular our planned or ongoing clinical studies of roflumilast cream in plaque psoriasis and atopic dermatitis, roflumilast foam in seborrheic dermatitis and scalp psoriasis, ARQ-252 in hand eczema and vitiligo, and our formulation and preclinical efforts for ARQ-255 in alopecia areata;</w:t>
      </w:r>
    </w:p>
    <w:p>
      <w:pPr>
        <w:spacing w:after="0" w:line="141" w:lineRule="exact"/>
        <w:rPr>
          <w:rFonts w:ascii="Arial" w:cs="Arial" w:eastAsia="Arial" w:hAnsi="Arial"/>
          <w:sz w:val="18"/>
          <w:szCs w:val="18"/>
          <w:color w:val="auto"/>
        </w:rPr>
      </w:pPr>
    </w:p>
    <w:p>
      <w:pPr>
        <w:ind w:left="820" w:right="80" w:hanging="170"/>
        <w:spacing w:after="0" w:line="255"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suspensions or delays in the enrollment, issues with data collection, or changes to the number of patients we decide to enroll in our ongoing clinical trials as a result of the COVID-19 pandemic;</w:t>
      </w:r>
    </w:p>
    <w:p>
      <w:pPr>
        <w:spacing w:after="0" w:line="135" w:lineRule="exact"/>
        <w:rPr>
          <w:rFonts w:ascii="Arial" w:cs="Arial" w:eastAsia="Arial" w:hAnsi="Arial"/>
          <w:sz w:val="18"/>
          <w:szCs w:val="18"/>
          <w:color w:val="auto"/>
        </w:rPr>
      </w:pPr>
    </w:p>
    <w:p>
      <w:pPr>
        <w:ind w:left="800" w:hanging="150"/>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and scope of clinical programs we decide to pursue;</w:t>
      </w:r>
    </w:p>
    <w:p>
      <w:pPr>
        <w:spacing w:after="0" w:line="141" w:lineRule="exact"/>
        <w:rPr>
          <w:rFonts w:ascii="Arial" w:cs="Arial" w:eastAsia="Arial" w:hAnsi="Arial"/>
          <w:sz w:val="18"/>
          <w:szCs w:val="18"/>
          <w:color w:val="auto"/>
        </w:rPr>
      </w:pPr>
    </w:p>
    <w:p>
      <w:pPr>
        <w:ind w:left="800" w:hanging="150"/>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timing, and outcome of regulatory review of our product candidates;</w:t>
      </w:r>
    </w:p>
    <w:p>
      <w:pPr>
        <w:spacing w:after="0" w:line="154" w:lineRule="exact"/>
        <w:rPr>
          <w:rFonts w:ascii="Arial" w:cs="Arial" w:eastAsia="Arial" w:hAnsi="Arial"/>
          <w:sz w:val="18"/>
          <w:szCs w:val="18"/>
          <w:color w:val="auto"/>
        </w:rPr>
      </w:pPr>
    </w:p>
    <w:p>
      <w:pPr>
        <w:ind w:left="820" w:right="160" w:hanging="170"/>
        <w:spacing w:after="0" w:line="255"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any products we commercialize, including costs associated with building out our supply chain;</w:t>
      </w:r>
    </w:p>
    <w:p>
      <w:pPr>
        <w:spacing w:after="0" w:line="135" w:lineRule="exact"/>
        <w:rPr>
          <w:rFonts w:ascii="Arial" w:cs="Arial" w:eastAsia="Arial" w:hAnsi="Arial"/>
          <w:sz w:val="18"/>
          <w:szCs w:val="18"/>
          <w:color w:val="auto"/>
        </w:rPr>
      </w:pPr>
    </w:p>
    <w:p>
      <w:pPr>
        <w:ind w:left="820" w:right="560" w:hanging="170"/>
        <w:spacing w:after="0" w:line="255"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our product candidates are approved for sale, including marketing, sales, and distribution costs, and any discounts or rebates to channel to obtain access;</w:t>
      </w:r>
    </w:p>
    <w:p>
      <w:pPr>
        <w:spacing w:after="0" w:line="122" w:lineRule="exact"/>
        <w:rPr>
          <w:rFonts w:ascii="Arial" w:cs="Arial" w:eastAsia="Arial" w:hAnsi="Arial"/>
          <w:sz w:val="18"/>
          <w:szCs w:val="18"/>
          <w:color w:val="auto"/>
        </w:rPr>
      </w:pPr>
    </w:p>
    <w:p>
      <w:pPr>
        <w:ind w:left="800" w:hanging="150"/>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building a sales force in anticipation of product commercialization;</w:t>
      </w:r>
    </w:p>
    <w:p>
      <w:pPr>
        <w:spacing w:after="0" w:line="154" w:lineRule="exact"/>
        <w:rPr>
          <w:rFonts w:ascii="Arial" w:cs="Arial" w:eastAsia="Arial" w:hAnsi="Arial"/>
          <w:sz w:val="18"/>
          <w:szCs w:val="18"/>
          <w:color w:val="auto"/>
        </w:rPr>
      </w:pPr>
    </w:p>
    <w:p>
      <w:pPr>
        <w:ind w:left="820" w:right="280" w:hanging="170"/>
        <w:spacing w:after="0" w:line="255"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licensing, or other arrangements and the financial terms of any such agreements that we may enter into;</w:t>
      </w:r>
    </w:p>
    <w:p>
      <w:pPr>
        <w:spacing w:after="0" w:line="135" w:lineRule="exact"/>
        <w:rPr>
          <w:rFonts w:ascii="Arial" w:cs="Arial" w:eastAsia="Arial" w:hAnsi="Arial"/>
          <w:sz w:val="18"/>
          <w:szCs w:val="18"/>
          <w:color w:val="auto"/>
        </w:rPr>
      </w:pPr>
    </w:p>
    <w:p>
      <w:pPr>
        <w:ind w:left="820" w:right="220" w:hanging="170"/>
        <w:spacing w:after="0" w:line="255"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amount of milestone payments due to AstraZeneca, Hengrui, or any future collaboration or licensing partners upon the achievement of negotiated milestones;</w:t>
      </w:r>
    </w:p>
    <w:p>
      <w:pPr>
        <w:spacing w:after="0" w:line="122" w:lineRule="exact"/>
        <w:rPr>
          <w:rFonts w:ascii="Arial" w:cs="Arial" w:eastAsia="Arial" w:hAnsi="Arial"/>
          <w:sz w:val="18"/>
          <w:szCs w:val="18"/>
          <w:color w:val="auto"/>
        </w:rPr>
      </w:pPr>
    </w:p>
    <w:p>
      <w:pPr>
        <w:ind w:left="800" w:hanging="150"/>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w:t>
      </w:r>
    </w:p>
    <w:p>
      <w:pPr>
        <w:spacing w:after="0" w:line="154" w:lineRule="exact"/>
        <w:rPr>
          <w:rFonts w:ascii="Arial" w:cs="Arial" w:eastAsia="Arial" w:hAnsi="Arial"/>
          <w:sz w:val="18"/>
          <w:szCs w:val="18"/>
          <w:color w:val="auto"/>
        </w:rPr>
      </w:pPr>
    </w:p>
    <w:p>
      <w:pPr>
        <w:ind w:left="800" w:hanging="150"/>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154" w:lineRule="exact"/>
        <w:rPr>
          <w:rFonts w:ascii="Arial" w:cs="Arial" w:eastAsia="Arial" w:hAnsi="Arial"/>
          <w:sz w:val="18"/>
          <w:szCs w:val="18"/>
          <w:color w:val="auto"/>
        </w:rPr>
      </w:pPr>
    </w:p>
    <w:p>
      <w:pPr>
        <w:ind w:left="800" w:hanging="150"/>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our intellectual property portfolio; and</w:t>
      </w:r>
    </w:p>
    <w:p>
      <w:pPr>
        <w:spacing w:after="0" w:line="141" w:lineRule="exact"/>
        <w:rPr>
          <w:rFonts w:ascii="Arial" w:cs="Arial" w:eastAsia="Arial" w:hAnsi="Arial"/>
          <w:sz w:val="18"/>
          <w:szCs w:val="18"/>
          <w:color w:val="auto"/>
        </w:rPr>
      </w:pPr>
    </w:p>
    <w:p>
      <w:pPr>
        <w:ind w:left="800" w:hanging="150"/>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receipt, and amount of sales of any future approved products, if any.</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40" w:firstLine="643"/>
        <w:spacing w:after="0" w:line="270" w:lineRule="auto"/>
        <w:rPr>
          <w:sz w:val="20"/>
          <w:szCs w:val="20"/>
          <w:color w:val="auto"/>
        </w:rPr>
      </w:pPr>
      <w:r>
        <w:rPr>
          <w:rFonts w:ascii="Arial" w:cs="Arial" w:eastAsia="Arial" w:hAnsi="Arial"/>
          <w:sz w:val="17"/>
          <w:szCs w:val="17"/>
          <w:color w:val="auto"/>
        </w:rPr>
        <w:t>Adequate additional funds may not be available when we need them, on terms that are acceptable to us, or at all. If adequate funds are not available to us on a timely basis or on attractive terms, we may be required to reduce our workforce, delay, limit, reduce, or terminate our research and development activities, preclinical studies, clinical trials or other development activities, and future commercialization efforts, or grant rights to develop and market product candidates, such as roflumilast cream, that we would otherwise develop and market ourselves.</w:t>
      </w:r>
    </w:p>
    <w:p>
      <w:pPr>
        <w:spacing w:after="0" w:line="89" w:lineRule="exact"/>
        <w:rPr>
          <w:sz w:val="20"/>
          <w:szCs w:val="20"/>
          <w:color w:val="auto"/>
        </w:rPr>
      </w:pPr>
    </w:p>
    <w:p>
      <w:pPr>
        <w:ind w:right="120"/>
        <w:spacing w:after="0" w:line="281"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future operating results to fall below expectations.</w:t>
      </w:r>
    </w:p>
    <w:p>
      <w:pPr>
        <w:spacing w:after="0" w:line="113" w:lineRule="exact"/>
        <w:rPr>
          <w:sz w:val="20"/>
          <w:szCs w:val="20"/>
          <w:color w:val="auto"/>
        </w:rPr>
      </w:pPr>
    </w:p>
    <w:p>
      <w:pPr>
        <w:ind w:right="140" w:firstLine="643"/>
        <w:spacing w:after="0" w:line="250" w:lineRule="auto"/>
        <w:rPr>
          <w:sz w:val="20"/>
          <w:szCs w:val="20"/>
          <w:color w:val="auto"/>
        </w:rPr>
      </w:pPr>
      <w:r>
        <w:rPr>
          <w:rFonts w:ascii="Arial" w:cs="Arial" w:eastAsia="Arial" w:hAnsi="Arial"/>
          <w:sz w:val="18"/>
          <w:szCs w:val="18"/>
          <w:color w:val="auto"/>
        </w:rPr>
        <w:t>Our operations to date have been primarily limited to researching and developing our product candidates and undertaking preclinical studies and clinical trials of our product candidates. We have not yet obtained regulatory approvals for any of our product candidates. Furthermore, our operating results may fluctuate due to a variety of factors, many of which are outside of our control and may be difficult to predict, including the following:</w:t>
      </w:r>
    </w:p>
    <w:p>
      <w:pPr>
        <w:spacing w:after="0" w:line="142" w:lineRule="exact"/>
        <w:rPr>
          <w:sz w:val="20"/>
          <w:szCs w:val="20"/>
          <w:color w:val="auto"/>
        </w:rPr>
      </w:pPr>
    </w:p>
    <w:p>
      <w:pPr>
        <w:ind w:left="820" w:right="520" w:hanging="170"/>
        <w:spacing w:after="0" w:line="255" w:lineRule="auto"/>
        <w:tabs>
          <w:tab w:leader="none" w:pos="8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the commencement, enrollment, and the timing of clinical testing for our product candidates, especially in light of the COVID-19 pandemic;</w:t>
      </w:r>
    </w:p>
    <w:p>
      <w:pPr>
        <w:spacing w:after="0" w:line="122" w:lineRule="exact"/>
        <w:rPr>
          <w:rFonts w:ascii="Arial" w:cs="Arial" w:eastAsia="Arial" w:hAnsi="Arial"/>
          <w:sz w:val="18"/>
          <w:szCs w:val="18"/>
          <w:color w:val="auto"/>
        </w:rPr>
      </w:pPr>
    </w:p>
    <w:p>
      <w:pPr>
        <w:ind w:left="820" w:hanging="170"/>
        <w:spacing w:after="0" w:line="255" w:lineRule="auto"/>
        <w:tabs>
          <w:tab w:leader="none" w:pos="8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and success or failure of clinical trials for our product candidates or competing product candidates, or any other change in the competitive landscape of our industry, including consolidation among our competitors or partners;</w:t>
      </w:r>
    </w:p>
    <w:p>
      <w:pPr>
        <w:spacing w:after="0" w:line="135" w:lineRule="exact"/>
        <w:rPr>
          <w:rFonts w:ascii="Arial" w:cs="Arial" w:eastAsia="Arial" w:hAnsi="Arial"/>
          <w:sz w:val="18"/>
          <w:szCs w:val="18"/>
          <w:color w:val="auto"/>
        </w:rPr>
      </w:pPr>
    </w:p>
    <w:p>
      <w:pPr>
        <w:ind w:left="800" w:hanging="150"/>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delays in regulatory review and approval of product candidates in clinical development, or failure to obtain such approvals;</w:t>
      </w:r>
    </w:p>
    <w:p>
      <w:pPr>
        <w:spacing w:after="0" w:line="154" w:lineRule="exact"/>
        <w:rPr>
          <w:rFonts w:ascii="Arial" w:cs="Arial" w:eastAsia="Arial" w:hAnsi="Arial"/>
          <w:sz w:val="18"/>
          <w:szCs w:val="18"/>
          <w:color w:val="auto"/>
        </w:rPr>
      </w:pPr>
    </w:p>
    <w:p>
      <w:pPr>
        <w:ind w:left="820" w:right="20" w:hanging="170"/>
        <w:spacing w:after="0" w:line="255" w:lineRule="auto"/>
        <w:tabs>
          <w:tab w:leader="none" w:pos="8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product candidates, which may change from time to time;</w:t>
      </w:r>
    </w:p>
    <w:p>
      <w:pPr>
        <w:spacing w:after="0" w:line="122" w:lineRule="exact"/>
        <w:rPr>
          <w:rFonts w:ascii="Arial" w:cs="Arial" w:eastAsia="Arial" w:hAnsi="Arial"/>
          <w:sz w:val="18"/>
          <w:szCs w:val="18"/>
          <w:color w:val="auto"/>
        </w:rPr>
      </w:pPr>
    </w:p>
    <w:p>
      <w:pPr>
        <w:ind w:left="820" w:right="300" w:hanging="170"/>
        <w:spacing w:after="0" w:line="255" w:lineRule="auto"/>
        <w:tabs>
          <w:tab w:leader="none" w:pos="8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manufacturing our product candidates, which may vary depending on U.S. FDA guidelines and requirements, and the quantity of production;</w:t>
      </w:r>
    </w:p>
    <w:p>
      <w:pPr>
        <w:spacing w:after="0" w:line="135" w:lineRule="exact"/>
        <w:rPr>
          <w:rFonts w:ascii="Arial" w:cs="Arial" w:eastAsia="Arial" w:hAnsi="Arial"/>
          <w:sz w:val="18"/>
          <w:szCs w:val="18"/>
          <w:color w:val="auto"/>
        </w:rPr>
      </w:pPr>
    </w:p>
    <w:p>
      <w:pPr>
        <w:ind w:left="800" w:hanging="150"/>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obtain additional funding to develop our product candidates;</w:t>
      </w:r>
    </w:p>
    <w:p>
      <w:pPr>
        <w:spacing w:after="0" w:line="154" w:lineRule="exact"/>
        <w:rPr>
          <w:rFonts w:ascii="Arial" w:cs="Arial" w:eastAsia="Arial" w:hAnsi="Arial"/>
          <w:sz w:val="18"/>
          <w:szCs w:val="18"/>
          <w:color w:val="auto"/>
        </w:rPr>
      </w:pPr>
    </w:p>
    <w:p>
      <w:pPr>
        <w:ind w:left="820" w:right="400" w:hanging="170"/>
        <w:spacing w:after="0" w:line="255" w:lineRule="auto"/>
        <w:tabs>
          <w:tab w:leader="none" w:pos="8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expenditures that we will or may incur to acquire or develop additional product candidates and technologies, which may include obligations to make significant upfront and milestone payments;</w:t>
      </w:r>
    </w:p>
    <w:p>
      <w:pPr>
        <w:spacing w:after="0" w:line="122" w:lineRule="exact"/>
        <w:rPr>
          <w:rFonts w:ascii="Arial" w:cs="Arial" w:eastAsia="Arial" w:hAnsi="Arial"/>
          <w:sz w:val="18"/>
          <w:szCs w:val="18"/>
          <w:color w:val="auto"/>
        </w:rPr>
      </w:pPr>
    </w:p>
    <w:p>
      <w:pPr>
        <w:ind w:left="800" w:hanging="150"/>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level of demand for our product candidates, should they receive approval, which may vary significantly;</w:t>
      </w:r>
    </w:p>
    <w:p>
      <w:pPr>
        <w:spacing w:after="0" w:line="154" w:lineRule="exact"/>
        <w:rPr>
          <w:rFonts w:ascii="Arial" w:cs="Arial" w:eastAsia="Arial" w:hAnsi="Arial"/>
          <w:sz w:val="18"/>
          <w:szCs w:val="18"/>
          <w:color w:val="auto"/>
        </w:rPr>
      </w:pPr>
    </w:p>
    <w:p>
      <w:pPr>
        <w:ind w:left="820" w:right="460" w:hanging="170"/>
        <w:spacing w:after="0" w:line="255" w:lineRule="auto"/>
        <w:tabs>
          <w:tab w:leader="none" w:pos="8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side effects of our product candidates that could delay or prevent commercialization or cause an approved drug to be taken off the market;</w:t>
      </w:r>
    </w:p>
    <w:p>
      <w:pPr>
        <w:spacing w:after="0" w:line="135" w:lineRule="exact"/>
        <w:rPr>
          <w:rFonts w:ascii="Arial" w:cs="Arial" w:eastAsia="Arial" w:hAnsi="Arial"/>
          <w:sz w:val="18"/>
          <w:szCs w:val="18"/>
          <w:color w:val="auto"/>
        </w:rPr>
      </w:pPr>
    </w:p>
    <w:p>
      <w:pPr>
        <w:ind w:left="820" w:right="680" w:hanging="170"/>
        <w:spacing w:after="0" w:line="255" w:lineRule="auto"/>
        <w:tabs>
          <w:tab w:leader="none" w:pos="8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of patients or healthcare providers to obtain coverage of or sufficient reimbursement for our product candidates, if approved;</w:t>
      </w:r>
    </w:p>
    <w:p>
      <w:pPr>
        <w:spacing w:after="0" w:line="122" w:lineRule="exact"/>
        <w:rPr>
          <w:rFonts w:ascii="Arial" w:cs="Arial" w:eastAsia="Arial" w:hAnsi="Arial"/>
          <w:sz w:val="18"/>
          <w:szCs w:val="18"/>
          <w:color w:val="auto"/>
        </w:rPr>
      </w:pPr>
    </w:p>
    <w:p>
      <w:pPr>
        <w:ind w:left="820" w:right="40" w:hanging="170"/>
        <w:spacing w:after="0" w:line="255" w:lineRule="auto"/>
        <w:tabs>
          <w:tab w:leader="none" w:pos="8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willingness of patients to pay out-of-pocket for our product candidates, if approved, in the absence of health insurance coverage or sufficient reimbursement;</w:t>
      </w:r>
    </w:p>
    <w:p>
      <w:pPr>
        <w:spacing w:after="0" w:line="135" w:lineRule="exact"/>
        <w:rPr>
          <w:rFonts w:ascii="Arial" w:cs="Arial" w:eastAsia="Arial" w:hAnsi="Arial"/>
          <w:sz w:val="18"/>
          <w:szCs w:val="18"/>
          <w:color w:val="auto"/>
        </w:rPr>
      </w:pPr>
    </w:p>
    <w:p>
      <w:pPr>
        <w:ind w:left="820" w:right="180" w:hanging="170"/>
        <w:spacing w:after="0" w:line="255" w:lineRule="auto"/>
        <w:tabs>
          <w:tab w:leader="none" w:pos="8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dependency on Contract Research Organizations (CROs) and third-party manufacturers to supply or manufacture our product candidates;</w:t>
      </w:r>
    </w:p>
    <w:p>
      <w:pPr>
        <w:spacing w:after="0" w:line="135" w:lineRule="exact"/>
        <w:rPr>
          <w:rFonts w:ascii="Arial" w:cs="Arial" w:eastAsia="Arial" w:hAnsi="Arial"/>
          <w:sz w:val="18"/>
          <w:szCs w:val="18"/>
          <w:color w:val="auto"/>
        </w:rPr>
      </w:pPr>
    </w:p>
    <w:p>
      <w:pPr>
        <w:ind w:left="800" w:hanging="150"/>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establish an effective sales, marketing, and distribution infrastructure in a timely manner;</w:t>
      </w:r>
    </w:p>
    <w:p>
      <w:pPr>
        <w:spacing w:after="0" w:line="141" w:lineRule="exact"/>
        <w:rPr>
          <w:rFonts w:ascii="Arial" w:cs="Arial" w:eastAsia="Arial" w:hAnsi="Arial"/>
          <w:sz w:val="18"/>
          <w:szCs w:val="18"/>
          <w:color w:val="auto"/>
        </w:rPr>
      </w:pPr>
    </w:p>
    <w:p>
      <w:pPr>
        <w:ind w:left="800" w:hanging="150"/>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acceptance of our product candidates, if approved, and our ability to forecast demand for those product candidates;</w:t>
      </w:r>
    </w:p>
    <w:p>
      <w:pPr>
        <w:spacing w:after="0" w:line="154" w:lineRule="exact"/>
        <w:rPr>
          <w:rFonts w:ascii="Arial" w:cs="Arial" w:eastAsia="Arial" w:hAnsi="Arial"/>
          <w:sz w:val="18"/>
          <w:szCs w:val="18"/>
          <w:color w:val="auto"/>
        </w:rPr>
      </w:pPr>
    </w:p>
    <w:p>
      <w:pPr>
        <w:ind w:left="800" w:hanging="150"/>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receive approval and commercialize our product candidates both within and outside of the United States;</w:t>
      </w:r>
    </w:p>
    <w:p>
      <w:pPr>
        <w:spacing w:after="0" w:line="141" w:lineRule="exact"/>
        <w:rPr>
          <w:rFonts w:ascii="Arial" w:cs="Arial" w:eastAsia="Arial" w:hAnsi="Arial"/>
          <w:sz w:val="18"/>
          <w:szCs w:val="18"/>
          <w:color w:val="auto"/>
        </w:rPr>
      </w:pPr>
    </w:p>
    <w:p>
      <w:pPr>
        <w:ind w:left="800" w:hanging="150"/>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licensing, or other arrangements with respect to our product candidates;</w:t>
      </w:r>
    </w:p>
    <w:p>
      <w:pPr>
        <w:spacing w:after="0" w:line="154" w:lineRule="exact"/>
        <w:rPr>
          <w:rFonts w:ascii="Arial" w:cs="Arial" w:eastAsia="Arial" w:hAnsi="Arial"/>
          <w:sz w:val="18"/>
          <w:szCs w:val="18"/>
          <w:color w:val="auto"/>
        </w:rPr>
      </w:pPr>
    </w:p>
    <w:p>
      <w:pPr>
        <w:ind w:left="800" w:hanging="150"/>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and enforce our intellectual property position;</w:t>
      </w:r>
    </w:p>
    <w:p>
      <w:pPr>
        <w:spacing w:after="0" w:line="154" w:lineRule="exact"/>
        <w:rPr>
          <w:rFonts w:ascii="Arial" w:cs="Arial" w:eastAsia="Arial" w:hAnsi="Arial"/>
          <w:sz w:val="18"/>
          <w:szCs w:val="18"/>
          <w:color w:val="auto"/>
        </w:rPr>
      </w:pPr>
    </w:p>
    <w:p>
      <w:pPr>
        <w:ind w:left="800" w:hanging="150"/>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related to and outcomes of potential litigation or other disputes in respect of our product candidates and our business;</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800" w:hanging="150"/>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adequately support future growth;</w:t>
      </w:r>
    </w:p>
    <w:p>
      <w:pPr>
        <w:spacing w:after="0" w:line="141" w:lineRule="exact"/>
        <w:rPr>
          <w:rFonts w:ascii="Arial" w:cs="Arial" w:eastAsia="Arial" w:hAnsi="Arial"/>
          <w:sz w:val="18"/>
          <w:szCs w:val="18"/>
          <w:color w:val="auto"/>
        </w:rPr>
      </w:pPr>
    </w:p>
    <w:p>
      <w:pPr>
        <w:ind w:left="800" w:hanging="150"/>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attract and retain key personnel to manage our business effectively;</w:t>
      </w:r>
    </w:p>
    <w:p>
      <w:pPr>
        <w:spacing w:after="0" w:line="154" w:lineRule="exact"/>
        <w:rPr>
          <w:rFonts w:ascii="Arial" w:cs="Arial" w:eastAsia="Arial" w:hAnsi="Arial"/>
          <w:sz w:val="18"/>
          <w:szCs w:val="18"/>
          <w:color w:val="auto"/>
        </w:rPr>
      </w:pPr>
    </w:p>
    <w:p>
      <w:pPr>
        <w:ind w:left="800" w:hanging="150"/>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liabilities associated with hazardous materials;</w:t>
      </w:r>
    </w:p>
    <w:p>
      <w:pPr>
        <w:spacing w:after="0" w:line="154" w:lineRule="exact"/>
        <w:rPr>
          <w:rFonts w:ascii="Arial" w:cs="Arial" w:eastAsia="Arial" w:hAnsi="Arial"/>
          <w:sz w:val="18"/>
          <w:szCs w:val="18"/>
          <w:color w:val="auto"/>
        </w:rPr>
      </w:pPr>
    </w:p>
    <w:p>
      <w:pPr>
        <w:ind w:left="800" w:hanging="150"/>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adequate insurance policies; and</w:t>
      </w:r>
    </w:p>
    <w:p>
      <w:pPr>
        <w:spacing w:after="0" w:line="141" w:lineRule="exact"/>
        <w:rPr>
          <w:rFonts w:ascii="Arial" w:cs="Arial" w:eastAsia="Arial" w:hAnsi="Arial"/>
          <w:sz w:val="18"/>
          <w:szCs w:val="18"/>
          <w:color w:val="auto"/>
        </w:rPr>
      </w:pPr>
    </w:p>
    <w:p>
      <w:pPr>
        <w:ind w:left="800" w:hanging="150"/>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55" w:lineRule="exact"/>
        <w:rPr>
          <w:sz w:val="20"/>
          <w:szCs w:val="20"/>
          <w:color w:val="auto"/>
        </w:rPr>
      </w:pPr>
    </w:p>
    <w:p>
      <w:pPr>
        <w:ind w:firstLine="643"/>
        <w:spacing w:after="0" w:line="250" w:lineRule="auto"/>
        <w:rPr>
          <w:sz w:val="20"/>
          <w:szCs w:val="20"/>
          <w:color w:val="auto"/>
        </w:rPr>
      </w:pPr>
      <w:r>
        <w:rPr>
          <w:rFonts w:ascii="Arial" w:cs="Arial" w:eastAsia="Arial" w:hAnsi="Arial"/>
          <w:sz w:val="18"/>
          <w:szCs w:val="18"/>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spacing w:after="0" w:line="120" w:lineRule="exact"/>
        <w:rPr>
          <w:sz w:val="20"/>
          <w:szCs w:val="20"/>
          <w:color w:val="auto"/>
        </w:rPr>
      </w:pPr>
    </w:p>
    <w:p>
      <w:pPr>
        <w:ind w:right="800"/>
        <w:spacing w:after="0" w:line="281" w:lineRule="auto"/>
        <w:rPr>
          <w:sz w:val="20"/>
          <w:szCs w:val="20"/>
          <w:color w:val="auto"/>
        </w:rPr>
      </w:pPr>
      <w:r>
        <w:rPr>
          <w:rFonts w:ascii="Arial" w:cs="Arial" w:eastAsia="Arial" w:hAnsi="Arial"/>
          <w:sz w:val="18"/>
          <w:szCs w:val="18"/>
          <w:b w:val="1"/>
          <w:bCs w:val="1"/>
          <w:i w:val="1"/>
          <w:iCs w:val="1"/>
          <w:color w:val="auto"/>
        </w:rPr>
        <w:t>Our estimated market opportunities for our product candidates are subject to numerous uncertainties and may prove to be inaccurate. If we have overestimated the size of our market opportunities, our future growth may be limited.</w:t>
      </w:r>
    </w:p>
    <w:p>
      <w:pPr>
        <w:spacing w:after="0" w:line="100" w:lineRule="exact"/>
        <w:rPr>
          <w:sz w:val="20"/>
          <w:szCs w:val="20"/>
          <w:color w:val="auto"/>
        </w:rPr>
      </w:pPr>
    </w:p>
    <w:p>
      <w:pPr>
        <w:ind w:right="80" w:firstLine="643"/>
        <w:spacing w:after="0" w:line="249" w:lineRule="auto"/>
        <w:rPr>
          <w:sz w:val="20"/>
          <w:szCs w:val="20"/>
          <w:color w:val="auto"/>
        </w:rPr>
      </w:pPr>
      <w:r>
        <w:rPr>
          <w:rFonts w:ascii="Arial" w:cs="Arial" w:eastAsia="Arial" w:hAnsi="Arial"/>
          <w:sz w:val="18"/>
          <w:szCs w:val="18"/>
          <w:color w:val="auto"/>
        </w:rPr>
        <w:t>Our estimated addressable markets and market opportunities for our product candidates are based on a variety of inputs, including data published by third parties, our own market insights and internal market intelligence, and internally generated data and assumptions. We have not independently verified any third-party information and there can be no assurance as to its accuracy or completeness. Market opportunity estimates, whether obtained or derived from third-party sources or developed internally, are subject to significant uncertainty and are based on assumptions and estimates that may not prove to be accurate. While we believe our market opportunity estimates are reasonable, such information is inherently imprecise. In addition, our assumptions and estimates of market opportunities are necessarily subject to a high degree of uncertainty and risk due to a variety of factors, including but not limited to those described in this Quarterly Report on Form 10-Q. If this third-party or internally generated data prove to be inaccurate or we make errors in our assumptions based on that data, our actual market may be more limited than our estimates. In addition, these inaccuracies or errors may cause us to misallocate capital and other critical business resources, which could harm our business. The estimates of our market opportunities included in this Quarterly Report on Form 10-Q should not be taken as indicative of our ability to grow our business.</w:t>
      </w:r>
    </w:p>
    <w:p>
      <w:pPr>
        <w:spacing w:after="0" w:line="120"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Risks Related to Development and Commercialization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dependent on the development, regulatory approval, and commercialization of our current product candidates.</w:t>
      </w:r>
    </w:p>
    <w:p>
      <w:pPr>
        <w:spacing w:after="0" w:line="163" w:lineRule="exact"/>
        <w:rPr>
          <w:sz w:val="20"/>
          <w:szCs w:val="20"/>
          <w:color w:val="auto"/>
        </w:rPr>
      </w:pPr>
    </w:p>
    <w:p>
      <w:pPr>
        <w:ind w:right="40" w:firstLine="643"/>
        <w:spacing w:after="0" w:line="249" w:lineRule="auto"/>
        <w:rPr>
          <w:sz w:val="20"/>
          <w:szCs w:val="20"/>
          <w:color w:val="auto"/>
        </w:rPr>
      </w:pPr>
      <w:r>
        <w:rPr>
          <w:rFonts w:ascii="Arial" w:cs="Arial" w:eastAsia="Arial" w:hAnsi="Arial"/>
          <w:sz w:val="18"/>
          <w:szCs w:val="18"/>
          <w:color w:val="auto"/>
        </w:rPr>
        <w:t>We currently have no products that are approved for commercial sale. Our current portfolio includes our lead product candidate roflumilast cream, a potent PDE4 inhibitor topical cream for the treatment of plaque psoriasis and atopic dermatitis, and our additional product candidates roflumilast foam, a topical foam formulation of roflumilast for the treatment of scalp psoriasis and seborrheic dermatitis, ARQ-252, a potent and highly selective topical JAK1 inhibitor for the treatment of chronic hand eczema and vitiligo, and ARQ-255, a potential topical treatment for alopecia areata. We currently do not have drug discovery efforts, and we have no intention to develop these. The success of our business, including our ability to finance our company and generate any revenue in the future, will primarily depend on the successful development, regulatory approval, and commercialization of our current product candidates. We expect to conduct most of our clinical trials in the United States and Canada, with currently limited plans for clinical trials in Australia, the Caribbean, and the EU. We currently anticipate seeking regulatory approvals in the United States and Canada, but may in the future be subject to additional foreign regulatory authorities and may out-license our product candidates or approved products, if any, in additional foreign markets. In the future, we may also become dependent on other product candidates that we may develop, acquire, or in-license. The clinical and commercial success of our product candidates will depend on a number of factors, including the following:</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800" w:hanging="150"/>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to raise any additional required capital on acceptable terms, or at all;</w:t>
      </w:r>
    </w:p>
    <w:p>
      <w:pPr>
        <w:spacing w:after="0" w:line="141" w:lineRule="exact"/>
        <w:rPr>
          <w:rFonts w:ascii="Arial" w:cs="Arial" w:eastAsia="Arial" w:hAnsi="Arial"/>
          <w:sz w:val="18"/>
          <w:szCs w:val="18"/>
          <w:color w:val="auto"/>
        </w:rPr>
      </w:pPr>
    </w:p>
    <w:p>
      <w:pPr>
        <w:ind w:left="820" w:right="160" w:hanging="170"/>
        <w:spacing w:after="0" w:line="252" w:lineRule="auto"/>
        <w:tabs>
          <w:tab w:leader="none" w:pos="8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timely completion of our preclinical studies and clinical trials, which may be significantly slower or cost more than we currently anticipate, particularly as a result of the impact of the COVID-19 pandemic, and will depend substantially upon the performance of third-party contractors;</w:t>
      </w:r>
    </w:p>
    <w:p>
      <w:pPr>
        <w:spacing w:after="0" w:line="137" w:lineRule="exact"/>
        <w:rPr>
          <w:rFonts w:ascii="Arial" w:cs="Arial" w:eastAsia="Arial" w:hAnsi="Arial"/>
          <w:sz w:val="18"/>
          <w:szCs w:val="18"/>
          <w:color w:val="auto"/>
        </w:rPr>
      </w:pPr>
    </w:p>
    <w:p>
      <w:pPr>
        <w:ind w:left="820" w:right="220" w:hanging="170"/>
        <w:spacing w:after="0" w:line="285" w:lineRule="auto"/>
        <w:tabs>
          <w:tab w:leader="none" w:pos="815" w:val="left"/>
        </w:tabs>
        <w:numPr>
          <w:ilvl w:val="0"/>
          <w:numId w:val="16"/>
        </w:numPr>
        <w:rPr>
          <w:rFonts w:ascii="Arial" w:cs="Arial" w:eastAsia="Arial" w:hAnsi="Arial"/>
          <w:sz w:val="17"/>
          <w:szCs w:val="17"/>
          <w:color w:val="auto"/>
        </w:rPr>
      </w:pPr>
      <w:r>
        <w:rPr>
          <w:rFonts w:ascii="Arial" w:cs="Arial" w:eastAsia="Arial" w:hAnsi="Arial"/>
          <w:sz w:val="17"/>
          <w:szCs w:val="17"/>
          <w:color w:val="auto"/>
        </w:rPr>
        <w:t>whether we are required by the FDA or similar foreign regulatory authorities to conduct additional clinical trials or other studies beyond those planned to support the approval and commercialization of our product candidates or any future product candidates;</w:t>
      </w:r>
    </w:p>
    <w:p>
      <w:pPr>
        <w:spacing w:after="0" w:line="111" w:lineRule="exact"/>
        <w:rPr>
          <w:rFonts w:ascii="Arial" w:cs="Arial" w:eastAsia="Arial" w:hAnsi="Arial"/>
          <w:sz w:val="17"/>
          <w:szCs w:val="17"/>
          <w:color w:val="auto"/>
        </w:rPr>
      </w:pPr>
    </w:p>
    <w:p>
      <w:pPr>
        <w:ind w:left="820" w:right="240" w:hanging="170"/>
        <w:spacing w:after="0" w:line="255" w:lineRule="auto"/>
        <w:tabs>
          <w:tab w:leader="none" w:pos="8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acceptance of our proposed indications and primary and secondary endpoint assessments relating to the proposed indications of our product candidates by the FDA and similar foreign regulatory authorities;</w:t>
      </w:r>
    </w:p>
    <w:p>
      <w:pPr>
        <w:spacing w:after="0" w:line="122" w:lineRule="exact"/>
        <w:rPr>
          <w:rFonts w:ascii="Arial" w:cs="Arial" w:eastAsia="Arial" w:hAnsi="Arial"/>
          <w:sz w:val="18"/>
          <w:szCs w:val="18"/>
          <w:color w:val="auto"/>
        </w:rPr>
      </w:pPr>
    </w:p>
    <w:p>
      <w:pPr>
        <w:ind w:left="820" w:right="340" w:hanging="170"/>
        <w:spacing w:after="0" w:line="255" w:lineRule="auto"/>
        <w:tabs>
          <w:tab w:leader="none" w:pos="8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prevalence, duration, and severity of potential side effects or other safety issues experienced with our product candidates or future approved products, if any;</w:t>
      </w:r>
    </w:p>
    <w:p>
      <w:pPr>
        <w:spacing w:after="0" w:line="135" w:lineRule="exact"/>
        <w:rPr>
          <w:rFonts w:ascii="Arial" w:cs="Arial" w:eastAsia="Arial" w:hAnsi="Arial"/>
          <w:sz w:val="18"/>
          <w:szCs w:val="18"/>
          <w:color w:val="auto"/>
        </w:rPr>
      </w:pPr>
    </w:p>
    <w:p>
      <w:pPr>
        <w:ind w:left="800" w:hanging="150"/>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timely receipt of necessary marketing approvals from the FDA and similar foreign regulatory authorities;</w:t>
      </w:r>
    </w:p>
    <w:p>
      <w:pPr>
        <w:spacing w:after="0" w:line="154" w:lineRule="exact"/>
        <w:rPr>
          <w:rFonts w:ascii="Arial" w:cs="Arial" w:eastAsia="Arial" w:hAnsi="Arial"/>
          <w:sz w:val="18"/>
          <w:szCs w:val="18"/>
          <w:color w:val="auto"/>
        </w:rPr>
      </w:pPr>
    </w:p>
    <w:p>
      <w:pPr>
        <w:ind w:left="820" w:right="160" w:hanging="170"/>
        <w:spacing w:after="0" w:line="252" w:lineRule="auto"/>
        <w:tabs>
          <w:tab w:leader="none" w:pos="8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achieving and maintaining, and, where applicable, ensuring that our third-party contractors achieve and maintain, compliance with our contractual obligations and with all regulatory requirements applicable to our lead product candidates or any future product candidates or approved products, if any;</w:t>
      </w:r>
    </w:p>
    <w:p>
      <w:pPr>
        <w:spacing w:after="0" w:line="124" w:lineRule="exact"/>
        <w:rPr>
          <w:rFonts w:ascii="Arial" w:cs="Arial" w:eastAsia="Arial" w:hAnsi="Arial"/>
          <w:sz w:val="18"/>
          <w:szCs w:val="18"/>
          <w:color w:val="auto"/>
        </w:rPr>
      </w:pPr>
    </w:p>
    <w:p>
      <w:pPr>
        <w:ind w:left="800" w:hanging="150"/>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willingness of physicians and patients to utilize or adopt our product candidates;</w:t>
      </w:r>
    </w:p>
    <w:p>
      <w:pPr>
        <w:spacing w:after="0" w:line="154" w:lineRule="exact"/>
        <w:rPr>
          <w:rFonts w:ascii="Arial" w:cs="Arial" w:eastAsia="Arial" w:hAnsi="Arial"/>
          <w:sz w:val="18"/>
          <w:szCs w:val="18"/>
          <w:color w:val="auto"/>
        </w:rPr>
      </w:pPr>
    </w:p>
    <w:p>
      <w:pPr>
        <w:ind w:left="820" w:right="100" w:hanging="170"/>
        <w:spacing w:after="0" w:line="252" w:lineRule="auto"/>
        <w:tabs>
          <w:tab w:leader="none" w:pos="8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third parties upon which we rely to manufacture clinical trial and commercial supplies of our product candidates or any future product candidates to remain in good standing with relevant regulatory authorities and to develop, validate, and maintain commercially viable manufacturing processes that are compliant with cGMP;</w:t>
      </w:r>
    </w:p>
    <w:p>
      <w:pPr>
        <w:spacing w:after="0" w:line="137" w:lineRule="exact"/>
        <w:rPr>
          <w:rFonts w:ascii="Arial" w:cs="Arial" w:eastAsia="Arial" w:hAnsi="Arial"/>
          <w:sz w:val="18"/>
          <w:szCs w:val="18"/>
          <w:color w:val="auto"/>
        </w:rPr>
      </w:pPr>
    </w:p>
    <w:p>
      <w:pPr>
        <w:ind w:left="820" w:right="40" w:hanging="170"/>
        <w:spacing w:after="0" w:line="252" w:lineRule="auto"/>
        <w:tabs>
          <w:tab w:leader="none" w:pos="8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successfully develop a commercial strategy and thereafter commercialize our product candidates or any future product candidates in the United States and internationally, if approved for marketing, reimbursement, sale, and distribution in such countries and territories, whether alone or in collaboration with others;</w:t>
      </w:r>
    </w:p>
    <w:p>
      <w:pPr>
        <w:spacing w:after="0" w:line="124" w:lineRule="exact"/>
        <w:rPr>
          <w:rFonts w:ascii="Arial" w:cs="Arial" w:eastAsia="Arial" w:hAnsi="Arial"/>
          <w:sz w:val="18"/>
          <w:szCs w:val="18"/>
          <w:color w:val="auto"/>
        </w:rPr>
      </w:pPr>
    </w:p>
    <w:p>
      <w:pPr>
        <w:ind w:left="820" w:right="120" w:hanging="170"/>
        <w:spacing w:after="0" w:line="255" w:lineRule="auto"/>
        <w:tabs>
          <w:tab w:leader="none" w:pos="8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acceptance by physicians, payors, and patients of the benefits, safety, and efficacy of our product candidates or any future product candidates, if approved, including relative to alternative and competing treatments;</w:t>
      </w:r>
    </w:p>
    <w:p>
      <w:pPr>
        <w:spacing w:after="0" w:line="135" w:lineRule="exact"/>
        <w:rPr>
          <w:rFonts w:ascii="Arial" w:cs="Arial" w:eastAsia="Arial" w:hAnsi="Arial"/>
          <w:sz w:val="18"/>
          <w:szCs w:val="18"/>
          <w:color w:val="auto"/>
        </w:rPr>
      </w:pPr>
    </w:p>
    <w:p>
      <w:pPr>
        <w:ind w:left="800" w:hanging="150"/>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patient demand for our product candidates, if approved;</w:t>
      </w:r>
    </w:p>
    <w:p>
      <w:pPr>
        <w:spacing w:after="0" w:line="154" w:lineRule="exact"/>
        <w:rPr>
          <w:rFonts w:ascii="Arial" w:cs="Arial" w:eastAsia="Arial" w:hAnsi="Arial"/>
          <w:sz w:val="18"/>
          <w:szCs w:val="18"/>
          <w:color w:val="auto"/>
        </w:rPr>
      </w:pPr>
    </w:p>
    <w:p>
      <w:pPr>
        <w:ind w:left="800" w:hanging="150"/>
        <w:spacing w:after="0"/>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establish and enforce intellectual property rights in and to our product candidates or any future product candidates; and</w:t>
      </w:r>
    </w:p>
    <w:p>
      <w:pPr>
        <w:spacing w:after="0" w:line="152" w:lineRule="exact"/>
        <w:rPr>
          <w:rFonts w:ascii="Arial" w:cs="Arial" w:eastAsia="Arial" w:hAnsi="Arial"/>
          <w:sz w:val="17"/>
          <w:szCs w:val="17"/>
          <w:color w:val="auto"/>
        </w:rPr>
      </w:pPr>
    </w:p>
    <w:p>
      <w:pPr>
        <w:ind w:left="800" w:hanging="150"/>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avoid third-party patent interference, intellectual property challenges, or intellectual property infringement claims.</w:t>
      </w:r>
    </w:p>
    <w:p>
      <w:pPr>
        <w:spacing w:after="0" w:line="155" w:lineRule="exact"/>
        <w:rPr>
          <w:sz w:val="20"/>
          <w:szCs w:val="20"/>
          <w:color w:val="auto"/>
        </w:rPr>
      </w:pPr>
    </w:p>
    <w:p>
      <w:pPr>
        <w:ind w:right="80" w:firstLine="643"/>
        <w:spacing w:after="0" w:line="249" w:lineRule="auto"/>
        <w:rPr>
          <w:sz w:val="20"/>
          <w:szCs w:val="20"/>
          <w:color w:val="auto"/>
        </w:rPr>
      </w:pPr>
      <w:r>
        <w:rPr>
          <w:rFonts w:ascii="Arial" w:cs="Arial" w:eastAsia="Arial" w:hAnsi="Arial"/>
          <w:sz w:val="18"/>
          <w:szCs w:val="18"/>
          <w:color w:val="auto"/>
        </w:rPr>
        <w:t>Furthermore, because each of our product candidates targets one or more indications in the medical dermatology field, if any of our product candidates encounter safety or efficacy problems, developmental delays, regulatory issues, supply issues, or other problems, our development plans for the affected product candidate and some or all of our other product candidates could be significantly harmed, which would harm our business. Further, competitors who are developing products in the dermatology field or that target the same indications as us with products that have a similar mechanism of action may experience problems with their products that could indicate or result in class-wide problems or additional requirements that would potentially harm our business.</w:t>
      </w:r>
    </w:p>
    <w:p>
      <w:pPr>
        <w:spacing w:after="0" w:line="144" w:lineRule="exact"/>
        <w:rPr>
          <w:sz w:val="20"/>
          <w:szCs w:val="20"/>
          <w:color w:val="auto"/>
        </w:rPr>
      </w:pPr>
    </w:p>
    <w:p>
      <w:pPr>
        <w:ind w:right="260" w:firstLine="643"/>
        <w:spacing w:after="0" w:line="252" w:lineRule="auto"/>
        <w:rPr>
          <w:sz w:val="20"/>
          <w:szCs w:val="20"/>
          <w:color w:val="auto"/>
        </w:rPr>
      </w:pPr>
      <w:r>
        <w:rPr>
          <w:rFonts w:ascii="Arial" w:cs="Arial" w:eastAsia="Arial" w:hAnsi="Arial"/>
          <w:sz w:val="18"/>
          <w:szCs w:val="18"/>
          <w:color w:val="auto"/>
        </w:rPr>
        <w:t>The factors outlined above, many of which are beyond our control, could cause us to experience significant delays or an inability to obtain regulatory approvals or commercialize our product candidates. Accordingly, we cannot provide assurances that we will be able to generate sufficient revenue through the sale of our product candidates or any future product candidates to continue our business.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16" w:lineRule="exact"/>
        <w:rPr>
          <w:sz w:val="20"/>
          <w:szCs w:val="20"/>
          <w:color w:val="auto"/>
        </w:rPr>
      </w:pPr>
    </w:p>
    <w:p>
      <w:pPr>
        <w:ind w:firstLine="643"/>
        <w:spacing w:after="0" w:line="248" w:lineRule="auto"/>
        <w:rPr>
          <w:sz w:val="20"/>
          <w:szCs w:val="20"/>
          <w:color w:val="auto"/>
        </w:rPr>
      </w:pPr>
      <w:r>
        <w:rPr>
          <w:rFonts w:ascii="Arial" w:cs="Arial" w:eastAsia="Arial" w:hAnsi="Arial"/>
          <w:sz w:val="18"/>
          <w:szCs w:val="18"/>
          <w:color w:val="auto"/>
        </w:rPr>
        <w:t>The risk of failure for our product candidates is high. It is impossible to predict when or if any of our product candidates will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is inherently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 For example, our Phase 2 proof of concept study in atopic dermatitis had a limited number of patients and did not reach statistical significance for the primary endpoint of absolute change in Eczema and Severity Index (EASI). However, this study did provide evidence that roflumilast cream could provide symptomatic improvement, with statistically significant difference from vehicle on several key secondary endpoints, and a favorable tolerability profile in adults with atopic dermatitis and, following an End of Phase 2 meeting with the FDA in September 2020, we omitted our previously planned Phase 2b study in that indication and recently initiated Phase 3 clinical trials. Additionally, our Phase 1/2b clinical study of ARQ-252 for the treatment of chronic hand eczema did not meet its primary end point of IGA clear or almost clear at week 12 and we terminated our Phase 2a clinical trial evaluating ARQ-252 as a potential treatment for vitiligo.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w:t>
      </w:r>
    </w:p>
    <w:p>
      <w:pPr>
        <w:spacing w:after="0" w:line="153" w:lineRule="exact"/>
        <w:rPr>
          <w:sz w:val="20"/>
          <w:szCs w:val="20"/>
          <w:color w:val="auto"/>
        </w:rPr>
      </w:pPr>
    </w:p>
    <w:p>
      <w:pPr>
        <w:ind w:right="20" w:firstLine="643"/>
        <w:spacing w:after="0" w:line="255"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136" w:lineRule="exact"/>
        <w:rPr>
          <w:sz w:val="20"/>
          <w:szCs w:val="20"/>
          <w:color w:val="auto"/>
        </w:rPr>
      </w:pPr>
    </w:p>
    <w:p>
      <w:pPr>
        <w:ind w:left="820" w:right="80" w:hanging="170"/>
        <w:spacing w:after="0" w:line="255"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clinical site closures, delays to patient enrollment, subjects discontinuing treatment or follow-up visits, issues with data collection, or changes to trial protocols as a result of the COVID-19 pandemic;</w:t>
      </w:r>
    </w:p>
    <w:p>
      <w:pPr>
        <w:spacing w:after="0" w:line="122" w:lineRule="exact"/>
        <w:rPr>
          <w:rFonts w:ascii="Arial" w:cs="Arial" w:eastAsia="Arial" w:hAnsi="Arial"/>
          <w:sz w:val="18"/>
          <w:szCs w:val="18"/>
          <w:color w:val="auto"/>
        </w:rPr>
      </w:pPr>
    </w:p>
    <w:p>
      <w:pPr>
        <w:ind w:left="820" w:right="60" w:hanging="170"/>
        <w:spacing w:after="0" w:line="255"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regulators or independent institutional review boards (IRBs) may not authorize us or our investigators to commence a clinical trial or conduct a clinical trial at a prospective trial site;</w:t>
      </w:r>
    </w:p>
    <w:p>
      <w:pPr>
        <w:spacing w:after="0" w:line="135" w:lineRule="exact"/>
        <w:rPr>
          <w:rFonts w:ascii="Arial" w:cs="Arial" w:eastAsia="Arial" w:hAnsi="Arial"/>
          <w:sz w:val="18"/>
          <w:szCs w:val="18"/>
          <w:color w:val="auto"/>
        </w:rPr>
      </w:pPr>
    </w:p>
    <w:p>
      <w:pPr>
        <w:ind w:left="820" w:right="100" w:hanging="170"/>
        <w:spacing w:after="0" w:line="252"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 or prospective CROs, the terms of which can be subject to extensive negotiation and may vary significantly among different CROs and trial sites;</w:t>
      </w:r>
    </w:p>
    <w:p>
      <w:pPr>
        <w:spacing w:after="0" w:line="137" w:lineRule="exact"/>
        <w:rPr>
          <w:rFonts w:ascii="Arial" w:cs="Arial" w:eastAsia="Arial" w:hAnsi="Arial"/>
          <w:sz w:val="18"/>
          <w:szCs w:val="18"/>
          <w:color w:val="auto"/>
        </w:rPr>
      </w:pPr>
    </w:p>
    <w:p>
      <w:pPr>
        <w:ind w:left="820" w:right="360" w:hanging="170"/>
        <w:spacing w:after="0" w:line="252"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including failure to demonstrate statistical significance, and we may decide, or regulators may require us, to conduct additional clinical trials or abandon drug development programs;</w:t>
      </w:r>
    </w:p>
    <w:p>
      <w:pPr>
        <w:spacing w:after="0" w:line="124" w:lineRule="exact"/>
        <w:rPr>
          <w:rFonts w:ascii="Arial" w:cs="Arial" w:eastAsia="Arial" w:hAnsi="Arial"/>
          <w:sz w:val="18"/>
          <w:szCs w:val="18"/>
          <w:color w:val="auto"/>
        </w:rPr>
      </w:pPr>
    </w:p>
    <w:p>
      <w:pPr>
        <w:ind w:left="820" w:right="60" w:hanging="170"/>
        <w:spacing w:after="0" w:line="252"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137" w:lineRule="exact"/>
        <w:rPr>
          <w:rFonts w:ascii="Arial" w:cs="Arial" w:eastAsia="Arial" w:hAnsi="Arial"/>
          <w:sz w:val="18"/>
          <w:szCs w:val="18"/>
          <w:color w:val="auto"/>
        </w:rPr>
      </w:pPr>
    </w:p>
    <w:p>
      <w:pPr>
        <w:ind w:left="820" w:right="480" w:hanging="170"/>
        <w:spacing w:after="0" w:line="255"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IRBs to suspend or terminate the trials;</w:t>
      </w:r>
    </w:p>
    <w:p>
      <w:pPr>
        <w:spacing w:after="0" w:line="135" w:lineRule="exact"/>
        <w:rPr>
          <w:rFonts w:ascii="Arial" w:cs="Arial" w:eastAsia="Arial" w:hAnsi="Arial"/>
          <w:sz w:val="18"/>
          <w:szCs w:val="18"/>
          <w:color w:val="auto"/>
        </w:rPr>
      </w:pPr>
    </w:p>
    <w:p>
      <w:pPr>
        <w:ind w:left="820" w:right="440" w:hanging="170"/>
        <w:spacing w:after="0" w:line="255"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122" w:lineRule="exact"/>
        <w:rPr>
          <w:rFonts w:ascii="Arial" w:cs="Arial" w:eastAsia="Arial" w:hAnsi="Arial"/>
          <w:sz w:val="18"/>
          <w:szCs w:val="18"/>
          <w:color w:val="auto"/>
        </w:rPr>
      </w:pPr>
    </w:p>
    <w:p>
      <w:pPr>
        <w:ind w:left="820" w:right="60" w:hanging="170"/>
        <w:spacing w:after="0" w:line="285" w:lineRule="auto"/>
        <w:tabs>
          <w:tab w:leader="none" w:pos="815"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regulators or IRBs may require that we or our investigators suspend or terminate clinical development for various reasons, including noncompliance with regulatory requirements, or a finding that the participants are being exposed to unacceptable health risks;</w:t>
      </w:r>
    </w:p>
    <w:p>
      <w:pPr>
        <w:spacing w:after="0" w:line="111" w:lineRule="exact"/>
        <w:rPr>
          <w:rFonts w:ascii="Arial" w:cs="Arial" w:eastAsia="Arial" w:hAnsi="Arial"/>
          <w:sz w:val="17"/>
          <w:szCs w:val="17"/>
          <w:color w:val="auto"/>
        </w:rPr>
      </w:pPr>
    </w:p>
    <w:p>
      <w:pPr>
        <w:ind w:left="800" w:hanging="150"/>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 and</w:t>
      </w:r>
    </w:p>
    <w:p>
      <w:pPr>
        <w:spacing w:after="0" w:line="154" w:lineRule="exact"/>
        <w:rPr>
          <w:rFonts w:ascii="Arial" w:cs="Arial" w:eastAsia="Arial" w:hAnsi="Arial"/>
          <w:sz w:val="18"/>
          <w:szCs w:val="18"/>
          <w:color w:val="auto"/>
        </w:rPr>
      </w:pPr>
    </w:p>
    <w:p>
      <w:pPr>
        <w:ind w:left="820" w:right="140" w:hanging="170"/>
        <w:spacing w:after="0" w:line="255"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firstLine="643"/>
        <w:spacing w:after="0" w:line="249" w:lineRule="auto"/>
        <w:rPr>
          <w:sz w:val="20"/>
          <w:szCs w:val="20"/>
          <w:color w:val="auto"/>
        </w:rPr>
      </w:pPr>
      <w:r>
        <w:rPr>
          <w:rFonts w:ascii="Arial" w:cs="Arial" w:eastAsia="Arial" w:hAnsi="Arial"/>
          <w:sz w:val="18"/>
          <w:szCs w:val="18"/>
          <w:color w:val="auto"/>
        </w:rPr>
        <w:t>We could also encounter delays if a clinical trial is suspended or terminated by us, by the IRBs of the institutions in which such trials are being conducted, by the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side effects, failure to demonstrate a benefit from using a drug, changes in governmental regulations or administrative actions, or lack of adequate funding to continue the clinical trial.</w:t>
      </w:r>
    </w:p>
    <w:p>
      <w:pPr>
        <w:spacing w:after="0" w:line="131" w:lineRule="exact"/>
        <w:rPr>
          <w:sz w:val="20"/>
          <w:szCs w:val="20"/>
          <w:color w:val="auto"/>
        </w:rPr>
      </w:pPr>
    </w:p>
    <w:p>
      <w:pPr>
        <w:ind w:right="40" w:firstLine="643"/>
        <w:spacing w:after="0" w:line="250" w:lineRule="auto"/>
        <w:rPr>
          <w:sz w:val="20"/>
          <w:szCs w:val="20"/>
          <w:color w:val="auto"/>
        </w:rPr>
      </w:pPr>
      <w:r>
        <w:rPr>
          <w:rFonts w:ascii="Arial" w:cs="Arial" w:eastAsia="Arial" w:hAnsi="Arial"/>
          <w:sz w:val="18"/>
          <w:szCs w:val="18"/>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w:t>
      </w:r>
    </w:p>
    <w:p>
      <w:pPr>
        <w:spacing w:after="0" w:line="1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be unable to obtain regulatory approval for our product candidates under applicable regulatory requirements. The denial or delay of any such approval would delay commercialization of our product candidates and adversely impact our potential to generate revenue, our business, and our results of operations.</w:t>
      </w:r>
    </w:p>
    <w:p>
      <w:pPr>
        <w:spacing w:after="0" w:line="129" w:lineRule="exact"/>
        <w:rPr>
          <w:sz w:val="20"/>
          <w:szCs w:val="20"/>
          <w:color w:val="auto"/>
        </w:rPr>
      </w:pPr>
    </w:p>
    <w:p>
      <w:pPr>
        <w:ind w:firstLine="643"/>
        <w:spacing w:after="0" w:line="249" w:lineRule="auto"/>
        <w:rPr>
          <w:sz w:val="20"/>
          <w:szCs w:val="20"/>
          <w:color w:val="auto"/>
        </w:rPr>
      </w:pPr>
      <w:r>
        <w:rPr>
          <w:rFonts w:ascii="Arial" w:cs="Arial" w:eastAsia="Arial" w:hAnsi="Arial"/>
          <w:sz w:val="18"/>
          <w:szCs w:val="18"/>
          <w:color w:val="auto"/>
        </w:rPr>
        <w:t>To gain approval to market our product candidates, we must provide the FDA and foreign regulatory authorities with preclinical and clinical data that adequately demonstrate the safety and efficacy of the product for the intended indication applied for in the applicable regulatory filing. Product development is a long, expensive, and uncertain process, and delay or failure can occur at any stage of any of our preclinical and clinical development programs. A number of companies in the biotechnology and pharmaceutical industries have suffered significant setbacks in clinical trials, even after promising results in earlier preclinical or clinical studies. These setbacks have been caused by, among other things, preclinical findings made while clinical studies were underway and safety or efficacy observations made in clinical studies, including previously unreported adverse events. Success in preclinical testing and early clinical trials does not ensure that later clinical trials will be successful, and the results of clinical trials by other parties may not be indicative of the results in trials we may conduct.</w:t>
      </w:r>
    </w:p>
    <w:p>
      <w:pPr>
        <w:spacing w:after="0" w:line="130" w:lineRule="exact"/>
        <w:rPr>
          <w:sz w:val="20"/>
          <w:szCs w:val="20"/>
          <w:color w:val="auto"/>
        </w:rPr>
      </w:pPr>
    </w:p>
    <w:p>
      <w:pPr>
        <w:ind w:right="40" w:firstLine="643"/>
        <w:spacing w:after="0" w:line="249" w:lineRule="auto"/>
        <w:rPr>
          <w:sz w:val="20"/>
          <w:szCs w:val="20"/>
          <w:color w:val="auto"/>
        </w:rPr>
      </w:pPr>
      <w:r>
        <w:rPr>
          <w:rFonts w:ascii="Arial" w:cs="Arial" w:eastAsia="Arial" w:hAnsi="Arial"/>
          <w:sz w:val="18"/>
          <w:szCs w:val="18"/>
          <w:color w:val="auto"/>
        </w:rPr>
        <w:t>We currently have no products approved for sale; we are currently preparing regulatory submissions for our lead product candidate, topical roflumilast cream, and our other product candidates remain in clinical development. Significant risk remains and we cannot provide assurance that they will obtain regulatory approval for commercialization as expected, or at all. The research, testing, manufacturing, labeling, approval, sale, marketing, and distribution of drug products are subject to extensive regulation by the FDA and other regulatory authorities in the United States and other countries, and such regulations differ from country to country. We are not permitted to market our product candidates in the United States or in any foreign countries until they receive the requisite approval from the applicable regulatory authorities of such jurisdictions, including pricing approval in the EU.</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FDA or any foreign regulatory authorities can delay, limit, or deny approval of our product candidates for many reasons, including:</w:t>
      </w:r>
    </w:p>
    <w:p>
      <w:pPr>
        <w:spacing w:after="0" w:line="166" w:lineRule="exact"/>
        <w:rPr>
          <w:sz w:val="20"/>
          <w:szCs w:val="20"/>
          <w:color w:val="auto"/>
        </w:rPr>
      </w:pPr>
    </w:p>
    <w:p>
      <w:pPr>
        <w:ind w:left="820" w:right="580" w:hanging="170"/>
        <w:spacing w:after="0" w:line="255"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demonstrate to the satisfaction of the FDA or the applicable foreign regulatory authority that any of our product candidates is safe and effective for the requested indication;</w:t>
      </w:r>
    </w:p>
    <w:p>
      <w:pPr>
        <w:spacing w:after="0" w:line="122" w:lineRule="exact"/>
        <w:rPr>
          <w:rFonts w:ascii="Arial" w:cs="Arial" w:eastAsia="Arial" w:hAnsi="Arial"/>
          <w:sz w:val="18"/>
          <w:szCs w:val="18"/>
          <w:color w:val="auto"/>
        </w:rPr>
      </w:pPr>
    </w:p>
    <w:p>
      <w:pPr>
        <w:ind w:left="820" w:right="200" w:hanging="170"/>
        <w:spacing w:after="0" w:line="255"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or other relevant foreign regulatory authorities may disagree with the number, design, size, conduct, or implementation of our clinical trials, including the design of our Phase 3 clinical trials of roflumilast cream for the treatment of plaque psoriasis;</w:t>
      </w:r>
    </w:p>
    <w:p>
      <w:pPr>
        <w:spacing w:after="0" w:line="135" w:lineRule="exact"/>
        <w:rPr>
          <w:rFonts w:ascii="Arial" w:cs="Arial" w:eastAsia="Arial" w:hAnsi="Arial"/>
          <w:sz w:val="18"/>
          <w:szCs w:val="18"/>
          <w:color w:val="auto"/>
        </w:rPr>
      </w:pPr>
    </w:p>
    <w:p>
      <w:pPr>
        <w:ind w:left="820" w:right="360" w:hanging="170"/>
        <w:spacing w:after="0" w:line="252"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or other relevant foreign regulatory authorities may not find the data from preclinical studies or clinical trials sufficient to demonstrate that the clinical and other benefits of these products candidates outweigh their safety risks or that there is an acceptable risk-benefit profile;</w:t>
      </w:r>
    </w:p>
    <w:p>
      <w:pPr>
        <w:spacing w:after="0" w:line="137" w:lineRule="exact"/>
        <w:rPr>
          <w:rFonts w:ascii="Arial" w:cs="Arial" w:eastAsia="Arial" w:hAnsi="Arial"/>
          <w:sz w:val="18"/>
          <w:szCs w:val="18"/>
          <w:color w:val="auto"/>
        </w:rPr>
      </w:pPr>
    </w:p>
    <w:p>
      <w:pPr>
        <w:ind w:left="820" w:right="340" w:hanging="170"/>
        <w:spacing w:after="0" w:line="255"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results of our clinical trials may not meet the level of statistical significance or clinical meaningfulness required by the FDA or other relevant foreign regulatory authorities for marketing approval;</w:t>
      </w:r>
    </w:p>
    <w:p>
      <w:pPr>
        <w:spacing w:after="0" w:line="122" w:lineRule="exact"/>
        <w:rPr>
          <w:rFonts w:ascii="Arial" w:cs="Arial" w:eastAsia="Arial" w:hAnsi="Arial"/>
          <w:sz w:val="18"/>
          <w:szCs w:val="18"/>
          <w:color w:val="auto"/>
        </w:rPr>
      </w:pPr>
    </w:p>
    <w:p>
      <w:pPr>
        <w:ind w:left="820" w:right="240" w:hanging="170"/>
        <w:spacing w:after="0" w:line="255"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FDA’s or the applicable foreign regulatory authority’s requirement for additional preclinical studies or clinical trials which would increase our costs and prolong our development timelines;</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820" w:right="200" w:hanging="170"/>
        <w:spacing w:after="0" w:line="255"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or other relevant foreign regulatory authorities may disagree with our interpretation of data or significance of results from the preclinical studies and clinical trials of any product candidate, or may require that we conduct additional studies;</w:t>
      </w:r>
    </w:p>
    <w:p>
      <w:pPr>
        <w:spacing w:after="0" w:line="122" w:lineRule="exact"/>
        <w:rPr>
          <w:rFonts w:ascii="Arial" w:cs="Arial" w:eastAsia="Arial" w:hAnsi="Arial"/>
          <w:sz w:val="18"/>
          <w:szCs w:val="18"/>
          <w:color w:val="auto"/>
        </w:rPr>
      </w:pPr>
    </w:p>
    <w:p>
      <w:pPr>
        <w:ind w:left="800" w:hanging="150"/>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or other relevant foreign regulatory authorities may not accept data generated from our clinical trial sites;</w:t>
      </w:r>
    </w:p>
    <w:p>
      <w:pPr>
        <w:spacing w:after="0" w:line="154" w:lineRule="exact"/>
        <w:rPr>
          <w:rFonts w:ascii="Arial" w:cs="Arial" w:eastAsia="Arial" w:hAnsi="Arial"/>
          <w:sz w:val="18"/>
          <w:szCs w:val="18"/>
          <w:color w:val="auto"/>
        </w:rPr>
      </w:pPr>
    </w:p>
    <w:p>
      <w:pPr>
        <w:ind w:left="820" w:right="80" w:hanging="170"/>
        <w:spacing w:after="0" w:line="255"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CROs that we retain to conduct clinical trials may take actions outside of our control, or otherwise commit errors or breaches of protocols, that adversely impact our clinical trials and ability to obtain market approvals;</w:t>
      </w:r>
    </w:p>
    <w:p>
      <w:pPr>
        <w:spacing w:after="0" w:line="135" w:lineRule="exact"/>
        <w:rPr>
          <w:rFonts w:ascii="Arial" w:cs="Arial" w:eastAsia="Arial" w:hAnsi="Arial"/>
          <w:sz w:val="18"/>
          <w:szCs w:val="18"/>
          <w:color w:val="auto"/>
        </w:rPr>
      </w:pPr>
    </w:p>
    <w:p>
      <w:pPr>
        <w:ind w:left="820" w:right="60" w:hanging="170"/>
        <w:spacing w:after="0" w:line="250"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our NDA or other foreign application is reviewed by an advisory committee, the FDA or other relevant foreign regulatory authority, as the case may be, may have difficulties scheduling an advisory committee meeting in a timely manner or the advisory committee may recommend against approval of our application or may recommend that the FDA or other relevant foreign regulatory authority, as the case may be, require, as a condition of approval, additional preclinical studies or clinical trials, limitations on approved labeling, or distribution and use restrictions;</w:t>
      </w:r>
    </w:p>
    <w:p>
      <w:pPr>
        <w:spacing w:after="0" w:line="127" w:lineRule="exact"/>
        <w:rPr>
          <w:rFonts w:ascii="Arial" w:cs="Arial" w:eastAsia="Arial" w:hAnsi="Arial"/>
          <w:sz w:val="18"/>
          <w:szCs w:val="18"/>
          <w:color w:val="auto"/>
        </w:rPr>
      </w:pPr>
    </w:p>
    <w:p>
      <w:pPr>
        <w:ind w:left="820" w:right="500" w:hanging="170"/>
        <w:spacing w:after="0" w:line="255"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or other relevant foreign regulatory authorities may require development of a Risk Evaluation and Mitigation Strategy (REMS), or its equivalent, as a condition of approval;</w:t>
      </w:r>
    </w:p>
    <w:p>
      <w:pPr>
        <w:spacing w:after="0" w:line="135" w:lineRule="exact"/>
        <w:rPr>
          <w:rFonts w:ascii="Arial" w:cs="Arial" w:eastAsia="Arial" w:hAnsi="Arial"/>
          <w:sz w:val="18"/>
          <w:szCs w:val="18"/>
          <w:color w:val="auto"/>
        </w:rPr>
      </w:pPr>
    </w:p>
    <w:p>
      <w:pPr>
        <w:ind w:left="820" w:right="440" w:hanging="170"/>
        <w:spacing w:after="0" w:line="255"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or other relevant foreign regulatory authorities may require additional post-marketing studies and/or a patient registry, which would be costly;</w:t>
      </w:r>
    </w:p>
    <w:p>
      <w:pPr>
        <w:spacing w:after="0" w:line="135" w:lineRule="exact"/>
        <w:rPr>
          <w:rFonts w:ascii="Arial" w:cs="Arial" w:eastAsia="Arial" w:hAnsi="Arial"/>
          <w:sz w:val="18"/>
          <w:szCs w:val="18"/>
          <w:color w:val="auto"/>
        </w:rPr>
      </w:pPr>
    </w:p>
    <w:p>
      <w:pPr>
        <w:ind w:left="820" w:right="460" w:hanging="170"/>
        <w:spacing w:after="0" w:line="255"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or other relevant foreign regulatory authorities may find the chemistry, manufacturing, and controls data insufficient to support the quality of our product candidates;</w:t>
      </w:r>
    </w:p>
    <w:p>
      <w:pPr>
        <w:spacing w:after="0" w:line="122" w:lineRule="exact"/>
        <w:rPr>
          <w:rFonts w:ascii="Arial" w:cs="Arial" w:eastAsia="Arial" w:hAnsi="Arial"/>
          <w:sz w:val="18"/>
          <w:szCs w:val="18"/>
          <w:color w:val="auto"/>
        </w:rPr>
      </w:pPr>
    </w:p>
    <w:p>
      <w:pPr>
        <w:ind w:left="820" w:right="140" w:hanging="170"/>
        <w:spacing w:after="0" w:line="255"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or other relevant foreign regulatory authorities may identify deficiencies in the manufacturing processes or facilities of our third-party manufacturers;</w:t>
      </w:r>
    </w:p>
    <w:p>
      <w:pPr>
        <w:spacing w:after="0" w:line="135" w:lineRule="exact"/>
        <w:rPr>
          <w:rFonts w:ascii="Arial" w:cs="Arial" w:eastAsia="Arial" w:hAnsi="Arial"/>
          <w:sz w:val="18"/>
          <w:szCs w:val="18"/>
          <w:color w:val="auto"/>
        </w:rPr>
      </w:pPr>
    </w:p>
    <w:p>
      <w:pPr>
        <w:ind w:left="800" w:hanging="150"/>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or other relevant foreign regulatory authorities may change their approval policies or adopt new regulations;</w:t>
      </w:r>
    </w:p>
    <w:p>
      <w:pPr>
        <w:spacing w:after="0" w:line="154" w:lineRule="exact"/>
        <w:rPr>
          <w:rFonts w:ascii="Arial" w:cs="Arial" w:eastAsia="Arial" w:hAnsi="Arial"/>
          <w:sz w:val="18"/>
          <w:szCs w:val="18"/>
          <w:color w:val="auto"/>
        </w:rPr>
      </w:pPr>
    </w:p>
    <w:p>
      <w:pPr>
        <w:ind w:left="800" w:hanging="150"/>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FDA’s or the applicable foreign regulatory authority’s non-approval of the formulation, dosing, labeling, or specifications;</w:t>
      </w:r>
    </w:p>
    <w:p>
      <w:pPr>
        <w:spacing w:after="0" w:line="141" w:lineRule="exact"/>
        <w:rPr>
          <w:rFonts w:ascii="Arial" w:cs="Arial" w:eastAsia="Arial" w:hAnsi="Arial"/>
          <w:sz w:val="18"/>
          <w:szCs w:val="18"/>
          <w:color w:val="auto"/>
        </w:rPr>
      </w:pPr>
    </w:p>
    <w:p>
      <w:pPr>
        <w:ind w:left="820" w:right="340" w:hanging="170"/>
        <w:spacing w:after="0" w:line="252"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FDA’s or the applicable foreign regulatory authority’s failure to approve the manufacturing processes of third-party manufacturers upon which we rely or the failure of the facilities of our third-party manufacturers to maintain a compliance status acceptable to the FDA or the applicable foreign regulatory authority; or</w:t>
      </w:r>
    </w:p>
    <w:p>
      <w:pPr>
        <w:spacing w:after="0" w:line="137" w:lineRule="exact"/>
        <w:rPr>
          <w:rFonts w:ascii="Arial" w:cs="Arial" w:eastAsia="Arial" w:hAnsi="Arial"/>
          <w:sz w:val="18"/>
          <w:szCs w:val="18"/>
          <w:color w:val="auto"/>
        </w:rPr>
      </w:pPr>
    </w:p>
    <w:p>
      <w:pPr>
        <w:ind w:left="820" w:right="60" w:hanging="170"/>
        <w:spacing w:after="0" w:line="255"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for approval policies or regulations of the FDA or the applicable foreign regulatory authorities to significantly change in a manner rendering our clinical data insufficient for approval.</w:t>
      </w:r>
    </w:p>
    <w:p>
      <w:pPr>
        <w:spacing w:after="0" w:line="136" w:lineRule="exact"/>
        <w:rPr>
          <w:sz w:val="20"/>
          <w:szCs w:val="20"/>
          <w:color w:val="auto"/>
        </w:rPr>
      </w:pPr>
    </w:p>
    <w:p>
      <w:pPr>
        <w:ind w:right="120" w:firstLine="643"/>
        <w:spacing w:after="0" w:line="255" w:lineRule="auto"/>
        <w:rPr>
          <w:sz w:val="20"/>
          <w:szCs w:val="20"/>
          <w:color w:val="auto"/>
        </w:rPr>
      </w:pPr>
      <w:r>
        <w:rPr>
          <w:rFonts w:ascii="Arial" w:cs="Arial" w:eastAsia="Arial" w:hAnsi="Arial"/>
          <w:sz w:val="18"/>
          <w:szCs w:val="18"/>
          <w:color w:val="auto"/>
        </w:rPr>
        <w:t>Of the large number of biopharmaceutical products in development, only a small percentage successfully complete the FDA or other regulatory approval processes and are commercialized.</w:t>
      </w:r>
    </w:p>
    <w:p>
      <w:pPr>
        <w:spacing w:after="0" w:line="123" w:lineRule="exact"/>
        <w:rPr>
          <w:sz w:val="20"/>
          <w:szCs w:val="20"/>
          <w:color w:val="auto"/>
        </w:rPr>
      </w:pPr>
    </w:p>
    <w:p>
      <w:pPr>
        <w:ind w:firstLine="643"/>
        <w:spacing w:after="0" w:line="249" w:lineRule="auto"/>
        <w:rPr>
          <w:sz w:val="20"/>
          <w:szCs w:val="20"/>
          <w:color w:val="auto"/>
        </w:rPr>
      </w:pPr>
      <w:r>
        <w:rPr>
          <w:rFonts w:ascii="Arial" w:cs="Arial" w:eastAsia="Arial" w:hAnsi="Arial"/>
          <w:sz w:val="18"/>
          <w:szCs w:val="18"/>
          <w:color w:val="auto"/>
        </w:rPr>
        <w:t>Even if we eventually complete clinical testing and receive approval from the FDA or applicable foreign agencies for any of our product candidates, the FDA or the applicable foreign regulatory authority may grant approval contingent on the performance of costly additional clinical trials which may be required after approval. The FDA or the applicable foreign regulatory authority also may approve our lead product candidates for a more limited indication or a narrower patient population than we originally requested, and the FDA, or applicable foreign regulatory authority, may not approve our product candidates with the labeling that we believe is necessary or desirable, or may approve them with labeling that includes warnings or precautions or limitations of use that may not be desirable, for the successful commercialization of such product candidates. Any delay in obtaining, or inability to obtain, applicable regulatory approval would delay or prevent commercialization of our product candidates and would materially adversely impact our business and prospects.</w:t>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Interim, topline,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16" w:lineRule="exact"/>
        <w:rPr>
          <w:sz w:val="20"/>
          <w:szCs w:val="20"/>
          <w:color w:val="auto"/>
        </w:rPr>
      </w:pPr>
    </w:p>
    <w:p>
      <w:pPr>
        <w:ind w:right="20" w:firstLine="643"/>
        <w:spacing w:after="0" w:line="249" w:lineRule="auto"/>
        <w:rPr>
          <w:sz w:val="20"/>
          <w:szCs w:val="20"/>
          <w:color w:val="auto"/>
        </w:rPr>
      </w:pPr>
      <w:r>
        <w:rPr>
          <w:rFonts w:ascii="Arial" w:cs="Arial" w:eastAsia="Arial" w:hAnsi="Arial"/>
          <w:sz w:val="18"/>
          <w:szCs w:val="18"/>
          <w:color w:val="auto"/>
        </w:rPr>
        <w:t>From time to time, we may publicly disclose interim, topline, or preliminary data from our clinical trials, which are based on a preliminary analysis of then-available data, and the results and related findings and conclusions are subject to change following a full analyses of all data related to the particular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We may also disclose interim data from our clinical trials. Interim data from clinical trials that we may complete are subject to the risk that one or more of the clinical outcomes may materially change as patient enrollment continues and more patient data become available. Adverse differences between interim, topline, or preliminary data and final data could significantly harm our business prospects.</w:t>
      </w:r>
    </w:p>
    <w:p>
      <w:pPr>
        <w:spacing w:after="0" w:line="142" w:lineRule="exact"/>
        <w:rPr>
          <w:sz w:val="20"/>
          <w:szCs w:val="20"/>
          <w:color w:val="auto"/>
        </w:rPr>
      </w:pPr>
    </w:p>
    <w:p>
      <w:pPr>
        <w:ind w:right="80" w:firstLine="643"/>
        <w:spacing w:after="0" w:line="249"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business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our business, operating results, prospects or financial condition may be harmed.</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Certain of the endpoints in our planned clinical trials rely on a subjective assessment of the effect of the product candidate in the subject by either the physician or patient, and may prove difficult to meet in patients with more severe disease, which exposes us to a variety of risks for the successful completion of our clinical trials.</w:t>
      </w:r>
    </w:p>
    <w:p>
      <w:pPr>
        <w:spacing w:after="0" w:line="116" w:lineRule="exact"/>
        <w:rPr>
          <w:sz w:val="20"/>
          <w:szCs w:val="20"/>
          <w:color w:val="auto"/>
        </w:rPr>
      </w:pPr>
    </w:p>
    <w:p>
      <w:pPr>
        <w:ind w:firstLine="643"/>
        <w:spacing w:after="0" w:line="249" w:lineRule="auto"/>
        <w:rPr>
          <w:sz w:val="20"/>
          <w:szCs w:val="20"/>
          <w:color w:val="auto"/>
        </w:rPr>
      </w:pPr>
      <w:r>
        <w:rPr>
          <w:rFonts w:ascii="Arial" w:cs="Arial" w:eastAsia="Arial" w:hAnsi="Arial"/>
          <w:sz w:val="18"/>
          <w:szCs w:val="18"/>
          <w:color w:val="auto"/>
        </w:rPr>
        <w:t>Certain of our primary and secondary endpoints in our clinical trials, including our recently completed Phase 3 clinical trials of roflumilast cream in plaque psoriasis, and our previous and planned clinical trials in atopic dermatitis, vitiligo, chronic hand eczema, scalp psoriasis and seborrheic dermatitis involve subjective assessments by physician and patients, which can increase the uncertainty of clinical trial outcomes. For example, one of the secondary endpoints requires patients to report pruritus (itching) as measured by the WI-NRS and complete or deliver patient or caregiver reported outcomes over the course of our clinical trials. This and other assessments are inherently subjective, which can increase the variability of clinical results across clinical trials and create a significant degree of uncertainty in determining overall clinical benefit. Such assessments can be influenced by factors outside of our control, and can vary widely from day-to-day for a particular patient, and from patient-to-patient and site-to-site within a clinical trial. In addition, frequent reporting requirements may lead to rating fatigue and a loss of accuracy and reliability of the data resulting from our clinical trials. Further, the FDA or comparable foreign regulatory authority may not accept such patient or caregiver reported outcomes as sufficiently validated. Accordingly, these subjective assessments can complicate clinical trial design, adversely impact the ability of a study to show a statistically significant improvement, and generally adversely impact a clinical development program by introducing additional uncertainties.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firstLine="643"/>
        <w:spacing w:after="0" w:line="255" w:lineRule="auto"/>
        <w:rPr>
          <w:sz w:val="20"/>
          <w:szCs w:val="20"/>
          <w:color w:val="auto"/>
        </w:rPr>
      </w:pPr>
      <w:r>
        <w:rPr>
          <w:rFonts w:ascii="Arial" w:cs="Arial" w:eastAsia="Arial" w:hAnsi="Arial"/>
          <w:sz w:val="18"/>
          <w:szCs w:val="18"/>
          <w:color w:val="auto"/>
        </w:rPr>
        <w:t>The use of patient reported outcome instruments in our Phase 3 clinical trials of roflumilast cream and the inclusion of such data in the product labeling will depend on, but is not limited to, the FDA’s review of the following:</w:t>
      </w:r>
    </w:p>
    <w:p>
      <w:pPr>
        <w:spacing w:after="0" w:line="123" w:lineRule="exact"/>
        <w:rPr>
          <w:sz w:val="20"/>
          <w:szCs w:val="20"/>
          <w:color w:val="auto"/>
        </w:rPr>
      </w:pPr>
    </w:p>
    <w:p>
      <w:pPr>
        <w:ind w:left="800" w:hanging="150"/>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relevance and importance of the concept(s) of interest to the target patient population;</w:t>
      </w:r>
    </w:p>
    <w:p>
      <w:pPr>
        <w:spacing w:after="0" w:line="154" w:lineRule="exact"/>
        <w:rPr>
          <w:rFonts w:ascii="Arial" w:cs="Arial" w:eastAsia="Arial" w:hAnsi="Arial"/>
          <w:sz w:val="18"/>
          <w:szCs w:val="18"/>
          <w:color w:val="auto"/>
        </w:rPr>
      </w:pPr>
    </w:p>
    <w:p>
      <w:pPr>
        <w:ind w:left="800" w:hanging="150"/>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strengths and limitations of the instrument within the given context of use;</w:t>
      </w:r>
    </w:p>
    <w:p>
      <w:pPr>
        <w:spacing w:after="0" w:line="154" w:lineRule="exact"/>
        <w:rPr>
          <w:rFonts w:ascii="Arial" w:cs="Arial" w:eastAsia="Arial" w:hAnsi="Arial"/>
          <w:sz w:val="18"/>
          <w:szCs w:val="18"/>
          <w:color w:val="auto"/>
        </w:rPr>
      </w:pPr>
    </w:p>
    <w:p>
      <w:pPr>
        <w:ind w:left="800" w:hanging="150"/>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design and conduct of the trials;</w:t>
      </w:r>
    </w:p>
    <w:p>
      <w:pPr>
        <w:spacing w:after="0" w:line="141" w:lineRule="exact"/>
        <w:rPr>
          <w:rFonts w:ascii="Arial" w:cs="Arial" w:eastAsia="Arial" w:hAnsi="Arial"/>
          <w:sz w:val="18"/>
          <w:szCs w:val="18"/>
          <w:color w:val="auto"/>
        </w:rPr>
      </w:pPr>
    </w:p>
    <w:p>
      <w:pPr>
        <w:ind w:left="800" w:hanging="150"/>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adequacy of the submitted data, for example, rigorous data collection and methods to handle missing data; and</w:t>
      </w:r>
    </w:p>
    <w:p>
      <w:pPr>
        <w:spacing w:after="0" w:line="154" w:lineRule="exact"/>
        <w:rPr>
          <w:rFonts w:ascii="Arial" w:cs="Arial" w:eastAsia="Arial" w:hAnsi="Arial"/>
          <w:sz w:val="18"/>
          <w:szCs w:val="18"/>
          <w:color w:val="auto"/>
        </w:rPr>
      </w:pPr>
    </w:p>
    <w:p>
      <w:pPr>
        <w:ind w:left="800" w:hanging="150"/>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magnitude of the statistically significant treatment effect should be meaningful to patients.</w:t>
      </w:r>
    </w:p>
    <w:p>
      <w:pPr>
        <w:spacing w:after="0" w:line="155" w:lineRule="exact"/>
        <w:rPr>
          <w:sz w:val="20"/>
          <w:szCs w:val="20"/>
          <w:color w:val="auto"/>
        </w:rPr>
      </w:pPr>
    </w:p>
    <w:p>
      <w:pPr>
        <w:ind w:right="20" w:firstLine="643"/>
        <w:spacing w:after="0" w:line="249" w:lineRule="auto"/>
        <w:rPr>
          <w:sz w:val="20"/>
          <w:szCs w:val="20"/>
          <w:color w:val="auto"/>
        </w:rPr>
      </w:pPr>
      <w:r>
        <w:rPr>
          <w:rFonts w:ascii="Arial" w:cs="Arial" w:eastAsia="Arial" w:hAnsi="Arial"/>
          <w:sz w:val="18"/>
          <w:szCs w:val="18"/>
          <w:color w:val="auto"/>
        </w:rPr>
        <w:t>Further, different results may be achieved depending upon the characteristics of the population enrolled in our studies and which analysis population is used to analyze results. For example, the primary endpoint in our Phase 3 clinical trials of roflumilast cream in plaque psoriasis and atopic dermatitis as well as our Phase 3 clinical trials of roflumilast foam in seborrheic dermatitis and scalp psoriasis is based on the percentage of patients achieving a score of “clear” or “almost clear” plus at least a 2-grade improvement from baseline on the 5 point IGA scale, referred to as IGA Success. Success in our clinical trials with these or similar endpoints, requires the enrollment of patients with conditions that are severe enough to facilitate a 2-grade improvement in the IGA scale, but not so severe that they cannot achieve a “clear” or “almost clear” in IGA score in light of the severity of their disease. It is therefore possible that we enroll patients with conditions so severe that they do not or are unable to realize an IGA of 0 (clear) or 1 (almost clear) during the period covered by the clinical trial. As a result, there is no guarantee that our clinical trials will produce the same statistically significant results in IGA Success, which will serve as the primary endpoint, as our prior clinical trials, and there can be no guarantee that the characteristics of the population enrolled in our clinical trials, including our Phase 3 clinical trials, does not adversely impact the results reported for such trial, any of which could have an adverse effect on our ability to secure regulatory approval for our product candidates.</w:t>
      </w:r>
    </w:p>
    <w:p>
      <w:pPr>
        <w:spacing w:after="0" w:line="106" w:lineRule="exact"/>
        <w:rPr>
          <w:sz w:val="20"/>
          <w:szCs w:val="20"/>
          <w:color w:val="auto"/>
        </w:rPr>
      </w:pPr>
    </w:p>
    <w:p>
      <w:pPr>
        <w:ind w:right="580"/>
        <w:spacing w:after="0" w:line="281" w:lineRule="auto"/>
        <w:rPr>
          <w:sz w:val="20"/>
          <w:szCs w:val="20"/>
          <w:color w:val="auto"/>
        </w:rPr>
      </w:pPr>
      <w:r>
        <w:rPr>
          <w:rFonts w:ascii="Arial" w:cs="Arial" w:eastAsia="Arial" w:hAnsi="Arial"/>
          <w:sz w:val="18"/>
          <w:szCs w:val="18"/>
          <w:b w:val="1"/>
          <w:bCs w:val="1"/>
          <w:i w:val="1"/>
          <w:iCs w:val="1"/>
          <w:color w:val="auto"/>
        </w:rPr>
        <w:t>Enrollment and retention of subjects in clinical trials is expensive and time-consuming and may result in additional costs and delays in our product development activities, or in the failure of such activities.</w:t>
      </w:r>
    </w:p>
    <w:p>
      <w:pPr>
        <w:spacing w:after="0" w:line="113" w:lineRule="exact"/>
        <w:rPr>
          <w:sz w:val="20"/>
          <w:szCs w:val="20"/>
          <w:color w:val="auto"/>
        </w:rPr>
      </w:pPr>
    </w:p>
    <w:p>
      <w:pPr>
        <w:ind w:right="40" w:firstLine="643"/>
        <w:spacing w:after="0" w:line="250" w:lineRule="auto"/>
        <w:rPr>
          <w:sz w:val="20"/>
          <w:szCs w:val="20"/>
          <w:color w:val="auto"/>
        </w:rPr>
      </w:pPr>
      <w:r>
        <w:rPr>
          <w:rFonts w:ascii="Arial" w:cs="Arial" w:eastAsia="Arial" w:hAnsi="Arial"/>
          <w:sz w:val="18"/>
          <w:szCs w:val="18"/>
          <w:color w:val="auto"/>
        </w:rPr>
        <w:t>We may not be able to initiate or continue clinical trials for roflumilast cream or our other product candidates if we are unable to locate and enroll a sufficient number of eligible patients to participate in these trials as required by the FDA or similar regulatory authorities outside the United States. In addition, some of our competitors are currently conducting clinical trials for product candidates that treat the same indications as roflumilast cream, roflumilast foam, ARQ-252, and ARQ-255, and patients who are otherwise eligible for our clinical trials may instead enroll in clinical trials of our competitors’ product candidates.</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Patient enrollment is affected by other factors including:</w:t>
      </w:r>
    </w:p>
    <w:p>
      <w:pPr>
        <w:spacing w:after="0" w:line="141" w:lineRule="exact"/>
        <w:rPr>
          <w:sz w:val="20"/>
          <w:szCs w:val="20"/>
          <w:color w:val="auto"/>
        </w:rPr>
      </w:pPr>
    </w:p>
    <w:p>
      <w:pPr>
        <w:ind w:left="800" w:hanging="150"/>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54" w:lineRule="exact"/>
        <w:rPr>
          <w:rFonts w:ascii="Arial" w:cs="Arial" w:eastAsia="Arial" w:hAnsi="Arial"/>
          <w:sz w:val="18"/>
          <w:szCs w:val="18"/>
          <w:color w:val="auto"/>
        </w:rPr>
      </w:pPr>
    </w:p>
    <w:p>
      <w:pPr>
        <w:ind w:left="800" w:hanging="150"/>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selection of the patient population required for analysis of the trial’s primary endpoints;</w:t>
      </w:r>
    </w:p>
    <w:p>
      <w:pPr>
        <w:spacing w:after="0" w:line="154" w:lineRule="exact"/>
        <w:rPr>
          <w:rFonts w:ascii="Arial" w:cs="Arial" w:eastAsia="Arial" w:hAnsi="Arial"/>
          <w:sz w:val="18"/>
          <w:szCs w:val="18"/>
          <w:color w:val="auto"/>
        </w:rPr>
      </w:pPr>
    </w:p>
    <w:p>
      <w:pPr>
        <w:ind w:left="800" w:hanging="150"/>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eligibility criteria for the study in question;</w:t>
      </w:r>
    </w:p>
    <w:p>
      <w:pPr>
        <w:spacing w:after="0" w:line="141" w:lineRule="exact"/>
        <w:rPr>
          <w:rFonts w:ascii="Arial" w:cs="Arial" w:eastAsia="Arial" w:hAnsi="Arial"/>
          <w:sz w:val="18"/>
          <w:szCs w:val="18"/>
          <w:color w:val="auto"/>
        </w:rPr>
      </w:pPr>
    </w:p>
    <w:p>
      <w:pPr>
        <w:ind w:left="800" w:hanging="150"/>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frequency and extent of clinical trial site visits and study assessments;</w:t>
      </w:r>
    </w:p>
    <w:p>
      <w:pPr>
        <w:spacing w:after="0" w:line="154" w:lineRule="exact"/>
        <w:rPr>
          <w:rFonts w:ascii="Arial" w:cs="Arial" w:eastAsia="Arial" w:hAnsi="Arial"/>
          <w:sz w:val="18"/>
          <w:szCs w:val="18"/>
          <w:color w:val="auto"/>
        </w:rPr>
      </w:pPr>
    </w:p>
    <w:p>
      <w:pPr>
        <w:ind w:left="800" w:hanging="150"/>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154" w:lineRule="exact"/>
        <w:rPr>
          <w:rFonts w:ascii="Arial" w:cs="Arial" w:eastAsia="Arial" w:hAnsi="Arial"/>
          <w:sz w:val="18"/>
          <w:szCs w:val="18"/>
          <w:color w:val="auto"/>
        </w:rPr>
      </w:pPr>
    </w:p>
    <w:p>
      <w:pPr>
        <w:ind w:left="800" w:hanging="150"/>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41" w:lineRule="exact"/>
        <w:rPr>
          <w:rFonts w:ascii="Arial" w:cs="Arial" w:eastAsia="Arial" w:hAnsi="Arial"/>
          <w:sz w:val="18"/>
          <w:szCs w:val="18"/>
          <w:color w:val="auto"/>
        </w:rPr>
      </w:pPr>
    </w:p>
    <w:p>
      <w:pPr>
        <w:ind w:left="800" w:hanging="150"/>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54" w:lineRule="exact"/>
        <w:rPr>
          <w:rFonts w:ascii="Arial" w:cs="Arial" w:eastAsia="Arial" w:hAnsi="Arial"/>
          <w:sz w:val="18"/>
          <w:szCs w:val="18"/>
          <w:color w:val="auto"/>
        </w:rPr>
      </w:pPr>
    </w:p>
    <w:p>
      <w:pPr>
        <w:ind w:left="800" w:hanging="150"/>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41" w:lineRule="exact"/>
        <w:rPr>
          <w:rFonts w:ascii="Arial" w:cs="Arial" w:eastAsia="Arial" w:hAnsi="Arial"/>
          <w:sz w:val="18"/>
          <w:szCs w:val="18"/>
          <w:color w:val="auto"/>
        </w:rPr>
      </w:pPr>
    </w:p>
    <w:p>
      <w:pPr>
        <w:ind w:left="800" w:hanging="150"/>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100" w:firstLine="643"/>
        <w:spacing w:after="0" w:line="249" w:lineRule="auto"/>
        <w:rPr>
          <w:sz w:val="20"/>
          <w:szCs w:val="20"/>
          <w:color w:val="auto"/>
        </w:rPr>
      </w:pPr>
      <w:r>
        <w:rPr>
          <w:rFonts w:ascii="Arial" w:cs="Arial" w:eastAsia="Arial" w:hAnsi="Arial"/>
          <w:sz w:val="18"/>
          <w:szCs w:val="18"/>
          <w:color w:val="auto"/>
        </w:rPr>
        <w:t>Furthermore, any negative results that we may report in preclinical studies or clinical trials of our product candidates may make it difficult or impossible to recruit and retain subjects in other clinical trials of that same or any similar product candidate. Our inability to enroll a sufficient number of patients for our clinical trials would result in significant delays, could require us to abandon one or more clinical trials altogether, and could delay or prevent our receipt of necessary regulatory approvals. Enrollment delays in our clinical trials may result in increased development costs for our product candidates, which would cause the value of our company to decline and impede our ability to obtain additional financing.</w:t>
      </w:r>
    </w:p>
    <w:p>
      <w:pPr>
        <w:spacing w:after="0" w:line="109"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Serious adverse or unacceptable side effects may be identified during the development of our product candidates, which could prevent or delay regulatory approval and commercialization, increase our costs, or necessitate the abandonment or limitation of the development of some of our product candidates.</w:t>
      </w:r>
    </w:p>
    <w:p>
      <w:pPr>
        <w:spacing w:after="0" w:line="129" w:lineRule="exact"/>
        <w:rPr>
          <w:sz w:val="20"/>
          <w:szCs w:val="20"/>
          <w:color w:val="auto"/>
        </w:rPr>
      </w:pPr>
    </w:p>
    <w:p>
      <w:pPr>
        <w:ind w:right="60" w:firstLine="643"/>
        <w:spacing w:after="0" w:line="250" w:lineRule="auto"/>
        <w:rPr>
          <w:sz w:val="20"/>
          <w:szCs w:val="20"/>
          <w:color w:val="auto"/>
        </w:rPr>
      </w:pPr>
      <w:r>
        <w:rPr>
          <w:rFonts w:ascii="Arial" w:cs="Arial" w:eastAsia="Arial" w:hAnsi="Arial"/>
          <w:sz w:val="18"/>
          <w:szCs w:val="18"/>
          <w:color w:val="auto"/>
        </w:rPr>
        <w:t>As we continue our development of our product candidates and initiate additional preclinical studies or clinical trials of these or future product candidates, if any, serious adverse events, unacceptable levels of toxicity, undesirable side effects or unexpected characteristics may emerge, causing us to abandon these product candidates or limit their development to more narrow uses, lower potency levels or subpopulations in which the serious adverse events, unacceptable levels of toxicity, undesirable side effects or other characteristics are less prevalent, less severe or more acceptable from a risk/benefit perspective.</w:t>
      </w:r>
    </w:p>
    <w:p>
      <w:pPr>
        <w:spacing w:after="0" w:line="140" w:lineRule="exact"/>
        <w:rPr>
          <w:sz w:val="20"/>
          <w:szCs w:val="20"/>
          <w:color w:val="auto"/>
        </w:rPr>
      </w:pPr>
    </w:p>
    <w:p>
      <w:pPr>
        <w:ind w:right="20" w:firstLine="643"/>
        <w:spacing w:after="0" w:line="249" w:lineRule="auto"/>
        <w:rPr>
          <w:sz w:val="20"/>
          <w:szCs w:val="20"/>
          <w:color w:val="auto"/>
        </w:rPr>
      </w:pPr>
      <w:r>
        <w:rPr>
          <w:rFonts w:ascii="Arial" w:cs="Arial" w:eastAsia="Arial" w:hAnsi="Arial"/>
          <w:sz w:val="18"/>
          <w:szCs w:val="18"/>
          <w:color w:val="auto"/>
        </w:rPr>
        <w:t>If our product candidates are associated with adverse effects in clinical trials or have characteristics that are unexpected, we may need to abandon their development, institute burdensome monitoring programs, or limit development to more narrow uses, or lower or less frequent dosing in which the side effects or other characteristics are less prevalent, less severe, or more acceptable from a risk-benefit perspective. The FDA or an IRB, or similar regulatory authorities outside the United States, may also require that we suspend, discontinue, or limit our clinical trials based on safety information. Such findings could further result in regulatory authorities failing to provide marketing authorization for our product candidates. Many product candidates that initially showed promise in early stage testing have later been found to cause side effects that prevented further development of the product candidate.</w:t>
      </w:r>
    </w:p>
    <w:p>
      <w:pPr>
        <w:spacing w:after="0" w:line="130" w:lineRule="exact"/>
        <w:rPr>
          <w:sz w:val="20"/>
          <w:szCs w:val="20"/>
          <w:color w:val="auto"/>
        </w:rPr>
      </w:pPr>
    </w:p>
    <w:p>
      <w:pPr>
        <w:ind w:right="140" w:firstLine="643"/>
        <w:spacing w:after="0" w:line="255"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identify undesirable side effects caused by such products, a number of potentially significant negative consequences could result, including:</w:t>
      </w:r>
    </w:p>
    <w:p>
      <w:pPr>
        <w:spacing w:after="0" w:line="136" w:lineRule="exact"/>
        <w:rPr>
          <w:sz w:val="20"/>
          <w:szCs w:val="20"/>
          <w:color w:val="auto"/>
        </w:rPr>
      </w:pPr>
    </w:p>
    <w:p>
      <w:pPr>
        <w:ind w:left="800" w:hanging="150"/>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154" w:lineRule="exact"/>
        <w:rPr>
          <w:rFonts w:ascii="Arial" w:cs="Arial" w:eastAsia="Arial" w:hAnsi="Arial"/>
          <w:sz w:val="18"/>
          <w:szCs w:val="18"/>
          <w:color w:val="auto"/>
        </w:rPr>
      </w:pPr>
    </w:p>
    <w:p>
      <w:pPr>
        <w:ind w:left="800" w:hanging="150"/>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labels;</w:t>
      </w:r>
    </w:p>
    <w:p>
      <w:pPr>
        <w:spacing w:after="0" w:line="141" w:lineRule="exact"/>
        <w:rPr>
          <w:rFonts w:ascii="Arial" w:cs="Arial" w:eastAsia="Arial" w:hAnsi="Arial"/>
          <w:sz w:val="18"/>
          <w:szCs w:val="18"/>
          <w:color w:val="auto"/>
        </w:rPr>
      </w:pPr>
    </w:p>
    <w:p>
      <w:pPr>
        <w:ind w:left="800" w:hanging="150"/>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54" w:lineRule="exact"/>
        <w:rPr>
          <w:rFonts w:ascii="Arial" w:cs="Arial" w:eastAsia="Arial" w:hAnsi="Arial"/>
          <w:sz w:val="18"/>
          <w:szCs w:val="18"/>
          <w:color w:val="auto"/>
        </w:rPr>
      </w:pPr>
    </w:p>
    <w:p>
      <w:pPr>
        <w:ind w:left="800" w:hanging="150"/>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required to implement a REMS;</w:t>
      </w:r>
    </w:p>
    <w:p>
      <w:pPr>
        <w:spacing w:after="0" w:line="154" w:lineRule="exact"/>
        <w:rPr>
          <w:rFonts w:ascii="Arial" w:cs="Arial" w:eastAsia="Arial" w:hAnsi="Arial"/>
          <w:sz w:val="18"/>
          <w:szCs w:val="18"/>
          <w:color w:val="auto"/>
        </w:rPr>
      </w:pPr>
    </w:p>
    <w:p>
      <w:pPr>
        <w:ind w:left="800" w:hanging="150"/>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required to conduct Phase 4 clinical trials as post-marketing requirements;</w:t>
      </w:r>
    </w:p>
    <w:p>
      <w:pPr>
        <w:spacing w:after="0" w:line="141" w:lineRule="exact"/>
        <w:rPr>
          <w:rFonts w:ascii="Arial" w:cs="Arial" w:eastAsia="Arial" w:hAnsi="Arial"/>
          <w:sz w:val="18"/>
          <w:szCs w:val="18"/>
          <w:color w:val="auto"/>
        </w:rPr>
      </w:pPr>
    </w:p>
    <w:p>
      <w:pPr>
        <w:ind w:left="800" w:hanging="150"/>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54" w:lineRule="exact"/>
        <w:rPr>
          <w:rFonts w:ascii="Arial" w:cs="Arial" w:eastAsia="Arial" w:hAnsi="Arial"/>
          <w:sz w:val="18"/>
          <w:szCs w:val="18"/>
          <w:color w:val="auto"/>
        </w:rPr>
      </w:pPr>
    </w:p>
    <w:p>
      <w:pPr>
        <w:ind w:left="800" w:hanging="150"/>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reputation and physician or patient acceptance of our products may suffer.</w:t>
      </w:r>
    </w:p>
    <w:p>
      <w:pPr>
        <w:spacing w:after="0" w:line="155" w:lineRule="exact"/>
        <w:rPr>
          <w:sz w:val="20"/>
          <w:szCs w:val="20"/>
          <w:color w:val="auto"/>
        </w:rPr>
      </w:pPr>
    </w:p>
    <w:p>
      <w:pPr>
        <w:ind w:right="740" w:firstLine="643"/>
        <w:spacing w:after="0" w:line="255"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01" w:lineRule="exact"/>
        <w:rPr>
          <w:sz w:val="20"/>
          <w:szCs w:val="20"/>
          <w:color w:val="auto"/>
        </w:rPr>
      </w:pPr>
    </w:p>
    <w:p>
      <w:pPr>
        <w:ind w:right="140"/>
        <w:spacing w:after="0" w:line="281" w:lineRule="auto"/>
        <w:rPr>
          <w:sz w:val="20"/>
          <w:szCs w:val="20"/>
          <w:color w:val="auto"/>
        </w:rPr>
      </w:pPr>
      <w:r>
        <w:rPr>
          <w:rFonts w:ascii="Arial" w:cs="Arial" w:eastAsia="Arial" w:hAnsi="Arial"/>
          <w:sz w:val="18"/>
          <w:szCs w:val="18"/>
          <w:b w:val="1"/>
          <w:bCs w:val="1"/>
          <w:i w:val="1"/>
          <w:iCs w:val="1"/>
          <w:color w:val="auto"/>
        </w:rPr>
        <w:t>As a company, we have never obtained marketing approval for any product candidate and we may be unable to successfully do so in a timely manner, if at all, for any of our product candidates.</w:t>
      </w:r>
    </w:p>
    <w:p>
      <w:pPr>
        <w:spacing w:after="0" w:line="113" w:lineRule="exact"/>
        <w:rPr>
          <w:sz w:val="20"/>
          <w:szCs w:val="20"/>
          <w:color w:val="auto"/>
        </w:rPr>
      </w:pPr>
    </w:p>
    <w:p>
      <w:pPr>
        <w:ind w:right="20" w:firstLine="643"/>
        <w:spacing w:after="0" w:line="270" w:lineRule="auto"/>
        <w:rPr>
          <w:sz w:val="20"/>
          <w:szCs w:val="20"/>
          <w:color w:val="auto"/>
        </w:rPr>
      </w:pPr>
      <w:r>
        <w:rPr>
          <w:rFonts w:ascii="Arial" w:cs="Arial" w:eastAsia="Arial" w:hAnsi="Arial"/>
          <w:sz w:val="17"/>
          <w:szCs w:val="17"/>
          <w:color w:val="auto"/>
        </w:rPr>
        <w:t>Conducting Phase 3 clinical trials and preparing, and obtaining marketing approval for, a product candidate is a complicated process. Although members of our management team have participated in pivotal trials and obtained marketing approvals for product candidates in the past while employed at other companies, we as a company have limited experience doing so. As a result, these activities may require more time and cost more than we anticipate, and we may be unable to successfully complete them for any of our product candidates.</w:t>
      </w: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80" w:firstLine="643"/>
        <w:spacing w:after="0" w:line="264" w:lineRule="auto"/>
        <w:rPr>
          <w:sz w:val="20"/>
          <w:szCs w:val="20"/>
          <w:color w:val="auto"/>
        </w:rPr>
      </w:pPr>
      <w:r>
        <w:rPr>
          <w:rFonts w:ascii="Arial" w:cs="Arial" w:eastAsia="Arial" w:hAnsi="Arial"/>
          <w:sz w:val="17"/>
          <w:szCs w:val="17"/>
          <w:color w:val="auto"/>
        </w:rPr>
        <w:t>To date, we have completed two Phase 3 studies and three Phase 2 studies in plaque psoriasis with roflumilast cream, a Phase 2 study in atopic dermatitis with roflumilast cream, and two Phase 2 studies in seborrheic dermatitis and scalp psoriasis with roflumilast foam. We have also recently initiated pivotal Phase 3 clinical trials of roflumilast cream for the treatment of atopic dermatitis and of roflumilast foam in seborrheic dermatitis. Failure to successfully complete, or delays in, our pivotal trials or related regulatory submissions would prevent us from or delay us in obtaining regulatory approval for our product candidates. In addition, it is possible that the FDA may refuse to accept for substantive review any NDAs that we submit for our product candidates or may conclude after review of our applications that they are insufficient to obtain marketing approval of our product candidates. While the FDA encouraged us at our atopic dermatitis End of Phase 2 meeting to generate additional clinical data in adolescents and adults on the two roflumilast cream doses studied in our Phase 2 study, they also did not raise objections to us proceeding into Phase 3. If the FDA does not accept our applications or issue marketing authorizations for our product candidates, it may require that we conduct additional clinical, preclinical, or manufacturing validation studies and submit that data before it will reconsider our applications. Depending on the extent of these or any other FDA-required studies, approval of any NDA for any other applications that we submit may be delayed by several years, or may require us to expend more resources than we have available. It is also possible that additional studies, if performed and completed, may not be considered sufficient by the FDA to approve our NDAs. Additionally, similar risks could apply to receipt of marketing authorizations by comparable regulatory authorities in foreign jurisdictions.</w:t>
      </w:r>
    </w:p>
    <w:p>
      <w:pPr>
        <w:spacing w:after="0" w:line="123" w:lineRule="exact"/>
        <w:rPr>
          <w:sz w:val="20"/>
          <w:szCs w:val="20"/>
          <w:color w:val="auto"/>
        </w:rPr>
      </w:pPr>
    </w:p>
    <w:p>
      <w:pPr>
        <w:ind w:right="160" w:firstLine="643"/>
        <w:spacing w:after="0" w:line="252" w:lineRule="auto"/>
        <w:rPr>
          <w:sz w:val="20"/>
          <w:szCs w:val="20"/>
          <w:color w:val="auto"/>
        </w:rPr>
      </w:pPr>
      <w:r>
        <w:rPr>
          <w:rFonts w:ascii="Arial" w:cs="Arial" w:eastAsia="Arial" w:hAnsi="Arial"/>
          <w:sz w:val="18"/>
          <w:szCs w:val="18"/>
          <w:color w:val="auto"/>
        </w:rPr>
        <w:t>Any delay in obtaining, or an inability to obtain, marketing approvals would prevent us from commercializing our product candidates, generating revenues, and achieving and sustaining profitability. If any of these outcomes occur, we may be forced to abandon our development efforts for our product candidates, which could significantly harm our business.</w:t>
      </w:r>
    </w:p>
    <w:p>
      <w:pPr>
        <w:spacing w:after="0" w:line="116" w:lineRule="exact"/>
        <w:rPr>
          <w:sz w:val="20"/>
          <w:szCs w:val="20"/>
          <w:color w:val="auto"/>
        </w:rPr>
      </w:pPr>
    </w:p>
    <w:p>
      <w:pPr>
        <w:jc w:val="both"/>
        <w:ind w:right="420"/>
        <w:spacing w:after="0" w:line="312" w:lineRule="auto"/>
        <w:rPr>
          <w:sz w:val="20"/>
          <w:szCs w:val="20"/>
          <w:color w:val="auto"/>
        </w:rPr>
      </w:pPr>
      <w:r>
        <w:rPr>
          <w:rFonts w:ascii="Arial" w:cs="Arial" w:eastAsia="Arial" w:hAnsi="Arial"/>
          <w:sz w:val="17"/>
          <w:szCs w:val="17"/>
          <w:b w:val="1"/>
          <w:bCs w:val="1"/>
          <w:i w:val="1"/>
          <w:iCs w:val="1"/>
          <w:color w:val="auto"/>
        </w:rPr>
        <w:t>Even if our lead product candidate or our other product candidates receive marketing approval, they may fail to achieve market acceptance by physicians, patients, third-party payors, or others in the medical community necessary for commercial success.</w:t>
      </w:r>
    </w:p>
    <w:p>
      <w:pPr>
        <w:spacing w:after="0" w:line="90" w:lineRule="exact"/>
        <w:rPr>
          <w:sz w:val="20"/>
          <w:szCs w:val="20"/>
          <w:color w:val="auto"/>
        </w:rPr>
      </w:pPr>
    </w:p>
    <w:p>
      <w:pPr>
        <w:ind w:firstLine="643"/>
        <w:spacing w:after="0" w:line="250" w:lineRule="auto"/>
        <w:rPr>
          <w:sz w:val="20"/>
          <w:szCs w:val="20"/>
          <w:color w:val="auto"/>
        </w:rPr>
      </w:pPr>
      <w:r>
        <w:rPr>
          <w:rFonts w:ascii="Arial" w:cs="Arial" w:eastAsia="Arial" w:hAnsi="Arial"/>
          <w:sz w:val="18"/>
          <w:szCs w:val="18"/>
          <w:color w:val="auto"/>
        </w:rPr>
        <w:t>Even if our lead product candidate or our other product candidates receive marketing approval, they may nonetheless fail to gain sufficient market acceptance by physicians, patients, third-party payors, and others in the medical community. If our product candidates do not achieve an adequate level of acceptance, we may not generate adequate product revenue or become profitable. The degree of market acceptance of a product candidate, if approved for commercial sale, will depend on a number of factors, including but not limited to:</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820" w:right="260" w:hanging="170"/>
        <w:spacing w:after="0" w:line="252" w:lineRule="auto"/>
        <w:tabs>
          <w:tab w:leader="none" w:pos="8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safety, efficacy, risk-benefit profile, and potential advantages compared to alternative or existing treatments, such as steroids topical treatments, oral treatments, and biologic injections for the treatment of psoriasis, which physicians may perceive to be adequately effective for some or all patients;</w:t>
      </w:r>
    </w:p>
    <w:p>
      <w:pPr>
        <w:spacing w:after="0" w:line="124" w:lineRule="exact"/>
        <w:rPr>
          <w:rFonts w:ascii="Arial" w:cs="Arial" w:eastAsia="Arial" w:hAnsi="Arial"/>
          <w:sz w:val="18"/>
          <w:szCs w:val="18"/>
          <w:color w:val="auto"/>
        </w:rPr>
      </w:pPr>
    </w:p>
    <w:p>
      <w:pPr>
        <w:ind w:left="820" w:right="460" w:hanging="170"/>
        <w:spacing w:after="0" w:line="255" w:lineRule="auto"/>
        <w:tabs>
          <w:tab w:leader="none" w:pos="8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side effects that may be attributable to our product candidates and the difficulty of or costs associated with resolving such side effects;</w:t>
      </w:r>
    </w:p>
    <w:p>
      <w:pPr>
        <w:spacing w:after="0" w:line="135" w:lineRule="exact"/>
        <w:rPr>
          <w:rFonts w:ascii="Arial" w:cs="Arial" w:eastAsia="Arial" w:hAnsi="Arial"/>
          <w:sz w:val="18"/>
          <w:szCs w:val="18"/>
          <w:color w:val="auto"/>
        </w:rPr>
      </w:pPr>
    </w:p>
    <w:p>
      <w:pPr>
        <w:ind w:left="820" w:right="120" w:hanging="170"/>
        <w:spacing w:after="0" w:line="255" w:lineRule="auto"/>
        <w:tabs>
          <w:tab w:leader="none" w:pos="8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our product candidates by FDA or other applicable foreign regulatory authorities;</w:t>
      </w:r>
    </w:p>
    <w:p>
      <w:pPr>
        <w:spacing w:after="0" w:line="135" w:lineRule="exact"/>
        <w:rPr>
          <w:rFonts w:ascii="Arial" w:cs="Arial" w:eastAsia="Arial" w:hAnsi="Arial"/>
          <w:sz w:val="18"/>
          <w:szCs w:val="18"/>
          <w:color w:val="auto"/>
        </w:rPr>
      </w:pPr>
    </w:p>
    <w:p>
      <w:pPr>
        <w:ind w:left="800" w:hanging="150"/>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restrictions on the use of our products, and the prevalence and severity of any side effects;</w:t>
      </w:r>
    </w:p>
    <w:p>
      <w:pPr>
        <w:spacing w:after="0" w:line="141" w:lineRule="exact"/>
        <w:rPr>
          <w:rFonts w:ascii="Arial" w:cs="Arial" w:eastAsia="Arial" w:hAnsi="Arial"/>
          <w:sz w:val="18"/>
          <w:szCs w:val="18"/>
          <w:color w:val="auto"/>
        </w:rPr>
      </w:pPr>
    </w:p>
    <w:p>
      <w:pPr>
        <w:ind w:left="800" w:hanging="150"/>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content of the approved product label;</w:t>
      </w:r>
    </w:p>
    <w:p>
      <w:pPr>
        <w:spacing w:after="0" w:line="154" w:lineRule="exact"/>
        <w:rPr>
          <w:rFonts w:ascii="Arial" w:cs="Arial" w:eastAsia="Arial" w:hAnsi="Arial"/>
          <w:sz w:val="18"/>
          <w:szCs w:val="18"/>
          <w:color w:val="auto"/>
        </w:rPr>
      </w:pPr>
    </w:p>
    <w:p>
      <w:pPr>
        <w:ind w:left="800" w:hanging="150"/>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154" w:lineRule="exact"/>
        <w:rPr>
          <w:rFonts w:ascii="Arial" w:cs="Arial" w:eastAsia="Arial" w:hAnsi="Arial"/>
          <w:sz w:val="18"/>
          <w:szCs w:val="18"/>
          <w:color w:val="auto"/>
        </w:rPr>
      </w:pPr>
    </w:p>
    <w:p>
      <w:pPr>
        <w:ind w:left="820" w:right="480" w:hanging="170"/>
        <w:spacing w:after="0" w:line="255" w:lineRule="auto"/>
        <w:tabs>
          <w:tab w:leader="none" w:pos="8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including any similar generic treatments and over-the-counter (OTC) treatments;</w:t>
      </w:r>
    </w:p>
    <w:p>
      <w:pPr>
        <w:spacing w:after="0" w:line="122" w:lineRule="exact"/>
        <w:rPr>
          <w:rFonts w:ascii="Arial" w:cs="Arial" w:eastAsia="Arial" w:hAnsi="Arial"/>
          <w:sz w:val="18"/>
          <w:szCs w:val="18"/>
          <w:color w:val="auto"/>
        </w:rPr>
      </w:pPr>
    </w:p>
    <w:p>
      <w:pPr>
        <w:ind w:left="800" w:hanging="150"/>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w:t>
      </w:r>
    </w:p>
    <w:p>
      <w:pPr>
        <w:spacing w:after="0" w:line="154" w:lineRule="exact"/>
        <w:rPr>
          <w:rFonts w:ascii="Arial" w:cs="Arial" w:eastAsia="Arial" w:hAnsi="Arial"/>
          <w:sz w:val="18"/>
          <w:szCs w:val="18"/>
          <w:color w:val="auto"/>
        </w:rPr>
      </w:pPr>
    </w:p>
    <w:p>
      <w:pPr>
        <w:ind w:left="800" w:hanging="150"/>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54" w:lineRule="exact"/>
        <w:rPr>
          <w:rFonts w:ascii="Arial" w:cs="Arial" w:eastAsia="Arial" w:hAnsi="Arial"/>
          <w:sz w:val="18"/>
          <w:szCs w:val="18"/>
          <w:color w:val="auto"/>
        </w:rPr>
      </w:pPr>
    </w:p>
    <w:p>
      <w:pPr>
        <w:ind w:left="820" w:right="420" w:hanging="170"/>
        <w:spacing w:after="0" w:line="255" w:lineRule="auto"/>
        <w:tabs>
          <w:tab w:leader="none" w:pos="8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 over existing therapies;</w:t>
      </w:r>
    </w:p>
    <w:p>
      <w:pPr>
        <w:spacing w:after="0" w:line="122" w:lineRule="exact"/>
        <w:rPr>
          <w:rFonts w:ascii="Arial" w:cs="Arial" w:eastAsia="Arial" w:hAnsi="Arial"/>
          <w:sz w:val="18"/>
          <w:szCs w:val="18"/>
          <w:color w:val="auto"/>
        </w:rPr>
      </w:pPr>
    </w:p>
    <w:p>
      <w:pPr>
        <w:ind w:left="800" w:hanging="150"/>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54" w:lineRule="exact"/>
        <w:rPr>
          <w:rFonts w:ascii="Arial" w:cs="Arial" w:eastAsia="Arial" w:hAnsi="Arial"/>
          <w:sz w:val="18"/>
          <w:szCs w:val="18"/>
          <w:color w:val="auto"/>
        </w:rPr>
      </w:pPr>
    </w:p>
    <w:p>
      <w:pPr>
        <w:ind w:left="800" w:hanging="150"/>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at any given price level of each of our product candidates;</w:t>
      </w:r>
    </w:p>
    <w:p>
      <w:pPr>
        <w:spacing w:after="0" w:line="154" w:lineRule="exact"/>
        <w:rPr>
          <w:rFonts w:ascii="Arial" w:cs="Arial" w:eastAsia="Arial" w:hAnsi="Arial"/>
          <w:sz w:val="18"/>
          <w:szCs w:val="18"/>
          <w:color w:val="auto"/>
        </w:rPr>
      </w:pPr>
    </w:p>
    <w:p>
      <w:pPr>
        <w:ind w:left="820" w:hanging="170"/>
        <w:spacing w:after="0" w:line="255" w:lineRule="auto"/>
        <w:tabs>
          <w:tab w:leader="none" w:pos="8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willingness of patients to pay out-of-pocket for our product candidates, if approved, in the absence of health insurance coverage or sufficient reimbursement;</w:t>
      </w:r>
    </w:p>
    <w:p>
      <w:pPr>
        <w:spacing w:after="0" w:line="122" w:lineRule="exact"/>
        <w:rPr>
          <w:rFonts w:ascii="Arial" w:cs="Arial" w:eastAsia="Arial" w:hAnsi="Arial"/>
          <w:sz w:val="18"/>
          <w:szCs w:val="18"/>
          <w:color w:val="auto"/>
        </w:rPr>
      </w:pPr>
    </w:p>
    <w:p>
      <w:pPr>
        <w:ind w:left="800" w:hanging="150"/>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utilization controls imposed by third-party payors, such as prior authorizations and step edits; and</w:t>
      </w:r>
    </w:p>
    <w:p>
      <w:pPr>
        <w:spacing w:after="0" w:line="154" w:lineRule="exact"/>
        <w:rPr>
          <w:rFonts w:ascii="Arial" w:cs="Arial" w:eastAsia="Arial" w:hAnsi="Arial"/>
          <w:sz w:val="18"/>
          <w:szCs w:val="18"/>
          <w:color w:val="auto"/>
        </w:rPr>
      </w:pPr>
    </w:p>
    <w:p>
      <w:pPr>
        <w:ind w:left="800" w:hanging="150"/>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restrictions on the use of any of our product candidates.</w:t>
      </w:r>
    </w:p>
    <w:p>
      <w:pPr>
        <w:spacing w:after="0" w:line="155" w:lineRule="exact"/>
        <w:rPr>
          <w:sz w:val="20"/>
          <w:szCs w:val="20"/>
          <w:color w:val="auto"/>
        </w:rPr>
      </w:pPr>
    </w:p>
    <w:p>
      <w:pPr>
        <w:ind w:right="20" w:firstLine="643"/>
        <w:spacing w:after="0" w:line="252" w:lineRule="auto"/>
        <w:rPr>
          <w:sz w:val="20"/>
          <w:szCs w:val="20"/>
          <w:color w:val="auto"/>
        </w:rPr>
      </w:pPr>
      <w:r>
        <w:rPr>
          <w:rFonts w:ascii="Arial" w:cs="Arial" w:eastAsia="Arial" w:hAnsi="Arial"/>
          <w:sz w:val="18"/>
          <w:szCs w:val="18"/>
          <w:color w:val="auto"/>
        </w:rPr>
        <w:t>We cannot assure you that our current or future product candidates, if approved, will achieve market acceptance among physicians, patients, third-party payors, or others in the medical community necessary for commercial success. Any failure by our product candidates that obtain regulatory approval to achieve market acceptance or commercial success would harm our results of operations.</w:t>
      </w:r>
    </w:p>
    <w:p>
      <w:pPr>
        <w:spacing w:after="0" w:line="103" w:lineRule="exact"/>
        <w:rPr>
          <w:sz w:val="20"/>
          <w:szCs w:val="20"/>
          <w:color w:val="auto"/>
        </w:rPr>
      </w:pPr>
    </w:p>
    <w:p>
      <w:pPr>
        <w:ind w:right="240"/>
        <w:spacing w:after="0" w:line="281" w:lineRule="auto"/>
        <w:rPr>
          <w:sz w:val="20"/>
          <w:szCs w:val="20"/>
          <w:color w:val="auto"/>
        </w:rPr>
      </w:pPr>
      <w:r>
        <w:rPr>
          <w:rFonts w:ascii="Arial" w:cs="Arial" w:eastAsia="Arial" w:hAnsi="Arial"/>
          <w:sz w:val="18"/>
          <w:szCs w:val="18"/>
          <w:b w:val="1"/>
          <w:bCs w:val="1"/>
          <w:i w:val="1"/>
          <w:iCs w:val="1"/>
          <w:color w:val="auto"/>
        </w:rPr>
        <w:t>We may choose not to continue developing or commercializing any of our product candidates at any time during development or after approval, which would reduce or eliminate our potential return on investment for those product candidates.</w:t>
      </w:r>
    </w:p>
    <w:p>
      <w:pPr>
        <w:spacing w:after="0" w:line="113" w:lineRule="exact"/>
        <w:rPr>
          <w:sz w:val="20"/>
          <w:szCs w:val="20"/>
          <w:color w:val="auto"/>
        </w:rPr>
      </w:pPr>
    </w:p>
    <w:p>
      <w:pPr>
        <w:ind w:right="80" w:firstLine="643"/>
        <w:spacing w:after="0" w:line="250" w:lineRule="auto"/>
        <w:rPr>
          <w:sz w:val="20"/>
          <w:szCs w:val="20"/>
          <w:color w:val="auto"/>
        </w:rPr>
      </w:pPr>
      <w:r>
        <w:rPr>
          <w:rFonts w:ascii="Arial" w:cs="Arial" w:eastAsia="Arial" w:hAnsi="Arial"/>
          <w:sz w:val="18"/>
          <w:szCs w:val="18"/>
          <w:color w:val="auto"/>
        </w:rPr>
        <w:t>At any time, we may decide to discontinue the development or commercialization of any of our products or product candidates for a variety of reasons, including the appearance of new technologies that render our product obsolete, competition from a competing product, or changes in or inability to comply with applicable regulatory requirements. If we terminate a program in which we have invested significant resources, we will not receive any return on our investment and we will have missed the opportunity to allocate those resources to potentially more productive uses.</w:t>
      </w:r>
    </w:p>
    <w:p>
      <w:pPr>
        <w:spacing w:after="0" w:line="200" w:lineRule="exact"/>
        <w:rPr>
          <w:sz w:val="20"/>
          <w:szCs w:val="20"/>
          <w:color w:val="auto"/>
        </w:rPr>
      </w:pPr>
    </w:p>
    <w:p>
      <w:pPr>
        <w:spacing w:after="0" w:line="3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b w:val="1"/>
          <w:bCs w:val="1"/>
          <w:i w:val="1"/>
          <w:iCs w:val="1"/>
          <w:color w:val="auto"/>
        </w:rPr>
        <w:t>If we are unable to achieve and maintain coverage and adequate levels of reimbursement for any of our product candidates for which we receive regulatory approval, or any future products we may seek to commercialize, their commercial success may be severely hindered.</w:t>
      </w:r>
    </w:p>
    <w:p>
      <w:pPr>
        <w:spacing w:after="0" w:line="116" w:lineRule="exact"/>
        <w:rPr>
          <w:sz w:val="20"/>
          <w:szCs w:val="20"/>
          <w:color w:val="auto"/>
        </w:rPr>
      </w:pPr>
    </w:p>
    <w:p>
      <w:pPr>
        <w:ind w:firstLine="643"/>
        <w:spacing w:after="0" w:line="249" w:lineRule="auto"/>
        <w:rPr>
          <w:sz w:val="20"/>
          <w:szCs w:val="20"/>
          <w:color w:val="auto"/>
        </w:rPr>
      </w:pPr>
      <w:r>
        <w:rPr>
          <w:rFonts w:ascii="Arial" w:cs="Arial" w:eastAsia="Arial" w:hAnsi="Arial"/>
          <w:sz w:val="18"/>
          <w:szCs w:val="18"/>
          <w:color w:val="auto"/>
        </w:rPr>
        <w:t>As to any of our product candidates that become available by prescription only, our success will depend on the availability of coverage and adequate reimbursement for our product from third-party payors. Patients who are prescribed medicine for the treatment of their conditions generally rely on third-party payors to reimburse all or part of the costs associated with their prescription drugs. The availability of coverage and adequate reimbursement from governmental healthcare programs, such as Medicare and Medicaid, and private third-party payors is critical to new product acceptance. Coverage decisions may depend upon clinical and economic standards that disfavor new drug products when more established or lower cost therapeutic alternatives are already available or subsequently become available. If any of our product candidates fail to demonstrate attractive efficacy profiles, they may not qualify for coverage and reimbursement. Even if we obtain coverage for a given product, the resulting reimbursement payment rates might not be adequate or may require co-payments that patients find unacceptably high. Patients are unlikely to use our prescription-only products unless coverage is provided and reimbursement is adequate to cover a significant portion of the cost of our products.</w:t>
      </w:r>
    </w:p>
    <w:p>
      <w:pPr>
        <w:spacing w:after="0" w:line="142" w:lineRule="exact"/>
        <w:rPr>
          <w:sz w:val="20"/>
          <w:szCs w:val="20"/>
          <w:color w:val="auto"/>
        </w:rPr>
      </w:pPr>
    </w:p>
    <w:p>
      <w:pPr>
        <w:ind w:right="60" w:firstLine="643"/>
        <w:spacing w:after="0" w:line="252" w:lineRule="auto"/>
        <w:rPr>
          <w:sz w:val="20"/>
          <w:szCs w:val="20"/>
          <w:color w:val="auto"/>
        </w:rPr>
      </w:pPr>
      <w:r>
        <w:rPr>
          <w:rFonts w:ascii="Arial" w:cs="Arial" w:eastAsia="Arial" w:hAnsi="Arial"/>
          <w:sz w:val="18"/>
          <w:szCs w:val="18"/>
          <w:color w:val="auto"/>
        </w:rPr>
        <w:t>In addition, the market for certain of our product candidates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w:t>
      </w:r>
    </w:p>
    <w:p>
      <w:pPr>
        <w:spacing w:after="0" w:line="138" w:lineRule="exact"/>
        <w:rPr>
          <w:sz w:val="20"/>
          <w:szCs w:val="20"/>
          <w:color w:val="auto"/>
        </w:rPr>
      </w:pPr>
    </w:p>
    <w:p>
      <w:pPr>
        <w:jc w:val="both"/>
        <w:ind w:right="60" w:firstLine="643"/>
        <w:spacing w:after="0" w:line="249" w:lineRule="auto"/>
        <w:rPr>
          <w:sz w:val="20"/>
          <w:szCs w:val="20"/>
          <w:color w:val="auto"/>
        </w:rPr>
      </w:pPr>
      <w:r>
        <w:rPr>
          <w:rFonts w:ascii="Arial" w:cs="Arial" w:eastAsia="Arial" w:hAnsi="Arial"/>
          <w:sz w:val="18"/>
          <w:szCs w:val="18"/>
          <w:color w:val="auto"/>
        </w:rPr>
        <w:t>Third-party payors, whether foreign or domestic, or governmental or commercial, are developing increasingly sophisticated methods of controlling healthcare costs. In addition, in the United States, although private third-party payors tend to follow Medicare, no uniform policy of coverage and reimbursement for drug products exists among third-party payors.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w:t>
      </w:r>
    </w:p>
    <w:p>
      <w:pPr>
        <w:spacing w:after="0" w:line="131" w:lineRule="exact"/>
        <w:rPr>
          <w:sz w:val="20"/>
          <w:szCs w:val="20"/>
          <w:color w:val="auto"/>
        </w:rPr>
      </w:pPr>
    </w:p>
    <w:p>
      <w:pPr>
        <w:ind w:right="140" w:firstLine="643"/>
        <w:spacing w:after="0" w:line="250" w:lineRule="auto"/>
        <w:rPr>
          <w:sz w:val="20"/>
          <w:szCs w:val="20"/>
          <w:color w:val="auto"/>
        </w:rPr>
      </w:pPr>
      <w:r>
        <w:rPr>
          <w:rFonts w:ascii="Arial" w:cs="Arial" w:eastAsia="Arial" w:hAnsi="Arial"/>
          <w:sz w:val="18"/>
          <w:szCs w:val="18"/>
          <w:color w:val="auto"/>
        </w:rPr>
        <w:t>Further, we believe that future coverage and reimbursement will likely be subject to increased restrictions in both the United States and in international markets. Third-party coverage and reimbursement for any of our product candidates for which we may receive regulatory approval may not be available or adequate in either the United States or international markets, which could harm our business, financial condition, operating results, and prospects.</w:t>
      </w:r>
    </w:p>
    <w:p>
      <w:pPr>
        <w:spacing w:after="0" w:line="120" w:lineRule="exact"/>
        <w:rPr>
          <w:sz w:val="20"/>
          <w:szCs w:val="20"/>
          <w:color w:val="auto"/>
        </w:rPr>
      </w:pPr>
    </w:p>
    <w:p>
      <w:pPr>
        <w:ind w:right="320"/>
        <w:spacing w:after="0" w:line="281" w:lineRule="auto"/>
        <w:rPr>
          <w:sz w:val="20"/>
          <w:szCs w:val="20"/>
          <w:color w:val="auto"/>
        </w:rPr>
      </w:pPr>
      <w:r>
        <w:rPr>
          <w:rFonts w:ascii="Arial" w:cs="Arial" w:eastAsia="Arial" w:hAnsi="Arial"/>
          <w:sz w:val="18"/>
          <w:szCs w:val="18"/>
          <w:b w:val="1"/>
          <w:bCs w:val="1"/>
          <w:i w:val="1"/>
          <w:iCs w:val="1"/>
          <w:color w:val="auto"/>
        </w:rPr>
        <w:t>We currently have limited sales, marketing, or distribution capabilities and have no experience as a company in commercializing products.</w:t>
      </w:r>
    </w:p>
    <w:p>
      <w:pPr>
        <w:spacing w:after="0" w:line="113" w:lineRule="exact"/>
        <w:rPr>
          <w:sz w:val="20"/>
          <w:szCs w:val="20"/>
          <w:color w:val="auto"/>
        </w:rPr>
      </w:pPr>
    </w:p>
    <w:p>
      <w:pPr>
        <w:ind w:right="20" w:firstLine="643"/>
        <w:spacing w:after="0" w:line="250" w:lineRule="auto"/>
        <w:rPr>
          <w:sz w:val="20"/>
          <w:szCs w:val="20"/>
          <w:color w:val="auto"/>
        </w:rPr>
      </w:pPr>
      <w:r>
        <w:rPr>
          <w:rFonts w:ascii="Arial" w:cs="Arial" w:eastAsia="Arial" w:hAnsi="Arial"/>
          <w:sz w:val="18"/>
          <w:szCs w:val="18"/>
          <w:color w:val="auto"/>
        </w:rPr>
        <w:t>To achieve commercial success for any product for which we obtain marketing approval, we will need to build a significantly more robust sales and marketing organization. We currently have limited infrastructure for the sales, marketing, or distribution of any product, and the cost of establishing and maintaining such an organization may exceed the cost-effectiveness of doing so. In order to market any product that may be approved, we must build our sales, distribution, marketing, managerial, and other nontechnical capabilities or make arrangements with third parties to perform these services.</w:t>
      </w:r>
    </w:p>
    <w:p>
      <w:pPr>
        <w:spacing w:after="0" w:line="127" w:lineRule="exact"/>
        <w:rPr>
          <w:sz w:val="20"/>
          <w:szCs w:val="20"/>
          <w:color w:val="auto"/>
        </w:rPr>
      </w:pPr>
    </w:p>
    <w:p>
      <w:pPr>
        <w:ind w:firstLine="643"/>
        <w:spacing w:after="0" w:line="249" w:lineRule="auto"/>
        <w:rPr>
          <w:sz w:val="20"/>
          <w:szCs w:val="20"/>
          <w:color w:val="auto"/>
        </w:rPr>
      </w:pPr>
      <w:r>
        <w:rPr>
          <w:rFonts w:ascii="Arial" w:cs="Arial" w:eastAsia="Arial" w:hAnsi="Arial"/>
          <w:sz w:val="18"/>
          <w:szCs w:val="18"/>
          <w:color w:val="auto"/>
        </w:rPr>
        <w:t>We currently expect to build a dermatologist-focused sales, distribution, and marketing infrastructure to market our product candidates in North America, if approved. There are significant expenses and risks involved with establishing our own sales, marketing, and distribution capabilities, including our ability to hire, retain, and appropriately incentivize qualified individuals, provide adequate training to sales and marketing personnel, and effectively manage geographically dispersed sales and marketing teams to generate sufficient demand. Any failure or delay in the development of our internal sales, marketing, and distribution capabilities could delay any product launch, which would adversely impact its commercialization. If the commercial launch of any of our product candidates, if approved,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40" w:firstLine="643"/>
        <w:spacing w:after="0" w:line="270" w:lineRule="auto"/>
        <w:rPr>
          <w:sz w:val="20"/>
          <w:szCs w:val="20"/>
          <w:color w:val="auto"/>
        </w:rPr>
      </w:pPr>
      <w:r>
        <w:rPr>
          <w:rFonts w:ascii="Arial" w:cs="Arial" w:eastAsia="Arial" w:hAnsi="Arial"/>
          <w:sz w:val="17"/>
          <w:szCs w:val="17"/>
          <w:color w:val="auto"/>
        </w:rPr>
        <w:t>If we are unable to establish adequate sales, marketing, and distribution capabilities, either on our own or in collaboration with third parties, we will not be successful in commercializing any of our product candidates and may not become profitable.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spacing w:after="0" w:line="89" w:lineRule="exact"/>
        <w:rPr>
          <w:sz w:val="20"/>
          <w:szCs w:val="20"/>
          <w:color w:val="auto"/>
        </w:rPr>
      </w:pPr>
    </w:p>
    <w:p>
      <w:pPr>
        <w:ind w:right="820"/>
        <w:spacing w:after="0" w:line="281" w:lineRule="auto"/>
        <w:rPr>
          <w:sz w:val="20"/>
          <w:szCs w:val="20"/>
          <w:color w:val="auto"/>
        </w:rPr>
      </w:pPr>
      <w:r>
        <w:rPr>
          <w:rFonts w:ascii="Arial" w:cs="Arial" w:eastAsia="Arial" w:hAnsi="Arial"/>
          <w:sz w:val="18"/>
          <w:szCs w:val="18"/>
          <w:b w:val="1"/>
          <w:bCs w:val="1"/>
          <w:i w:val="1"/>
          <w:iCs w:val="1"/>
          <w:color w:val="auto"/>
        </w:rPr>
        <w:t>If we seek to market any products in our pipeline in countries other than the United States, we will need to comply with the regulations of each country in which we seek to market our products.</w:t>
      </w:r>
    </w:p>
    <w:p>
      <w:pPr>
        <w:spacing w:after="0" w:line="113" w:lineRule="exact"/>
        <w:rPr>
          <w:sz w:val="20"/>
          <w:szCs w:val="20"/>
          <w:color w:val="auto"/>
        </w:rPr>
      </w:pPr>
    </w:p>
    <w:p>
      <w:pPr>
        <w:ind w:firstLine="643"/>
        <w:spacing w:after="0" w:line="249" w:lineRule="auto"/>
        <w:rPr>
          <w:sz w:val="20"/>
          <w:szCs w:val="20"/>
          <w:color w:val="auto"/>
        </w:rPr>
      </w:pPr>
      <w:r>
        <w:rPr>
          <w:rFonts w:ascii="Arial" w:cs="Arial" w:eastAsia="Arial" w:hAnsi="Arial"/>
          <w:sz w:val="18"/>
          <w:szCs w:val="18"/>
          <w:color w:val="auto"/>
        </w:rPr>
        <w:t>None of our product candidates are currently approved for sale by any government authority in any jurisdiction. If we fail to comply with regulatory requirements in any market we decide to enter, or to obtain and maintain required approvals, or if regulatory approvals in the relevant markets are delayed, our target market will be reduced and our ability to realize the full market potential of our product candidates will be harmed. Marketing approval in one jurisdiction, including the United States, does not ensure marketing approval in another, but a failure or delay in obtaining marketing approval in one jurisdiction may have a negative effect on the regulatory process in others. Failure to obtain a marketing approval in countries in which we seek to market our products or any delay or setback in obtaining such approval would impair our ability to develop foreign markets for any of our products.</w:t>
      </w:r>
    </w:p>
    <w:p>
      <w:pPr>
        <w:spacing w:after="0" w:line="122" w:lineRule="exact"/>
        <w:rPr>
          <w:sz w:val="20"/>
          <w:szCs w:val="20"/>
          <w:color w:val="auto"/>
        </w:rPr>
      </w:pPr>
    </w:p>
    <w:p>
      <w:pPr>
        <w:ind w:right="1280"/>
        <w:spacing w:after="0" w:line="281" w:lineRule="auto"/>
        <w:rPr>
          <w:sz w:val="20"/>
          <w:szCs w:val="20"/>
          <w:color w:val="auto"/>
        </w:rPr>
      </w:pPr>
      <w:r>
        <w:rPr>
          <w:rFonts w:ascii="Arial" w:cs="Arial" w:eastAsia="Arial" w:hAnsi="Arial"/>
          <w:sz w:val="18"/>
          <w:szCs w:val="18"/>
          <w:b w:val="1"/>
          <w:bCs w:val="1"/>
          <w:i w:val="1"/>
          <w:iCs w:val="1"/>
          <w:color w:val="auto"/>
        </w:rPr>
        <w:t>Our license agreements obligate us to make certain milestone payments, some of which will be triggered prior to our commercialization of any of our product candidates.</w:t>
      </w:r>
    </w:p>
    <w:p>
      <w:pPr>
        <w:spacing w:after="0" w:line="100" w:lineRule="exact"/>
        <w:rPr>
          <w:sz w:val="20"/>
          <w:szCs w:val="20"/>
          <w:color w:val="auto"/>
        </w:rPr>
      </w:pPr>
    </w:p>
    <w:p>
      <w:pPr>
        <w:ind w:right="160" w:firstLine="643"/>
        <w:spacing w:after="0" w:line="252" w:lineRule="auto"/>
        <w:rPr>
          <w:sz w:val="20"/>
          <w:szCs w:val="20"/>
          <w:color w:val="auto"/>
        </w:rPr>
      </w:pPr>
      <w:r>
        <w:rPr>
          <w:rFonts w:ascii="Arial" w:cs="Arial" w:eastAsia="Arial" w:hAnsi="Arial"/>
          <w:sz w:val="18"/>
          <w:szCs w:val="18"/>
          <w:color w:val="auto"/>
        </w:rPr>
        <w:t>Certain of the milestone payments payable by us to AstraZeneca and Hengrui, are due upon events that will occur prior to our planned commercialization of the applicable product candidates. Accordingly, we will be required to make such payments prior to the time at which we are able to generate revenue, if any, from sales of any of our product candidates, if approved.</w:t>
      </w:r>
    </w:p>
    <w:p>
      <w:pPr>
        <w:spacing w:after="0" w:line="138" w:lineRule="exact"/>
        <w:rPr>
          <w:sz w:val="20"/>
          <w:szCs w:val="20"/>
          <w:color w:val="auto"/>
        </w:rPr>
      </w:pPr>
    </w:p>
    <w:p>
      <w:pPr>
        <w:ind w:right="60" w:firstLine="643"/>
        <w:spacing w:after="0" w:line="249" w:lineRule="auto"/>
        <w:rPr>
          <w:sz w:val="20"/>
          <w:szCs w:val="20"/>
          <w:color w:val="auto"/>
        </w:rPr>
      </w:pPr>
      <w:r>
        <w:rPr>
          <w:rFonts w:ascii="Arial" w:cs="Arial" w:eastAsia="Arial" w:hAnsi="Arial"/>
          <w:sz w:val="18"/>
          <w:szCs w:val="18"/>
          <w:color w:val="auto"/>
        </w:rPr>
        <w:t>For example, upon regulatory approval from the FDA to commercialize roflumilast cream in the United States, but prior to commencement of commercialization or sales of roflumilast cream, we will be required to make certain milestone payments to AstraZeneca. We paid AstraZeneca the first milestone cash payment of $2.0 million upon the completion of a Phase 2b study of roflumilast cream in plaque psoriasis in August 2019 for the achievement of positive Phase 2 data for an AZ-Licensed Product (as defined below). We have agreed to make additional cash payments to AstraZeneca of up to an aggregate of $12.5 million upon the achievement of specified regulatory approval milestones with respect to products containing roflumilast in topical forms, as well as delivery systems sold with or for the administration of roflumilast, or collectively, AZ-Licensed Products, and payments up to an additional aggregate amount of $15.0 million upon the achievement of certain aggregate worldwide net sales milestones. With respect to any AZ-Licensed Products we commercialize under the agreement, we will pay AstraZeneca a low to high single-digit percentage royalty rate on our, our affiliates’, and our sublicensees’ net sales of such AZ-Licensed Products, until, as determined on an AZ-Licensed Product-by-AZ-Licensed Product and country-by-country basis, the later of the date of the expiration of the last-to-expire AstraZeneca-licensed patent right containing a valid claim in such country and ten years from the first commercial sale of such AZ-Licensed Product in such country.</w:t>
      </w:r>
    </w:p>
    <w:p>
      <w:pPr>
        <w:spacing w:after="0" w:line="141" w:lineRule="exact"/>
        <w:rPr>
          <w:sz w:val="20"/>
          <w:szCs w:val="20"/>
          <w:color w:val="auto"/>
        </w:rPr>
      </w:pPr>
    </w:p>
    <w:p>
      <w:pPr>
        <w:ind w:right="60" w:firstLine="643"/>
        <w:spacing w:after="0" w:line="249" w:lineRule="auto"/>
        <w:rPr>
          <w:sz w:val="20"/>
          <w:szCs w:val="20"/>
          <w:color w:val="auto"/>
        </w:rPr>
      </w:pPr>
      <w:r>
        <w:rPr>
          <w:rFonts w:ascii="Arial" w:cs="Arial" w:eastAsia="Arial" w:hAnsi="Arial"/>
          <w:sz w:val="18"/>
          <w:szCs w:val="18"/>
          <w:color w:val="auto"/>
        </w:rPr>
        <w:t>In connection with the exercise of our exclusive option with Hengrui in December 2019, we made a $1.5 million cash payment and also contemporaneously amended the agreement to expand the territory to additionally include Canada. In addition, we have agreed to make cash payments of up to an aggregate of $20.5 million upon our achievement of specified clinical development and regulatory approval milestones with respect to the licensed products and cash payments of up to an additional $200.0 million in sales-based milestones based on achieving certain aggregate annual net sales volumes with respect to a licensed product. With respect to any products we commercialize under the agreement, we will pay tiered royalties to Hengrui on net sales of each licensed product by us, or our affiliates, or our sublicensees, ranging from mid single-digit to sub-teen percentage rates based on tiered annual net sales bands subject to specified reductions. We are obligated to pay royalties until the later of (1) the expiration of the last valid claim of the licensed patent rights covering such licensed product in such country and (2) the expiration of regulatory exclusivity for the relevant licensed product in the relevant country, on a licensed product-by-licensed product and country-by-country basis. Additionally, we are obligated to pay Hengrui a specified percentage, ranging from the low-thirties to the sub-teens, of certain non-royalty sublicensing income we receive from sublicensees of our rights to the licensed products, such percentage decreasing as the development stage of the licensed products advance.</w:t>
      </w: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20" w:firstLine="643"/>
        <w:spacing w:after="0" w:line="249" w:lineRule="auto"/>
        <w:rPr>
          <w:sz w:val="20"/>
          <w:szCs w:val="20"/>
          <w:color w:val="auto"/>
        </w:rPr>
      </w:pPr>
      <w:r>
        <w:rPr>
          <w:rFonts w:ascii="Arial" w:cs="Arial" w:eastAsia="Arial" w:hAnsi="Arial"/>
          <w:sz w:val="18"/>
          <w:szCs w:val="18"/>
          <w:color w:val="auto"/>
        </w:rPr>
        <w:t>There can be no assurance that we will have the funds necessary to make such payments, or be able to raise such funds when needed, on terms acceptable to us, or at all. Furthermore, if we are forced to raise additional funds, we may be required to delay, limit, reduce, or terminate our product development or future commercialization efforts, or grant rights to develop and market product candidates that we would otherwise develop and market ourselves. If we are unable to raise additional funds or maintain sufficient liquidity to make our payment obligations if and when they become due, including payment obligations under the license agreement with AstraZeneca and under the option and license agreement with Hengrui, we may be in material breach of our agreements and our counterparties may seek legal action or remedies against us (including by seeking to terminate the relevant agreements), which would harm our business, financial condition, results of operations, and prospects.</w:t>
      </w:r>
    </w:p>
    <w:p>
      <w:pPr>
        <w:spacing w:after="0" w:line="108" w:lineRule="exact"/>
        <w:rPr>
          <w:sz w:val="20"/>
          <w:szCs w:val="20"/>
          <w:color w:val="auto"/>
        </w:rPr>
      </w:pPr>
    </w:p>
    <w:p>
      <w:pPr>
        <w:ind w:right="780"/>
        <w:spacing w:after="0" w:line="281"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targeting medical dermatological indications, and our operating results will suffer if we fail to compete effectively.</w:t>
      </w:r>
    </w:p>
    <w:p>
      <w:pPr>
        <w:spacing w:after="0" w:line="113" w:lineRule="exact"/>
        <w:rPr>
          <w:sz w:val="20"/>
          <w:szCs w:val="20"/>
          <w:color w:val="auto"/>
        </w:rPr>
      </w:pPr>
    </w:p>
    <w:p>
      <w:pPr>
        <w:ind w:right="160" w:firstLine="643"/>
        <w:spacing w:after="0" w:line="266" w:lineRule="auto"/>
        <w:rPr>
          <w:sz w:val="20"/>
          <w:szCs w:val="20"/>
          <w:color w:val="auto"/>
        </w:rPr>
      </w:pPr>
      <w:r>
        <w:rPr>
          <w:rFonts w:ascii="Arial" w:cs="Arial" w:eastAsia="Arial" w:hAnsi="Arial"/>
          <w:sz w:val="17"/>
          <w:szCs w:val="17"/>
          <w:color w:val="auto"/>
        </w:rPr>
        <w:t>The markets for dermatological therapies are competitive and are characterized by significant technological development and new product introduction. For example, there are several large and small pharmaceutical companies focused on delivering therapeutics for our targeted inflammatory and medical dermatological indications. We anticipate that, if we obtain regulatory approval of our product candidates, we will face significant competition from other approved therapies or drugs that become available in the future for the treatment of our target indications. If approved, our product candidates may also compete with unregulated, unapproved, and off-label treatments. Even if another branded or generic product or OTC product is less effective than our product candidates, a less effective branded, generic or OTC product may be more quickly adopted by physicians and patients than our competing product candidates based upon cost or convenience.</w:t>
      </w:r>
    </w:p>
    <w:p>
      <w:pPr>
        <w:spacing w:after="0" w:line="130" w:lineRule="exact"/>
        <w:rPr>
          <w:sz w:val="20"/>
          <w:szCs w:val="20"/>
          <w:color w:val="auto"/>
        </w:rPr>
      </w:pPr>
    </w:p>
    <w:p>
      <w:pPr>
        <w:ind w:firstLine="643"/>
        <w:spacing w:after="0" w:line="249" w:lineRule="auto"/>
        <w:rPr>
          <w:sz w:val="20"/>
          <w:szCs w:val="20"/>
          <w:color w:val="auto"/>
        </w:rPr>
      </w:pPr>
      <w:r>
        <w:rPr>
          <w:rFonts w:ascii="Arial" w:cs="Arial" w:eastAsia="Arial" w:hAnsi="Arial"/>
          <w:sz w:val="18"/>
          <w:szCs w:val="18"/>
          <w:color w:val="auto"/>
        </w:rPr>
        <w:t>Certain of our product candidates, if approved, will have to compete with existing therapies, some of which are widely known and accepted by physicians and patients. To compete successfully in this market, we will have to demonstrate that the relative cost, safety, and efficacy of our approved products, if any, provide an attractive alternative to existing and other new therapies to gain a share of some patients’ discretionary budgets and for physicians’ attention within their clinical practices. Some of the companies that offer competing products also have a broad range of other product offerings, large direct sales forces, and long-term customer relationships with our target physicians, which could inhibit our market penetration efforts. Such competition could lead to reduced market share for our product candidates and contribute to downward pressure on the pricing of our product candidates, which could harm our business, financial condition, operating results, and prospects.</w:t>
      </w:r>
    </w:p>
    <w:p>
      <w:pPr>
        <w:spacing w:after="0" w:line="130" w:lineRule="exact"/>
        <w:rPr>
          <w:sz w:val="20"/>
          <w:szCs w:val="20"/>
          <w:color w:val="auto"/>
        </w:rPr>
      </w:pPr>
    </w:p>
    <w:p>
      <w:pPr>
        <w:ind w:right="400" w:firstLine="643"/>
        <w:spacing w:after="0" w:line="255" w:lineRule="auto"/>
        <w:rPr>
          <w:sz w:val="20"/>
          <w:szCs w:val="20"/>
          <w:color w:val="auto"/>
        </w:rPr>
      </w:pPr>
      <w:r>
        <w:rPr>
          <w:rFonts w:ascii="Arial" w:cs="Arial" w:eastAsia="Arial" w:hAnsi="Arial"/>
          <w:sz w:val="18"/>
          <w:szCs w:val="18"/>
          <w:color w:val="auto"/>
        </w:rPr>
        <w:t>We are aware of several companies that are working to develop drugs that would compete against our product candidates for the treatment of psoriasis, atopic dermatitis, hand eczema, vitiligo, and alopecia areata.</w:t>
      </w:r>
    </w:p>
    <w:p>
      <w:pPr>
        <w:spacing w:after="0" w:line="136" w:lineRule="exact"/>
        <w:rPr>
          <w:sz w:val="20"/>
          <w:szCs w:val="20"/>
          <w:color w:val="auto"/>
        </w:rPr>
      </w:pPr>
    </w:p>
    <w:p>
      <w:pPr>
        <w:ind w:right="20" w:firstLine="643"/>
        <w:spacing w:after="0" w:line="249" w:lineRule="auto"/>
        <w:rPr>
          <w:sz w:val="20"/>
          <w:szCs w:val="20"/>
          <w:color w:val="auto"/>
        </w:rPr>
      </w:pPr>
      <w:r>
        <w:rPr>
          <w:rFonts w:ascii="Arial" w:cs="Arial" w:eastAsia="Arial" w:hAnsi="Arial"/>
          <w:sz w:val="18"/>
          <w:szCs w:val="18"/>
          <w:color w:val="auto"/>
        </w:rPr>
        <w:t>For psoriasis, our primary competitors include injected biologic therapies such as Humira, marketed by AbbVie Inc. and Eisai Co., Ltd., and Enbrel, marketed by Amgen Inc. and Pfizer Inc.; non-injectable systemic therapies used to treat plaque psoriasis such as Otezla, marketed by Amgen Inc.; topical therapies such as branded and generic versions of clobetasol, such as Clobex, marketed by Galderma Laboratories, LP, generic versions of calcipotriene and the combination of betamethasone dipropionate/calcipotriene; and other treatments including various lasers and ultraviolet light-based therapies. In addition, there are several prescription product candidates under development that could potentially be used to treat psoriasis and compete with roflumilast cream, including topical tapinarof, under development by Dermavant Sciences, Inc., deucravacitinib, an oral Tyk2 inhibitor under development by BMS, Inc., and PF-06700841, an oral Tyk2/JAK1 inhibitor under development by Pfizer, Inc.</w:t>
      </w:r>
    </w:p>
    <w:p>
      <w:pPr>
        <w:spacing w:after="0" w:line="143" w:lineRule="exact"/>
        <w:rPr>
          <w:sz w:val="20"/>
          <w:szCs w:val="20"/>
          <w:color w:val="auto"/>
        </w:rPr>
      </w:pPr>
    </w:p>
    <w:p>
      <w:pPr>
        <w:ind w:right="160" w:firstLine="643"/>
        <w:spacing w:after="0" w:line="249" w:lineRule="auto"/>
        <w:rPr>
          <w:sz w:val="20"/>
          <w:szCs w:val="20"/>
          <w:color w:val="auto"/>
        </w:rPr>
      </w:pPr>
      <w:r>
        <w:rPr>
          <w:rFonts w:ascii="Arial" w:cs="Arial" w:eastAsia="Arial" w:hAnsi="Arial"/>
          <w:sz w:val="18"/>
          <w:szCs w:val="18"/>
          <w:color w:val="auto"/>
        </w:rPr>
        <w:t>For atopic dermatitis, our primary competitors include topical therapies such as Eucrisa, marketed by Pfizer Inc., and generic and branded versions of low to mid-potency steroids such as hydrocortisone and betamethasone; and the injected biologic therapy Dupixent, marketed by Regeneron Pharmaceuticals, Inc. In addition, there are several prescription product candidates under development that could potentially be used to treat atopic dermatitis and compete with roflumilast cream, including but not limited to: topical tapinarof and topical cerdulatinib, both under development by Dermavant Sciences, Inc., topical ruxolitinib, under development by Incyte Corporation, topical delgocitinib, under development by LEO Pharma A/S and Japan Tobacco, Inc., topical PF-06700841, a Tyk2/JAK1 inhibitor under development by Pfizer, Inc., topical difamilast ointment, under development by Medimetriks/Otsuka Pharma, oral PF-04965842, under development by Pfizer Inc., oral upatacitinib, under development by AbbVie, Inc., and injectable lebrikizumab, under development by Eli Lilly and Company.</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40" w:firstLine="643"/>
        <w:spacing w:after="0" w:line="250" w:lineRule="auto"/>
        <w:rPr>
          <w:sz w:val="20"/>
          <w:szCs w:val="20"/>
          <w:color w:val="auto"/>
        </w:rPr>
      </w:pPr>
      <w:r>
        <w:rPr>
          <w:rFonts w:ascii="Arial" w:cs="Arial" w:eastAsia="Arial" w:hAnsi="Arial"/>
          <w:sz w:val="18"/>
          <w:szCs w:val="18"/>
          <w:color w:val="auto"/>
        </w:rPr>
        <w:t>For hand eczema, our primary competitors include topical therapies such as branded and generic versions of clobetasol, such as Clobex, and generic versions of betamethasone dipropionate. The only other prescription product candidate we are aware of under development for the treatment of hand eczema that would compete with ARQ-252 is delgocitinib, which recently showed proof of concept in a Phase 2a trial and has been approved in a different formulation in Japan (Corectim).</w:t>
      </w:r>
    </w:p>
    <w:p>
      <w:pPr>
        <w:spacing w:after="0" w:line="128" w:lineRule="exact"/>
        <w:rPr>
          <w:sz w:val="20"/>
          <w:szCs w:val="20"/>
          <w:color w:val="auto"/>
        </w:rPr>
      </w:pPr>
    </w:p>
    <w:p>
      <w:pPr>
        <w:ind w:right="20" w:firstLine="643"/>
        <w:spacing w:after="0" w:line="249" w:lineRule="auto"/>
        <w:rPr>
          <w:sz w:val="20"/>
          <w:szCs w:val="20"/>
          <w:color w:val="auto"/>
        </w:rPr>
      </w:pPr>
      <w:r>
        <w:rPr>
          <w:rFonts w:ascii="Arial" w:cs="Arial" w:eastAsia="Arial" w:hAnsi="Arial"/>
          <w:sz w:val="18"/>
          <w:szCs w:val="18"/>
          <w:color w:val="auto"/>
        </w:rPr>
        <w:t>For vitiligo, our primary competitors include topical therapies such as generic and branded versions of calcineurin inhibitors, including Elidel, marketed by Bausch Health; branded and generic versions of high potency steroids, including Clobex, marketed by Galderma Laboratories, LP; and other treatments including various lasers and ultraviolet light-based therapies. In addition, there are several prescription product candidates under development that could potentially be used to treat vitiligo and compete with ARQ-252, including but not limited to: topical cerdulatinib, under development by Dermavant Sciences, Inc., topical ruxolitinib, under development by Incyte Corporation, and both oral PF-06651600 and oral PF-06700841, under development by Pfizer Inc.</w:t>
      </w:r>
    </w:p>
    <w:p>
      <w:pPr>
        <w:spacing w:after="0" w:line="144" w:lineRule="exact"/>
        <w:rPr>
          <w:sz w:val="20"/>
          <w:szCs w:val="20"/>
          <w:color w:val="auto"/>
        </w:rPr>
      </w:pPr>
    </w:p>
    <w:p>
      <w:pPr>
        <w:ind w:firstLine="643"/>
        <w:spacing w:after="0" w:line="249" w:lineRule="auto"/>
        <w:rPr>
          <w:sz w:val="20"/>
          <w:szCs w:val="20"/>
          <w:color w:val="auto"/>
        </w:rPr>
      </w:pPr>
      <w:r>
        <w:rPr>
          <w:rFonts w:ascii="Arial" w:cs="Arial" w:eastAsia="Arial" w:hAnsi="Arial"/>
          <w:sz w:val="18"/>
          <w:szCs w:val="18"/>
          <w:color w:val="auto"/>
        </w:rPr>
        <w:t>For alopecia areata, our primary competitors include topical therapies such as branded and generic versions of high potency steroids, including Clobex, marketed by Galderma Laboratories, LP; intralesional corticosteroid injections such as branded and generic versions of triamcinolone, including Kenalog, marketed by Bristol-Myers Squib; and systemic immunosuppressants including generic versions of systemic steroids such as prednisone, branded and generic versions of cyclosporine, including Sandimmune, marketed by Sandoz, and branded systemic JAK inhibitors, including Xeljanz, marketed by Pfizer, Inc. In addition, there are several prescription product candidates under development that could potentially be used to treat alopecia areata and compete with ARQ-255, including but not limited to: topical PF-06700841 and oral PF-06651600, under development by Pfizer, Inc., oral CTP-543, under development by Concert Pharmaceuticals, and oral baricitinib, under development by Eli Lilly and Company.</w:t>
      </w:r>
    </w:p>
    <w:p>
      <w:pPr>
        <w:spacing w:after="0" w:line="143" w:lineRule="exact"/>
        <w:rPr>
          <w:sz w:val="20"/>
          <w:szCs w:val="20"/>
          <w:color w:val="auto"/>
        </w:rPr>
      </w:pPr>
    </w:p>
    <w:p>
      <w:pPr>
        <w:ind w:right="60" w:firstLine="643"/>
        <w:spacing w:after="0" w:line="249" w:lineRule="auto"/>
        <w:rPr>
          <w:sz w:val="20"/>
          <w:szCs w:val="20"/>
          <w:color w:val="auto"/>
        </w:rPr>
      </w:pPr>
      <w:r>
        <w:rPr>
          <w:rFonts w:ascii="Arial" w:cs="Arial" w:eastAsia="Arial" w:hAnsi="Arial"/>
          <w:sz w:val="18"/>
          <w:szCs w:val="18"/>
          <w:color w:val="auto"/>
        </w:rPr>
        <w:t>Many of our existing or potential competitors have substantially greater financial, technical, and human resources than we do and significantly greater experience in the discovery and development of product candidates, as well as in obtaining regulatory approvals of those product candidates in the United States and in foreign countries. Many of our current and potential future competitors also have significantly more experience commercializing drugs that have been approved for marketing. Mergers and acquisitions in the pharmaceutical and biotechnology industries could result in even more resources being concentrated among a smaller number of our competitors. Competition may reduce the number and types of patients available to us to participate in clinical trials, because some patients who might have opted to enroll in our trials may instead opt to enroll in a trial being conducted by one of our competitors.</w:t>
      </w:r>
    </w:p>
    <w:p>
      <w:pPr>
        <w:spacing w:after="0" w:line="130" w:lineRule="exact"/>
        <w:rPr>
          <w:sz w:val="20"/>
          <w:szCs w:val="20"/>
          <w:color w:val="auto"/>
        </w:rPr>
      </w:pPr>
    </w:p>
    <w:p>
      <w:pPr>
        <w:ind w:firstLine="643"/>
        <w:spacing w:after="0" w:line="250" w:lineRule="auto"/>
        <w:rPr>
          <w:sz w:val="20"/>
          <w:szCs w:val="20"/>
          <w:color w:val="auto"/>
        </w:rPr>
      </w:pPr>
      <w:r>
        <w:rPr>
          <w:rFonts w:ascii="Arial" w:cs="Arial" w:eastAsia="Arial" w:hAnsi="Arial"/>
          <w:sz w:val="18"/>
          <w:szCs w:val="18"/>
          <w:color w:val="auto"/>
        </w:rPr>
        <w:t>Due to less stringent regulatory requirements in certain foreign countries, there are many more dermatological products and procedures available for use in those international markets than are approved for use in the United States. In certain international markets, there are also fewer limitations on the claims that our competitors can make about the effectiveness of their products and the manner in which they can market their products. As a result, we expect to face more competition in these markets than in the United States.</w:t>
      </w:r>
    </w:p>
    <w:p>
      <w:pPr>
        <w:spacing w:after="0" w:line="14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ability to compete successfully will depend largely on our ability to:</w:t>
      </w:r>
    </w:p>
    <w:p>
      <w:pPr>
        <w:spacing w:after="0" w:line="155" w:lineRule="exact"/>
        <w:rPr>
          <w:sz w:val="20"/>
          <w:szCs w:val="20"/>
          <w:color w:val="auto"/>
        </w:rPr>
      </w:pPr>
    </w:p>
    <w:p>
      <w:pPr>
        <w:ind w:left="800" w:hanging="150"/>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 and commercialize therapies that are superior to other products in the market;</w:t>
      </w:r>
    </w:p>
    <w:p>
      <w:pPr>
        <w:spacing w:after="0" w:line="141" w:lineRule="exact"/>
        <w:rPr>
          <w:rFonts w:ascii="Arial" w:cs="Arial" w:eastAsia="Arial" w:hAnsi="Arial"/>
          <w:sz w:val="18"/>
          <w:szCs w:val="18"/>
          <w:color w:val="auto"/>
        </w:rPr>
      </w:pPr>
    </w:p>
    <w:p>
      <w:pPr>
        <w:ind w:left="800" w:hanging="150"/>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demonstrate through our clinical trials that our product candidates are differentiated from existing and future therapies;</w:t>
      </w:r>
    </w:p>
    <w:p>
      <w:pPr>
        <w:spacing w:after="0" w:line="154" w:lineRule="exact"/>
        <w:rPr>
          <w:rFonts w:ascii="Arial" w:cs="Arial" w:eastAsia="Arial" w:hAnsi="Arial"/>
          <w:sz w:val="18"/>
          <w:szCs w:val="18"/>
          <w:color w:val="auto"/>
        </w:rPr>
      </w:pPr>
    </w:p>
    <w:p>
      <w:pPr>
        <w:ind w:left="800" w:hanging="150"/>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attract qualified scientific, product development, and commercial personnel;</w:t>
      </w:r>
    </w:p>
    <w:p>
      <w:pPr>
        <w:spacing w:after="0" w:line="154" w:lineRule="exact"/>
        <w:rPr>
          <w:rFonts w:ascii="Arial" w:cs="Arial" w:eastAsia="Arial" w:hAnsi="Arial"/>
          <w:sz w:val="18"/>
          <w:szCs w:val="18"/>
          <w:color w:val="auto"/>
        </w:rPr>
      </w:pPr>
    </w:p>
    <w:p>
      <w:pPr>
        <w:ind w:left="800" w:hanging="150"/>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patent or other proprietary protection for our technologies and product;</w:t>
      </w:r>
    </w:p>
    <w:p>
      <w:pPr>
        <w:spacing w:after="0" w:line="141" w:lineRule="exact"/>
        <w:rPr>
          <w:rFonts w:ascii="Arial" w:cs="Arial" w:eastAsia="Arial" w:hAnsi="Arial"/>
          <w:sz w:val="18"/>
          <w:szCs w:val="18"/>
          <w:color w:val="auto"/>
        </w:rPr>
      </w:pPr>
    </w:p>
    <w:p>
      <w:pPr>
        <w:ind w:left="820" w:right="440" w:hanging="170"/>
        <w:spacing w:after="0" w:line="255" w:lineRule="auto"/>
        <w:tabs>
          <w:tab w:leader="none" w:pos="8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required regulatory approvals, including approvals to market our product candidates in ways that are differentiated from existing and future therapies and OTC products and treatments;</w:t>
      </w:r>
    </w:p>
    <w:p>
      <w:pPr>
        <w:spacing w:after="0" w:line="135" w:lineRule="exact"/>
        <w:rPr>
          <w:rFonts w:ascii="Arial" w:cs="Arial" w:eastAsia="Arial" w:hAnsi="Arial"/>
          <w:sz w:val="18"/>
          <w:szCs w:val="18"/>
          <w:color w:val="auto"/>
        </w:rPr>
      </w:pPr>
    </w:p>
    <w:p>
      <w:pPr>
        <w:ind w:left="800" w:hanging="150"/>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successfully commercialize our product candidates, if approved;</w:t>
      </w:r>
    </w:p>
    <w:p>
      <w:pPr>
        <w:spacing w:after="0" w:line="154" w:lineRule="exact"/>
        <w:rPr>
          <w:rFonts w:ascii="Arial" w:cs="Arial" w:eastAsia="Arial" w:hAnsi="Arial"/>
          <w:sz w:val="18"/>
          <w:szCs w:val="18"/>
          <w:color w:val="auto"/>
        </w:rPr>
      </w:pPr>
    </w:p>
    <w:p>
      <w:pPr>
        <w:ind w:left="800" w:hanging="150"/>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coverage and adequate reimbursement from, and negotiate competitive pricing with, third-party payors; and</w:t>
      </w:r>
    </w:p>
    <w:p>
      <w:pPr>
        <w:spacing w:after="0" w:line="141" w:lineRule="exact"/>
        <w:rPr>
          <w:rFonts w:ascii="Arial" w:cs="Arial" w:eastAsia="Arial" w:hAnsi="Arial"/>
          <w:sz w:val="18"/>
          <w:szCs w:val="18"/>
          <w:color w:val="auto"/>
        </w:rPr>
      </w:pPr>
    </w:p>
    <w:p>
      <w:pPr>
        <w:ind w:left="800" w:hanging="150"/>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successfully collaborate with pharmaceutical companies in the discovery, development, and commercialization of new therapies.</w:t>
      </w: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120" w:firstLine="643"/>
        <w:spacing w:after="0" w:line="252" w:lineRule="auto"/>
        <w:rPr>
          <w:sz w:val="20"/>
          <w:szCs w:val="20"/>
          <w:color w:val="auto"/>
        </w:rPr>
      </w:pPr>
      <w:r>
        <w:rPr>
          <w:rFonts w:ascii="Arial" w:cs="Arial" w:eastAsia="Arial" w:hAnsi="Arial"/>
          <w:sz w:val="18"/>
          <w:szCs w:val="18"/>
          <w:color w:val="auto"/>
        </w:rPr>
        <w:t>The availability of our competitors’ products could limit the demand and the price we are able to charge for any product candidate we develop. The inability to compete with existing or subsequently introduced drugs or OTC treatments would have an adverse impact on our business, financial condition, and prospects.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155" w:lineRule="exact"/>
        <w:rPr>
          <w:sz w:val="20"/>
          <w:szCs w:val="20"/>
          <w:color w:val="auto"/>
        </w:rPr>
      </w:pPr>
    </w:p>
    <w:p>
      <w:pPr>
        <w:jc w:val="both"/>
        <w:ind w:right="520"/>
        <w:spacing w:after="0" w:line="281" w:lineRule="auto"/>
        <w:rPr>
          <w:sz w:val="20"/>
          <w:szCs w:val="20"/>
          <w:color w:val="auto"/>
        </w:rPr>
      </w:pPr>
      <w:r>
        <w:rPr>
          <w:rFonts w:ascii="Arial" w:cs="Arial" w:eastAsia="Arial" w:hAnsi="Arial"/>
          <w:sz w:val="18"/>
          <w:szCs w:val="18"/>
          <w:b w:val="1"/>
          <w:bCs w:val="1"/>
          <w:i w:val="1"/>
          <w:iCs w:val="1"/>
          <w:color w:val="auto"/>
        </w:rPr>
        <w:t>We will need to increase the size of our organization, and we may experience difficulties in executing our growth strategy, and managing any growth.</w:t>
      </w:r>
    </w:p>
    <w:p>
      <w:pPr>
        <w:spacing w:after="0" w:line="113" w:lineRule="exact"/>
        <w:rPr>
          <w:sz w:val="20"/>
          <w:szCs w:val="20"/>
          <w:color w:val="auto"/>
        </w:rPr>
      </w:pPr>
    </w:p>
    <w:p>
      <w:pPr>
        <w:jc w:val="both"/>
        <w:ind w:right="500" w:firstLine="643"/>
        <w:spacing w:after="0" w:line="252" w:lineRule="auto"/>
        <w:rPr>
          <w:sz w:val="20"/>
          <w:szCs w:val="20"/>
          <w:color w:val="auto"/>
        </w:rPr>
      </w:pPr>
      <w:r>
        <w:rPr>
          <w:rFonts w:ascii="Arial" w:cs="Arial" w:eastAsia="Arial" w:hAnsi="Arial"/>
          <w:sz w:val="18"/>
          <w:szCs w:val="18"/>
          <w:color w:val="auto"/>
        </w:rPr>
        <w:t>As of June 30, 2021, we had 108 full-time employees. We will need to continue to expand our managerial, clinical, commercial, operational, financial, and other resources in order to manage our operations and clinical trials, continue our development activities, and commercialize our lead product candidates or any future product candidates.</w:t>
      </w:r>
    </w:p>
    <w:p>
      <w:pPr>
        <w:spacing w:after="0" w:line="125" w:lineRule="exact"/>
        <w:rPr>
          <w:sz w:val="20"/>
          <w:szCs w:val="20"/>
          <w:color w:val="auto"/>
        </w:rPr>
      </w:pPr>
    </w:p>
    <w:p>
      <w:pPr>
        <w:ind w:right="780" w:firstLine="643"/>
        <w:spacing w:after="0" w:line="255" w:lineRule="auto"/>
        <w:rPr>
          <w:sz w:val="20"/>
          <w:szCs w:val="20"/>
          <w:color w:val="auto"/>
        </w:rPr>
      </w:pPr>
      <w:r>
        <w:rPr>
          <w:rFonts w:ascii="Arial" w:cs="Arial" w:eastAsia="Arial" w:hAnsi="Arial"/>
          <w:sz w:val="18"/>
          <w:szCs w:val="18"/>
          <w:color w:val="auto"/>
        </w:rPr>
        <w:t>In order to effectively execute our growth strategy, we will need to identify, recruit, retain, incentivize, and integrate additional employees in order to expand our ability to:</w:t>
      </w:r>
    </w:p>
    <w:p>
      <w:pPr>
        <w:spacing w:after="0" w:line="136" w:lineRule="exact"/>
        <w:rPr>
          <w:sz w:val="20"/>
          <w:szCs w:val="20"/>
          <w:color w:val="auto"/>
        </w:rPr>
      </w:pPr>
    </w:p>
    <w:p>
      <w:pPr>
        <w:ind w:left="800" w:hanging="150"/>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 a marketing, sales, and distribution capability;</w:t>
      </w:r>
    </w:p>
    <w:p>
      <w:pPr>
        <w:spacing w:after="0" w:line="154" w:lineRule="exact"/>
        <w:rPr>
          <w:rFonts w:ascii="Arial" w:cs="Arial" w:eastAsia="Arial" w:hAnsi="Arial"/>
          <w:sz w:val="18"/>
          <w:szCs w:val="18"/>
          <w:color w:val="auto"/>
        </w:rPr>
      </w:pPr>
    </w:p>
    <w:p>
      <w:pPr>
        <w:ind w:left="800" w:hanging="150"/>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 our commercialization activities for our product candidates effectively and in a cost-effective manner;</w:t>
      </w:r>
    </w:p>
    <w:p>
      <w:pPr>
        <w:spacing w:after="0" w:line="141" w:lineRule="exact"/>
        <w:rPr>
          <w:rFonts w:ascii="Arial" w:cs="Arial" w:eastAsia="Arial" w:hAnsi="Arial"/>
          <w:sz w:val="18"/>
          <w:szCs w:val="18"/>
          <w:color w:val="auto"/>
        </w:rPr>
      </w:pPr>
    </w:p>
    <w:p>
      <w:pPr>
        <w:ind w:left="800" w:hanging="150"/>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 and maintain relationships with development and commercialization partners;</w:t>
      </w:r>
    </w:p>
    <w:p>
      <w:pPr>
        <w:spacing w:after="0" w:line="154" w:lineRule="exact"/>
        <w:rPr>
          <w:rFonts w:ascii="Arial" w:cs="Arial" w:eastAsia="Arial" w:hAnsi="Arial"/>
          <w:sz w:val="18"/>
          <w:szCs w:val="18"/>
          <w:color w:val="auto"/>
        </w:rPr>
      </w:pPr>
    </w:p>
    <w:p>
      <w:pPr>
        <w:ind w:left="800" w:hanging="150"/>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154" w:lineRule="exact"/>
        <w:rPr>
          <w:rFonts w:ascii="Arial" w:cs="Arial" w:eastAsia="Arial" w:hAnsi="Arial"/>
          <w:sz w:val="18"/>
          <w:szCs w:val="18"/>
          <w:color w:val="auto"/>
        </w:rPr>
      </w:pPr>
    </w:p>
    <w:p>
      <w:pPr>
        <w:ind w:left="800" w:hanging="150"/>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 our internal development and operational efforts effectively while carrying out our contractual obligations to third parties;</w:t>
      </w:r>
    </w:p>
    <w:p>
      <w:pPr>
        <w:spacing w:after="0" w:line="141" w:lineRule="exact"/>
        <w:rPr>
          <w:rFonts w:ascii="Arial" w:cs="Arial" w:eastAsia="Arial" w:hAnsi="Arial"/>
          <w:sz w:val="18"/>
          <w:szCs w:val="18"/>
          <w:color w:val="auto"/>
        </w:rPr>
      </w:pPr>
    </w:p>
    <w:p>
      <w:pPr>
        <w:ind w:left="820" w:right="700" w:hanging="170"/>
        <w:spacing w:after="0" w:line="255" w:lineRule="auto"/>
        <w:tabs>
          <w:tab w:leader="none" w:pos="8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 to improve our operational, financial, management, and regulatory compliance controls and reporting systems and procedures; and</w:t>
      </w:r>
    </w:p>
    <w:p>
      <w:pPr>
        <w:spacing w:after="0" w:line="135" w:lineRule="exact"/>
        <w:rPr>
          <w:rFonts w:ascii="Arial" w:cs="Arial" w:eastAsia="Arial" w:hAnsi="Arial"/>
          <w:sz w:val="18"/>
          <w:szCs w:val="18"/>
          <w:color w:val="auto"/>
        </w:rPr>
      </w:pPr>
    </w:p>
    <w:p>
      <w:pPr>
        <w:ind w:left="820" w:right="120" w:hanging="170"/>
        <w:spacing w:after="0" w:line="255" w:lineRule="auto"/>
        <w:tabs>
          <w:tab w:leader="none" w:pos="8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 our third-party supply and manufacturing operations effectively and in a cost-effective manner, while increasing production capabilities for our current product candidates to commercial levels.</w:t>
      </w:r>
    </w:p>
    <w:p>
      <w:pPr>
        <w:spacing w:after="0" w:line="136" w:lineRule="exact"/>
        <w:rPr>
          <w:sz w:val="20"/>
          <w:szCs w:val="20"/>
          <w:color w:val="auto"/>
        </w:rPr>
      </w:pPr>
    </w:p>
    <w:p>
      <w:pPr>
        <w:ind w:right="220" w:firstLine="643"/>
        <w:spacing w:after="0" w:line="285" w:lineRule="auto"/>
        <w:rPr>
          <w:sz w:val="20"/>
          <w:szCs w:val="20"/>
          <w:color w:val="auto"/>
        </w:rPr>
      </w:pPr>
      <w:r>
        <w:rPr>
          <w:rFonts w:ascii="Arial" w:cs="Arial" w:eastAsia="Arial" w:hAnsi="Arial"/>
          <w:sz w:val="17"/>
          <w:szCs w:val="17"/>
          <w:color w:val="auto"/>
        </w:rPr>
        <w:t>If we are unable to successfully identify, recruit, retain, incentivize and integrate additional employees and otherwise expand our managerial, operational, financial, and other resources, our business and operational performance will be materially and adversely affected.</w:t>
      </w:r>
    </w:p>
    <w:p>
      <w:pPr>
        <w:spacing w:after="0" w:line="76" w:lineRule="exact"/>
        <w:rPr>
          <w:sz w:val="20"/>
          <w:szCs w:val="20"/>
          <w:color w:val="auto"/>
        </w:rPr>
      </w:pPr>
    </w:p>
    <w:p>
      <w:pPr>
        <w:ind w:right="460"/>
        <w:spacing w:after="0" w:line="281" w:lineRule="auto"/>
        <w:rPr>
          <w:sz w:val="20"/>
          <w:szCs w:val="20"/>
          <w:color w:val="auto"/>
        </w:rPr>
      </w:pPr>
      <w:r>
        <w:rPr>
          <w:rFonts w:ascii="Arial" w:cs="Arial" w:eastAsia="Arial" w:hAnsi="Arial"/>
          <w:sz w:val="18"/>
          <w:szCs w:val="18"/>
          <w:b w:val="1"/>
          <w:bCs w:val="1"/>
          <w:i w:val="1"/>
          <w:iCs w:val="1"/>
          <w:color w:val="auto"/>
        </w:rPr>
        <w:t>If we are not successful in acquiring, developing, and commercializing additional product candidates, our ability to expand our business and achieve our strategic objectives would be impaired.</w:t>
      </w:r>
    </w:p>
    <w:p>
      <w:pPr>
        <w:spacing w:after="0" w:line="113" w:lineRule="exact"/>
        <w:rPr>
          <w:sz w:val="20"/>
          <w:szCs w:val="20"/>
          <w:color w:val="auto"/>
        </w:rPr>
      </w:pPr>
    </w:p>
    <w:p>
      <w:pPr>
        <w:ind w:firstLine="643"/>
        <w:spacing w:after="0" w:line="249" w:lineRule="auto"/>
        <w:rPr>
          <w:sz w:val="20"/>
          <w:szCs w:val="20"/>
          <w:color w:val="auto"/>
        </w:rPr>
      </w:pPr>
      <w:r>
        <w:rPr>
          <w:rFonts w:ascii="Arial" w:cs="Arial" w:eastAsia="Arial" w:hAnsi="Arial"/>
          <w:sz w:val="18"/>
          <w:szCs w:val="18"/>
          <w:color w:val="auto"/>
        </w:rPr>
        <w:t>Although a substantial amount of our effort will focus on the continued preclinical and clinical testing and potential approval of our current product candidates, a key element of our strategy is to acquire, develop, and commercialize a diverse portfolio of product candidates to serve the dermatology market. We do not currently intend to conduct drug discovery efforts, but rather we intend to formulate, acquire, or in-license rights to existing molecules to develop for dermatological indications. In addition, while we believe that our strategy allows us to move more rapidly through clinical development and at a potentially lower cost, we may be unable to progress product candidates more quickly or at a lower cost.</w:t>
      </w:r>
    </w:p>
    <w:p>
      <w:pPr>
        <w:spacing w:after="0" w:line="144" w:lineRule="exact"/>
        <w:rPr>
          <w:sz w:val="20"/>
          <w:szCs w:val="20"/>
          <w:color w:val="auto"/>
        </w:rPr>
      </w:pPr>
    </w:p>
    <w:p>
      <w:pPr>
        <w:ind w:right="80" w:firstLine="643"/>
        <w:spacing w:after="0" w:line="255" w:lineRule="auto"/>
        <w:rPr>
          <w:sz w:val="20"/>
          <w:szCs w:val="20"/>
          <w:color w:val="auto"/>
        </w:rPr>
      </w:pPr>
      <w:r>
        <w:rPr>
          <w:rFonts w:ascii="Arial" w:cs="Arial" w:eastAsia="Arial" w:hAnsi="Arial"/>
          <w:sz w:val="18"/>
          <w:szCs w:val="18"/>
          <w:color w:val="auto"/>
        </w:rPr>
        <w:t>In the event we seek to identify and acquire or in-license additional product candidates in the dermatology field, our process for doing so may be slow and may ultimately be unsuccessful for a number of reasons, including those discussed in these risk factors and also:</w:t>
      </w:r>
    </w:p>
    <w:p>
      <w:pPr>
        <w:spacing w:after="0" w:line="123" w:lineRule="exact"/>
        <w:rPr>
          <w:sz w:val="20"/>
          <w:szCs w:val="20"/>
          <w:color w:val="auto"/>
        </w:rPr>
      </w:pPr>
    </w:p>
    <w:p>
      <w:pPr>
        <w:ind w:left="820" w:right="320" w:hanging="170"/>
        <w:spacing w:after="0" w:line="255" w:lineRule="auto"/>
        <w:tabs>
          <w:tab w:leader="none" w:pos="8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product candidates may, upon further study, be shown to have harmful side effects or other characteristics that indicate that they are unlikely to be products that will receive marketing approval and achieve market acceptance;</w:t>
      </w:r>
    </w:p>
    <w:p>
      <w:pPr>
        <w:spacing w:after="0" w:line="135" w:lineRule="exact"/>
        <w:rPr>
          <w:rFonts w:ascii="Arial" w:cs="Arial" w:eastAsia="Arial" w:hAnsi="Arial"/>
          <w:sz w:val="18"/>
          <w:szCs w:val="18"/>
          <w:color w:val="auto"/>
        </w:rPr>
      </w:pPr>
    </w:p>
    <w:p>
      <w:pPr>
        <w:ind w:left="800" w:hanging="150"/>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product candidates may not be effective in treating their targeted diseases; or</w:t>
      </w:r>
    </w:p>
    <w:p>
      <w:pPr>
        <w:spacing w:after="0" w:line="141" w:lineRule="exact"/>
        <w:rPr>
          <w:rFonts w:ascii="Arial" w:cs="Arial" w:eastAsia="Arial" w:hAnsi="Arial"/>
          <w:sz w:val="18"/>
          <w:szCs w:val="18"/>
          <w:color w:val="auto"/>
        </w:rPr>
      </w:pPr>
    </w:p>
    <w:p>
      <w:pPr>
        <w:ind w:left="820" w:right="320" w:hanging="170"/>
        <w:spacing w:after="0" w:line="252" w:lineRule="auto"/>
        <w:tabs>
          <w:tab w:leader="none" w:pos="8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acquisition or in-licensing transactions can entail numerous operational and functional risks, including exposure to unknown liabilities, disruption of our business, or incurrence of substantial debt or dilutive issuances of equity securities to pay transaction consideration or costs, or higher than expected acquisition or integration costs.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firstLine="643"/>
        <w:spacing w:after="0" w:line="250" w:lineRule="auto"/>
        <w:rPr>
          <w:sz w:val="20"/>
          <w:szCs w:val="20"/>
          <w:color w:val="auto"/>
        </w:rPr>
      </w:pPr>
      <w:r>
        <w:rPr>
          <w:rFonts w:ascii="Arial" w:cs="Arial" w:eastAsia="Arial" w:hAnsi="Arial"/>
          <w:sz w:val="18"/>
          <w:szCs w:val="18"/>
          <w:color w:val="auto"/>
        </w:rPr>
        <w:t>We may choose to focus our efforts and resources on in-licensing or acquiring a potential product candidate that ultimately proves to be unsuccessful. We also cannot be certain that, following an acquisition or in-licensing transaction, we will achieve the revenue or specific net income that justifies such transaction. If we are unable to identify and acquire suitable product candidates for clinical development, this would adversely impact our business strategy, our financial position, and share price.</w:t>
      </w:r>
    </w:p>
    <w:p>
      <w:pPr>
        <w:spacing w:after="0" w:line="106" w:lineRule="exact"/>
        <w:rPr>
          <w:sz w:val="20"/>
          <w:szCs w:val="20"/>
          <w:color w:val="auto"/>
        </w:rPr>
      </w:pPr>
    </w:p>
    <w:p>
      <w:pPr>
        <w:ind w:right="80"/>
        <w:spacing w:after="0" w:line="281" w:lineRule="auto"/>
        <w:rPr>
          <w:sz w:val="20"/>
          <w:szCs w:val="20"/>
          <w:color w:val="auto"/>
        </w:rPr>
      </w:pPr>
      <w:r>
        <w:rPr>
          <w:rFonts w:ascii="Arial" w:cs="Arial" w:eastAsia="Arial" w:hAnsi="Arial"/>
          <w:sz w:val="18"/>
          <w:szCs w:val="18"/>
          <w:b w:val="1"/>
          <w:bCs w:val="1"/>
          <w:i w:val="1"/>
          <w:iCs w:val="1"/>
          <w:color w:val="auto"/>
        </w:rPr>
        <w:t>Any collaboration arrangements that we may enter into in the future may not be successful, which could adversely affect our ability to develop and commercialize future product candidates.</w:t>
      </w:r>
    </w:p>
    <w:p>
      <w:pPr>
        <w:spacing w:after="0" w:line="113" w:lineRule="exact"/>
        <w:rPr>
          <w:sz w:val="20"/>
          <w:szCs w:val="20"/>
          <w:color w:val="auto"/>
        </w:rPr>
      </w:pPr>
    </w:p>
    <w:p>
      <w:pPr>
        <w:ind w:right="100" w:firstLine="643"/>
        <w:spacing w:after="0" w:line="249" w:lineRule="auto"/>
        <w:rPr>
          <w:sz w:val="20"/>
          <w:szCs w:val="20"/>
          <w:color w:val="auto"/>
        </w:rPr>
      </w:pPr>
      <w:r>
        <w:rPr>
          <w:rFonts w:ascii="Arial" w:cs="Arial" w:eastAsia="Arial" w:hAnsi="Arial"/>
          <w:sz w:val="18"/>
          <w:szCs w:val="18"/>
          <w:color w:val="auto"/>
        </w:rPr>
        <w:t>We may seek collaboration arrangements for the commercialization, or potentially for the development, of certain of our product candidates depending on the merits of retaining commercialization rights for ourselves as compared to entering into collaboration arrangements. We will face, to the extent that we decide to enter into collaboration agreements, significant competition in seeking appropriate collaborators. Moreover, collaboration arrangements are complex and time-consuming to negotiate, document, implement, and maintain. We may not be successful in our efforts to establish and implement collaborations or other alternative arrangements should we so chose to enter into such arrangements. The terms of any collaborations or other arrangements that we may establish may not be favorable to us. Any future collaborations that we enter into may not be successful. The success of our collaboration arrangements will depend heavily on the efforts and activities of our collaborators. Collaborations are subject to numerous risks, which may include risks that:</w:t>
      </w:r>
    </w:p>
    <w:p>
      <w:pPr>
        <w:spacing w:after="0" w:line="143" w:lineRule="exact"/>
        <w:rPr>
          <w:sz w:val="20"/>
          <w:szCs w:val="20"/>
          <w:color w:val="auto"/>
        </w:rPr>
      </w:pPr>
    </w:p>
    <w:p>
      <w:pPr>
        <w:ind w:left="800" w:hanging="150"/>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collaborations;</w:t>
      </w:r>
    </w:p>
    <w:p>
      <w:pPr>
        <w:spacing w:after="0" w:line="141" w:lineRule="exact"/>
        <w:rPr>
          <w:rFonts w:ascii="Arial" w:cs="Arial" w:eastAsia="Arial" w:hAnsi="Arial"/>
          <w:sz w:val="18"/>
          <w:szCs w:val="18"/>
          <w:color w:val="auto"/>
        </w:rPr>
      </w:pPr>
    </w:p>
    <w:p>
      <w:pPr>
        <w:ind w:left="820" w:right="40" w:hanging="170"/>
        <w:spacing w:after="0" w:line="250" w:lineRule="auto"/>
        <w:tabs>
          <w:tab w:leader="none" w:pos="8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programs based on clinical trial results, changes in their strategic focus due to their acquisition of competitive products or their internal development of competitive products, availability of funding or other external factors, such as a business combination that diverts resources or creates competing priorities;</w:t>
      </w:r>
    </w:p>
    <w:p>
      <w:pPr>
        <w:spacing w:after="0" w:line="141" w:lineRule="exact"/>
        <w:rPr>
          <w:rFonts w:ascii="Arial" w:cs="Arial" w:eastAsia="Arial" w:hAnsi="Arial"/>
          <w:sz w:val="18"/>
          <w:szCs w:val="18"/>
          <w:color w:val="auto"/>
        </w:rPr>
      </w:pPr>
    </w:p>
    <w:p>
      <w:pPr>
        <w:ind w:left="820" w:right="200" w:hanging="170"/>
        <w:spacing w:after="0" w:line="255" w:lineRule="auto"/>
        <w:tabs>
          <w:tab w:leader="none" w:pos="8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abandon a product candidate, repeat or conduct new clinical trials, or require a new formulation of a product candidate for clinical testing;</w:t>
      </w:r>
    </w:p>
    <w:p>
      <w:pPr>
        <w:spacing w:after="0" w:line="135" w:lineRule="exact"/>
        <w:rPr>
          <w:rFonts w:ascii="Arial" w:cs="Arial" w:eastAsia="Arial" w:hAnsi="Arial"/>
          <w:sz w:val="18"/>
          <w:szCs w:val="18"/>
          <w:color w:val="auto"/>
        </w:rPr>
      </w:pPr>
    </w:p>
    <w:p>
      <w:pPr>
        <w:ind w:left="820" w:right="700" w:hanging="170"/>
        <w:spacing w:after="0" w:line="255" w:lineRule="auto"/>
        <w:tabs>
          <w:tab w:leader="none" w:pos="8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w:t>
      </w:r>
    </w:p>
    <w:p>
      <w:pPr>
        <w:spacing w:after="0" w:line="122" w:lineRule="exact"/>
        <w:rPr>
          <w:rFonts w:ascii="Arial" w:cs="Arial" w:eastAsia="Arial" w:hAnsi="Arial"/>
          <w:sz w:val="18"/>
          <w:szCs w:val="18"/>
          <w:color w:val="auto"/>
        </w:rPr>
      </w:pPr>
    </w:p>
    <w:p>
      <w:pPr>
        <w:ind w:left="820" w:right="600" w:hanging="170"/>
        <w:spacing w:after="0" w:line="255" w:lineRule="auto"/>
        <w:tabs>
          <w:tab w:leader="none" w:pos="8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collaborator with sales, marketing, manufacturing, and distribution rights to one or more products may not commit sufficient resources to or otherwise not perform satisfactorily in carrying out these activities;</w:t>
      </w:r>
    </w:p>
    <w:p>
      <w:pPr>
        <w:spacing w:after="0" w:line="135" w:lineRule="exact"/>
        <w:rPr>
          <w:rFonts w:ascii="Arial" w:cs="Arial" w:eastAsia="Arial" w:hAnsi="Arial"/>
          <w:sz w:val="18"/>
          <w:szCs w:val="18"/>
          <w:color w:val="auto"/>
        </w:rPr>
      </w:pPr>
    </w:p>
    <w:p>
      <w:pPr>
        <w:ind w:left="800" w:hanging="150"/>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54" w:lineRule="exact"/>
        <w:rPr>
          <w:rFonts w:ascii="Arial" w:cs="Arial" w:eastAsia="Arial" w:hAnsi="Arial"/>
          <w:sz w:val="18"/>
          <w:szCs w:val="18"/>
          <w:color w:val="auto"/>
        </w:rPr>
      </w:pPr>
    </w:p>
    <w:p>
      <w:pPr>
        <w:ind w:left="820" w:right="160" w:hanging="170"/>
        <w:spacing w:after="0" w:line="252" w:lineRule="auto"/>
        <w:tabs>
          <w:tab w:leader="none" w:pos="8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24" w:lineRule="exact"/>
        <w:rPr>
          <w:rFonts w:ascii="Arial" w:cs="Arial" w:eastAsia="Arial" w:hAnsi="Arial"/>
          <w:sz w:val="18"/>
          <w:szCs w:val="18"/>
          <w:color w:val="auto"/>
        </w:rPr>
      </w:pPr>
    </w:p>
    <w:p>
      <w:pPr>
        <w:ind w:left="820" w:right="20" w:hanging="170"/>
        <w:spacing w:after="0" w:line="252" w:lineRule="auto"/>
        <w:tabs>
          <w:tab w:leader="none" w:pos="8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disputes may arise between us and a collaborator that causes the delay or termination of the research, development, or commercialization of our current or future product candidates or that results in costly litigation or arbitration that diverts management attention and resources;</w:t>
      </w:r>
    </w:p>
    <w:p>
      <w:pPr>
        <w:spacing w:after="0" w:line="137" w:lineRule="exact"/>
        <w:rPr>
          <w:rFonts w:ascii="Arial" w:cs="Arial" w:eastAsia="Arial" w:hAnsi="Arial"/>
          <w:sz w:val="18"/>
          <w:szCs w:val="18"/>
          <w:color w:val="auto"/>
        </w:rPr>
      </w:pPr>
    </w:p>
    <w:p>
      <w:pPr>
        <w:ind w:left="820" w:right="20" w:hanging="170"/>
        <w:spacing w:after="0" w:line="255" w:lineRule="auto"/>
        <w:tabs>
          <w:tab w:leader="none" w:pos="8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this may result in a need for additional capital to pursue further development or commercialization of the applicable current or future product candidates;</w:t>
      </w:r>
    </w:p>
    <w:p>
      <w:pPr>
        <w:spacing w:after="0" w:line="135" w:lineRule="exact"/>
        <w:rPr>
          <w:rFonts w:ascii="Arial" w:cs="Arial" w:eastAsia="Arial" w:hAnsi="Arial"/>
          <w:sz w:val="18"/>
          <w:szCs w:val="18"/>
          <w:color w:val="auto"/>
        </w:rPr>
      </w:pPr>
    </w:p>
    <w:p>
      <w:pPr>
        <w:ind w:left="820" w:right="240" w:hanging="170"/>
        <w:spacing w:after="0" w:line="255" w:lineRule="auto"/>
        <w:tabs>
          <w:tab w:leader="none" w:pos="8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products that results from our collaborating with them, and in such cases, we would not have the exclusive right to develop or commercialize such intellectual property;</w:t>
      </w:r>
    </w:p>
    <w:p>
      <w:pPr>
        <w:spacing w:after="0" w:line="122" w:lineRule="exact"/>
        <w:rPr>
          <w:rFonts w:ascii="Arial" w:cs="Arial" w:eastAsia="Arial" w:hAnsi="Arial"/>
          <w:sz w:val="18"/>
          <w:szCs w:val="18"/>
          <w:color w:val="auto"/>
        </w:rPr>
      </w:pPr>
    </w:p>
    <w:p>
      <w:pPr>
        <w:ind w:left="800" w:hanging="150"/>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any intellectual property developed pursuant to our collaborations; and</w:t>
      </w:r>
    </w:p>
    <w:p>
      <w:pPr>
        <w:spacing w:after="0" w:line="154" w:lineRule="exact"/>
        <w:rPr>
          <w:rFonts w:ascii="Arial" w:cs="Arial" w:eastAsia="Arial" w:hAnsi="Arial"/>
          <w:sz w:val="18"/>
          <w:szCs w:val="18"/>
          <w:color w:val="auto"/>
        </w:rPr>
      </w:pPr>
    </w:p>
    <w:p>
      <w:pPr>
        <w:ind w:left="820" w:right="120" w:hanging="170"/>
        <w:spacing w:after="0" w:line="255" w:lineRule="auto"/>
        <w:tabs>
          <w:tab w:leader="none" w:pos="8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80" w:firstLine="643"/>
        <w:spacing w:after="0" w:line="249" w:lineRule="auto"/>
        <w:rPr>
          <w:sz w:val="20"/>
          <w:szCs w:val="20"/>
          <w:color w:val="auto"/>
        </w:rPr>
      </w:pPr>
      <w:r>
        <w:rPr>
          <w:rFonts w:ascii="Arial" w:cs="Arial" w:eastAsia="Arial" w:hAnsi="Arial"/>
          <w:sz w:val="18"/>
          <w:szCs w:val="18"/>
          <w:color w:val="auto"/>
        </w:rPr>
        <w:t>Furthermore, we cannot assure you that following any such collaboration, or other strategic transaction, we will achieve the expected synergies to justify the transaction. For example, such transactions may require us to incur non-recurring or other charges, increase our near-and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w:t>
      </w:r>
    </w:p>
    <w:p>
      <w:pPr>
        <w:spacing w:after="0" w:line="107" w:lineRule="exact"/>
        <w:rPr>
          <w:sz w:val="20"/>
          <w:szCs w:val="20"/>
          <w:color w:val="auto"/>
        </w:rPr>
      </w:pPr>
    </w:p>
    <w:p>
      <w:pPr>
        <w:ind w:right="1540"/>
        <w:spacing w:after="0" w:line="281"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current or future product candidates.</w:t>
      </w:r>
    </w:p>
    <w:p>
      <w:pPr>
        <w:spacing w:after="0" w:line="113" w:lineRule="exact"/>
        <w:rPr>
          <w:sz w:val="20"/>
          <w:szCs w:val="20"/>
          <w:color w:val="auto"/>
        </w:rPr>
      </w:pPr>
    </w:p>
    <w:p>
      <w:pPr>
        <w:ind w:firstLine="643"/>
        <w:spacing w:after="0" w:line="266"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warranty.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30" w:lineRule="exact"/>
        <w:rPr>
          <w:sz w:val="20"/>
          <w:szCs w:val="20"/>
          <w:color w:val="auto"/>
        </w:rPr>
      </w:pPr>
    </w:p>
    <w:p>
      <w:pPr>
        <w:ind w:left="800" w:hanging="150"/>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decreased demand for our current or future product candidates;</w:t>
      </w:r>
    </w:p>
    <w:p>
      <w:pPr>
        <w:spacing w:after="0" w:line="141" w:lineRule="exact"/>
        <w:rPr>
          <w:rFonts w:ascii="Arial" w:cs="Arial" w:eastAsia="Arial" w:hAnsi="Arial"/>
          <w:sz w:val="18"/>
          <w:szCs w:val="18"/>
          <w:color w:val="auto"/>
        </w:rPr>
      </w:pPr>
    </w:p>
    <w:p>
      <w:pPr>
        <w:ind w:left="800" w:hanging="150"/>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54" w:lineRule="exact"/>
        <w:rPr>
          <w:rFonts w:ascii="Arial" w:cs="Arial" w:eastAsia="Arial" w:hAnsi="Arial"/>
          <w:sz w:val="18"/>
          <w:szCs w:val="18"/>
          <w:color w:val="auto"/>
        </w:rPr>
      </w:pPr>
    </w:p>
    <w:p>
      <w:pPr>
        <w:ind w:left="800" w:hanging="150"/>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54" w:lineRule="exact"/>
        <w:rPr>
          <w:rFonts w:ascii="Arial" w:cs="Arial" w:eastAsia="Arial" w:hAnsi="Arial"/>
          <w:sz w:val="18"/>
          <w:szCs w:val="18"/>
          <w:color w:val="auto"/>
        </w:rPr>
      </w:pPr>
    </w:p>
    <w:p>
      <w:pPr>
        <w:ind w:left="800" w:hanging="150"/>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41" w:lineRule="exact"/>
        <w:rPr>
          <w:rFonts w:ascii="Arial" w:cs="Arial" w:eastAsia="Arial" w:hAnsi="Arial"/>
          <w:sz w:val="18"/>
          <w:szCs w:val="18"/>
          <w:color w:val="auto"/>
        </w:rPr>
      </w:pPr>
    </w:p>
    <w:p>
      <w:pPr>
        <w:ind w:left="800" w:hanging="150"/>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54" w:lineRule="exact"/>
        <w:rPr>
          <w:rFonts w:ascii="Arial" w:cs="Arial" w:eastAsia="Arial" w:hAnsi="Arial"/>
          <w:sz w:val="18"/>
          <w:szCs w:val="18"/>
          <w:color w:val="auto"/>
        </w:rPr>
      </w:pPr>
    </w:p>
    <w:p>
      <w:pPr>
        <w:ind w:left="800" w:hanging="150"/>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54" w:lineRule="exact"/>
        <w:rPr>
          <w:rFonts w:ascii="Arial" w:cs="Arial" w:eastAsia="Arial" w:hAnsi="Arial"/>
          <w:sz w:val="18"/>
          <w:szCs w:val="18"/>
          <w:color w:val="auto"/>
        </w:rPr>
      </w:pPr>
    </w:p>
    <w:p>
      <w:pPr>
        <w:ind w:left="800" w:hanging="150"/>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investigations, product recalls, withdrawals or labeling, marketing or promotional restrictions;</w:t>
      </w:r>
    </w:p>
    <w:p>
      <w:pPr>
        <w:spacing w:after="0" w:line="141" w:lineRule="exact"/>
        <w:rPr>
          <w:rFonts w:ascii="Arial" w:cs="Arial" w:eastAsia="Arial" w:hAnsi="Arial"/>
          <w:sz w:val="18"/>
          <w:szCs w:val="18"/>
          <w:color w:val="auto"/>
        </w:rPr>
      </w:pPr>
    </w:p>
    <w:p>
      <w:pPr>
        <w:ind w:left="800" w:hanging="150"/>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54" w:lineRule="exact"/>
        <w:rPr>
          <w:rFonts w:ascii="Arial" w:cs="Arial" w:eastAsia="Arial" w:hAnsi="Arial"/>
          <w:sz w:val="18"/>
          <w:szCs w:val="18"/>
          <w:color w:val="auto"/>
        </w:rPr>
      </w:pPr>
    </w:p>
    <w:p>
      <w:pPr>
        <w:ind w:left="800" w:hanging="150"/>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commercialize our current or any future product candidates.</w:t>
      </w:r>
    </w:p>
    <w:p>
      <w:pPr>
        <w:spacing w:after="0" w:line="155" w:lineRule="exact"/>
        <w:rPr>
          <w:sz w:val="20"/>
          <w:szCs w:val="20"/>
          <w:color w:val="auto"/>
        </w:rPr>
      </w:pPr>
    </w:p>
    <w:p>
      <w:pPr>
        <w:ind w:firstLine="643"/>
        <w:spacing w:after="0" w:line="265" w:lineRule="auto"/>
        <w:rPr>
          <w:sz w:val="20"/>
          <w:szCs w:val="20"/>
          <w:color w:val="auto"/>
        </w:rPr>
      </w:pPr>
      <w:r>
        <w:rPr>
          <w:rFonts w:ascii="Arial" w:cs="Arial" w:eastAsia="Arial" w:hAnsi="Arial"/>
          <w:sz w:val="17"/>
          <w:szCs w:val="17"/>
          <w:color w:val="auto"/>
        </w:rPr>
        <w:t>Our inability to obtain and maintain sufficient product liability insurance at an acceptable cost and scope of coverage to protect against potential product liability claims could prevent or inhibit the commercialization of our current or any future product candidates we develop. Although we currently carry product liability insurance covering our clinical trials,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funds to pay such amounts. Moreover, in the future, we may not be able to maintain insurance coverage at a reasonable cost or in sufficient amounts to protect us against losses. If and when we obtain approval for marketing any of our product candidates, we intend to expand our insurance coverage to include the sale of such product candidate; however, we may be unable to obtain this liability insurance on commercially reasonable terms or at all.</w:t>
      </w: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We incur significant costs as a result of operating as a public company, and our management devotes substantial time to new compliance initiatives. We may fail to comply with the rules that apply to public companies, including Section 404 of the Sarbanes-Oxley Act of 2002, which could result in sanctions or other penalties that would harm our business.</w:t>
      </w:r>
    </w:p>
    <w:p>
      <w:pPr>
        <w:spacing w:after="0" w:line="116" w:lineRule="exact"/>
        <w:rPr>
          <w:sz w:val="20"/>
          <w:szCs w:val="20"/>
          <w:color w:val="auto"/>
        </w:rPr>
      </w:pPr>
    </w:p>
    <w:p>
      <w:pPr>
        <w:ind w:right="40" w:firstLine="643"/>
        <w:spacing w:after="0" w:line="249" w:lineRule="auto"/>
        <w:rPr>
          <w:sz w:val="20"/>
          <w:szCs w:val="20"/>
          <w:color w:val="auto"/>
        </w:rPr>
      </w:pPr>
      <w:r>
        <w:rPr>
          <w:rFonts w:ascii="Arial" w:cs="Arial" w:eastAsia="Arial" w:hAnsi="Arial"/>
          <w:sz w:val="18"/>
          <w:szCs w:val="18"/>
          <w:color w:val="auto"/>
        </w:rPr>
        <w:t>We have incurred and will continue to incur significant legal, accounting, and other expenses as a public company, including costs resulting from public company reporting obligations under the Securities Exchange Act of 1934, or the Exchange Act, and regulations regarding corporate governance practices. The listing requirements of the Nasdaq Global Select Market and the rules of the SEC require that we satisfy certain corporate governance requirements relating to director independence, filing annual and interim reports, stockholder meetings, approvals and voting, soliciting proxies, conflicts of interest, and a code of conduct. Our management and other personnel devote a substantial amount of time to ensure that we comply with all of these requirements. Moreover, the reporting requirements, rules and regulations increase our legal and financial compliance costs and make some activities more time-consuming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41" w:lineRule="exact"/>
        <w:rPr>
          <w:sz w:val="20"/>
          <w:szCs w:val="20"/>
          <w:color w:val="auto"/>
        </w:rPr>
      </w:pPr>
    </w:p>
    <w:p>
      <w:pPr>
        <w:ind w:right="80" w:firstLine="643"/>
        <w:spacing w:after="0" w:line="249" w:lineRule="auto"/>
        <w:rPr>
          <w:sz w:val="20"/>
          <w:szCs w:val="20"/>
          <w:color w:val="auto"/>
        </w:rPr>
      </w:pPr>
      <w:r>
        <w:rPr>
          <w:rFonts w:ascii="Arial" w:cs="Arial" w:eastAsia="Arial" w:hAnsi="Arial"/>
          <w:sz w:val="18"/>
          <w:szCs w:val="18"/>
          <w:color w:val="auto"/>
        </w:rPr>
        <w:t>We are subject to Section 404 of The Sarbanes-Oxley Act of 2002 (Section 404) and the related rules of the SEC, which generally require our management and independent registered public accounting firm to report on the effectiveness of our internal control over financial reporting. Section 404 requires an annual management assessment of the effectiveness of our internal control over financial reporting. However, for so long as we remain an emerging growth company as defined in the JOBS Act, we intend to take advantage of certain exemptions from various reporting requirements, including, but not limited to, not being required to comply with the auditor attestation requirements of Section 404. As of June 30, 2021, we determined that we will become a "large accelerated filer" under the rules of the SEC and we will no longer be classified as an emerging growth company as of December 31, 2021. Once we are no longer an emerging growth company we will be required to include an opinion from our independent registered public accounting firm on the effectiveness of our internal controls over financial reporting.</w:t>
      </w:r>
    </w:p>
    <w:p>
      <w:pPr>
        <w:spacing w:after="0" w:line="143" w:lineRule="exact"/>
        <w:rPr>
          <w:sz w:val="20"/>
          <w:szCs w:val="20"/>
          <w:color w:val="auto"/>
        </w:rPr>
      </w:pPr>
    </w:p>
    <w:p>
      <w:pPr>
        <w:ind w:firstLine="643"/>
        <w:spacing w:after="0" w:line="249" w:lineRule="auto"/>
        <w:rPr>
          <w:sz w:val="20"/>
          <w:szCs w:val="20"/>
          <w:color w:val="auto"/>
        </w:rPr>
      </w:pPr>
      <w:r>
        <w:rPr>
          <w:rFonts w:ascii="Arial" w:cs="Arial" w:eastAsia="Arial" w:hAnsi="Arial"/>
          <w:sz w:val="18"/>
          <w:szCs w:val="18"/>
          <w:color w:val="auto"/>
        </w:rPr>
        <w:t>During the course of our review and testing of our internal controls over financial reporting,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Select Market or other adverse consequences that would materially harm to our business.</w:t>
      </w:r>
    </w:p>
    <w:p>
      <w:pPr>
        <w:spacing w:after="0" w:line="10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We depend on our information technology systems, and any failure of these systems, or those of our CROs or other contractors or consultants we may utilize, could harm our business. Security breaches, cyber-attacks, loss of data, and other disruptions could compromise sensitive information related to our business or prevent us from accessing critical information and expose us to liability, which could adversely affect our business, results of operations, financial condition, and prospects.</w:t>
      </w:r>
    </w:p>
    <w:p>
      <w:pPr>
        <w:spacing w:after="0" w:line="133" w:lineRule="exact"/>
        <w:rPr>
          <w:sz w:val="20"/>
          <w:szCs w:val="20"/>
          <w:color w:val="auto"/>
        </w:rPr>
      </w:pPr>
    </w:p>
    <w:p>
      <w:pPr>
        <w:ind w:firstLine="643"/>
        <w:spacing w:after="0" w:line="249" w:lineRule="auto"/>
        <w:rPr>
          <w:sz w:val="20"/>
          <w:szCs w:val="20"/>
          <w:color w:val="auto"/>
        </w:rPr>
      </w:pPr>
      <w:r>
        <w:rPr>
          <w:rFonts w:ascii="Arial" w:cs="Arial" w:eastAsia="Arial" w:hAnsi="Arial"/>
          <w:sz w:val="18"/>
          <w:szCs w:val="18"/>
          <w:color w:val="auto"/>
        </w:rPr>
        <w:t>We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confidentiality and integrity of such confidential information. We have established physical, electronic, and organizational measures to safeguard and secure our systems to prevent a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contractors and consultants, and other third parties on which we rely, are vulnerable to damage from computer viruses, malware, natural disasters, terrorism,</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war, telecommunication and electrical failures, cyber-attacks or cyber-intrusions over the Internet, attachments to emails, persons inside our organization, or persons with access to systems inside our organization.</w:t>
      </w:r>
    </w:p>
    <w:p>
      <w:pPr>
        <w:spacing w:after="0" w:line="123" w:lineRule="exact"/>
        <w:rPr>
          <w:sz w:val="20"/>
          <w:szCs w:val="20"/>
          <w:color w:val="auto"/>
        </w:rPr>
      </w:pPr>
    </w:p>
    <w:p>
      <w:pPr>
        <w:ind w:firstLine="643"/>
        <w:spacing w:after="0" w:line="248" w:lineRule="auto"/>
        <w:rPr>
          <w:sz w:val="20"/>
          <w:szCs w:val="20"/>
          <w:color w:val="auto"/>
        </w:rPr>
      </w:pPr>
      <w:r>
        <w:rPr>
          <w:rFonts w:ascii="Arial" w:cs="Arial" w:eastAsia="Arial" w:hAnsi="Arial"/>
          <w:sz w:val="18"/>
          <w:szCs w:val="18"/>
          <w:color w:val="auto"/>
        </w:rPr>
        <w:t>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 Moreover, 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and state privacy and security laws (and other similar non-U.S. laws), if applicable, including HIPAA, as amended by HITECH, and regulations implemented thereunder, as well as regulations promulgated by the Federal Trade Commission and state breach notification laws. We would also be exposed to a risk of loss or litigation and potential liability, which could materially adversely affect our business, results of operations, and financial condition.</w:t>
      </w:r>
    </w:p>
    <w:p>
      <w:pPr>
        <w:spacing w:after="0" w:line="131" w:lineRule="exact"/>
        <w:rPr>
          <w:sz w:val="20"/>
          <w:szCs w:val="20"/>
          <w:color w:val="auto"/>
        </w:rPr>
      </w:pPr>
    </w:p>
    <w:p>
      <w:pPr>
        <w:ind w:right="500"/>
        <w:spacing w:after="0" w:line="287" w:lineRule="auto"/>
        <w:rPr>
          <w:sz w:val="20"/>
          <w:szCs w:val="20"/>
          <w:color w:val="auto"/>
        </w:rPr>
      </w:pPr>
      <w:r>
        <w:rPr>
          <w:rFonts w:ascii="Arial" w:cs="Arial" w:eastAsia="Arial" w:hAnsi="Arial"/>
          <w:sz w:val="17"/>
          <w:szCs w:val="17"/>
          <w:b w:val="1"/>
          <w:bCs w:val="1"/>
          <w:i w:val="1"/>
          <w:iCs w:val="1"/>
          <w:color w:val="auto"/>
        </w:rPr>
        <w:t>Our future commercial partners, as well as our employees and independent contractors, including principal investigators, consultants, suppliers, service providers, and other vendors may engage in misconduct or other improper activities, including noncompliance with regulatory standards and requirements, which could have an adverse effect on our results of operations.</w:t>
      </w:r>
    </w:p>
    <w:p>
      <w:pPr>
        <w:spacing w:after="0" w:line="111" w:lineRule="exact"/>
        <w:rPr>
          <w:sz w:val="20"/>
          <w:szCs w:val="20"/>
          <w:color w:val="auto"/>
        </w:rPr>
      </w:pPr>
    </w:p>
    <w:p>
      <w:pPr>
        <w:ind w:right="100" w:firstLine="643"/>
        <w:spacing w:after="0" w:line="248" w:lineRule="auto"/>
        <w:rPr>
          <w:sz w:val="20"/>
          <w:szCs w:val="20"/>
          <w:color w:val="auto"/>
        </w:rPr>
      </w:pPr>
      <w:r>
        <w:rPr>
          <w:rFonts w:ascii="Arial" w:cs="Arial" w:eastAsia="Arial" w:hAnsi="Arial"/>
          <w:sz w:val="18"/>
          <w:szCs w:val="18"/>
          <w:color w:val="auto"/>
        </w:rPr>
        <w:t>We are exposed to the risk that our future commercial partners, as well as our employees and independent contractors, including principal investigators, consultants, suppliers, service providers, and other vendors may engage in misconduct or other illegal activity. Misconduct by these parties could include intentional, reckless and/or negligent conduct or other unauthorized activities that violate the laws and regulations of the FDA and other similar foreign regulatory authorities, including those laws that require the reporting of true, complete, and accurate information to such foreign regulatory authorities; manufacturing standards; U.S. federal and state healthcare fraud and abuse, data privacy laws and other similar non-U.S. laws; or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product, which could result in regulatory sanctions and cause serious harm to our reputation. It is not always possible to identify and deter misconduct by employees and other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U.S. healthcare programs,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118" w:lineRule="exact"/>
        <w:rPr>
          <w:sz w:val="20"/>
          <w:szCs w:val="20"/>
          <w:color w:val="auto"/>
        </w:rPr>
      </w:pPr>
    </w:p>
    <w:p>
      <w:pPr>
        <w:ind w:right="280"/>
        <w:spacing w:after="0" w:line="281" w:lineRule="auto"/>
        <w:rPr>
          <w:sz w:val="20"/>
          <w:szCs w:val="20"/>
          <w:color w:val="auto"/>
        </w:rPr>
      </w:pPr>
      <w:r>
        <w:rPr>
          <w:rFonts w:ascii="Arial" w:cs="Arial" w:eastAsia="Arial" w:hAnsi="Arial"/>
          <w:sz w:val="18"/>
          <w:szCs w:val="18"/>
          <w:b w:val="1"/>
          <w:bCs w:val="1"/>
          <w:i w:val="1"/>
          <w:iCs w:val="1"/>
          <w:color w:val="auto"/>
        </w:rPr>
        <w:t>Our business involves the use of hazardous materials and we and our third-party manufacturers and suppliers must comply with environmental laws and regulations, which can be expensive and restrict how we do business.</w:t>
      </w:r>
    </w:p>
    <w:p>
      <w:pPr>
        <w:spacing w:after="0" w:line="113" w:lineRule="exact"/>
        <w:rPr>
          <w:sz w:val="20"/>
          <w:szCs w:val="20"/>
          <w:color w:val="auto"/>
        </w:rPr>
      </w:pPr>
    </w:p>
    <w:p>
      <w:pPr>
        <w:ind w:right="60" w:firstLine="643"/>
        <w:spacing w:after="0" w:line="250" w:lineRule="auto"/>
        <w:rPr>
          <w:sz w:val="20"/>
          <w:szCs w:val="20"/>
          <w:color w:val="auto"/>
        </w:rPr>
      </w:pPr>
      <w:r>
        <w:rPr>
          <w:rFonts w:ascii="Arial" w:cs="Arial" w:eastAsia="Arial" w:hAnsi="Arial"/>
          <w:sz w:val="18"/>
          <w:szCs w:val="18"/>
          <w:color w:val="auto"/>
        </w:rPr>
        <w:t>Our research and development activities and our third-party manufacturers’ and suppliers’ activities involve the controlled storage, use, and disposal of hazardous materials owned by us, including the components of our product and product candidates and other hazardous compounds. We and our manufacturers and suppliers are subject to laws and regulations governing the use, manufacture, storage, handling, and disposal of these hazardous materials. In some cases, these hazardous materials and various wastes resulting from their use are stored at our</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and our manufacturers’ facilities pending their use and disposal. We cannot eliminate the risk of contamination,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5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b w:val="1"/>
          <w:bCs w:val="1"/>
          <w:i w:val="1"/>
          <w:iCs w:val="1"/>
          <w:color w:val="auto"/>
        </w:rPr>
        <w:t>We currently rely on third-party manufacturers to manufacture preclinical and clinical supplies of our product candidates and we intend to rely on third parties to produce commercial supplies of any approved product candidate. Business changes at any of these manufacturers, or their failure to provide us with sufficient quantities at acceptable quality levels, or at all, would materially and adversely affect our business.</w:t>
      </w:r>
    </w:p>
    <w:p>
      <w:pPr>
        <w:spacing w:after="0" w:line="133" w:lineRule="exact"/>
        <w:rPr>
          <w:sz w:val="20"/>
          <w:szCs w:val="20"/>
          <w:color w:val="auto"/>
        </w:rPr>
      </w:pPr>
    </w:p>
    <w:p>
      <w:pPr>
        <w:ind w:right="20" w:firstLine="643"/>
        <w:spacing w:after="0" w:line="249" w:lineRule="auto"/>
        <w:rPr>
          <w:sz w:val="20"/>
          <w:szCs w:val="20"/>
          <w:color w:val="auto"/>
        </w:rPr>
      </w:pPr>
      <w:r>
        <w:rPr>
          <w:rFonts w:ascii="Arial" w:cs="Arial" w:eastAsia="Arial" w:hAnsi="Arial"/>
          <w:sz w:val="18"/>
          <w:szCs w:val="18"/>
          <w:color w:val="auto"/>
        </w:rPr>
        <w:t>We do not currently have the infrastructure or capability internally to manufacture supplies of our product candidates or the materials necessary to produce our product candidates for use in the conduct of our preclinical studies or clinical trials, and we lack the internal resources and the capability to manufacture any of our product candidates on a preclinical, clinical, or commercial scale. Instead, we currently rely on single source third-party manufacturers to manufacture preclinical and clinical supplies of our product candidates and we intend to rely on third parties to produce commercial supplies of any approved product candidate. We have successfully manufactured and tested several batches of our topical roflumilast product candidates at our primary commercial contract manufacturing site at the initial commercial scale. However, as a late-stage company with no prior history of product sales or commercialization of products, representative batches of our product candidate received to date may not represent what will be required to meet our future commercial requirements or be manufactured at final commercial scale.</w:t>
      </w:r>
    </w:p>
    <w:p>
      <w:pPr>
        <w:spacing w:after="0" w:line="129" w:lineRule="exact"/>
        <w:rPr>
          <w:sz w:val="20"/>
          <w:szCs w:val="20"/>
          <w:color w:val="auto"/>
        </w:rPr>
      </w:pPr>
    </w:p>
    <w:p>
      <w:pPr>
        <w:ind w:right="80" w:firstLine="643"/>
        <w:spacing w:after="0" w:line="249" w:lineRule="auto"/>
        <w:rPr>
          <w:sz w:val="20"/>
          <w:szCs w:val="20"/>
          <w:color w:val="auto"/>
        </w:rPr>
      </w:pPr>
      <w:r>
        <w:rPr>
          <w:rFonts w:ascii="Arial" w:cs="Arial" w:eastAsia="Arial" w:hAnsi="Arial"/>
          <w:sz w:val="18"/>
          <w:szCs w:val="18"/>
          <w:color w:val="auto"/>
        </w:rPr>
        <w:t>We and the manufacturers of our products rely on suppliers of raw materials used in the production of our products. Some of these materials are available from only one source. Although we have engaged in a commercial supply agreement and scale-up activities with our Drug Substance contract manufacturing organization (CMO), we have not yet finalized a Drug Product manufacturing agreement for the commercial supply of our product candidates. We intend to enter into such agreements prior to commercial launch of any of our product candidates, we may be unable to enter into any such agreement or do so on commercially reasonable terms, which could have a material adverse impact upon our business. Moreover, if there is a disruption to one or more of our third-party suppliers’ relevant operations, or if we are unable to enter into arrangements for the commercial manufacture of our product candidates, we will have no other means of producing our lead product candidates until the affected facilities are restored or alternative manufacturing facilities or sources of supply are procured. Our ability to progress our preclinical and clinical programs could be materially and adversely impacted if any of the third-party suppliers upon which we rely were to experience a significant business challenge, disruption or failure due to issues such as financial difficulties or bankruptcy, issues relating to other customers such as regulatory or quality compliance issues, or other financial, legal, regulatory, or reputational issues. Additionally, any damage to or destruction of our third-party manufacturer’s facilities or equipment may significantly impair our ability to manufacture our product candidates on a timely basis.</w:t>
      </w:r>
    </w:p>
    <w:p>
      <w:pPr>
        <w:spacing w:after="0" w:line="141" w:lineRule="exact"/>
        <w:rPr>
          <w:sz w:val="20"/>
          <w:szCs w:val="20"/>
          <w:color w:val="auto"/>
        </w:rPr>
      </w:pPr>
    </w:p>
    <w:p>
      <w:pPr>
        <w:ind w:right="120" w:firstLine="643"/>
        <w:spacing w:after="0" w:line="249" w:lineRule="auto"/>
        <w:rPr>
          <w:sz w:val="20"/>
          <w:szCs w:val="20"/>
          <w:color w:val="auto"/>
        </w:rPr>
      </w:pPr>
      <w:r>
        <w:rPr>
          <w:rFonts w:ascii="Arial" w:cs="Arial" w:eastAsia="Arial" w:hAnsi="Arial"/>
          <w:sz w:val="18"/>
          <w:szCs w:val="18"/>
          <w:color w:val="auto"/>
        </w:rPr>
        <w:t>Furthermore, there are a limited number of suppliers for materials we use in our product candidates, which exposes us to the risk of disruption in the supply of the materials necessary to manufacture our product candidates for our preclinical studies and clinical trials, and if approved, ultimately for commercial sale. In the case of ARQ-252 and ARQ-255, we have an agreement with Hengrui for the supply of SHR0302 API for preclinical studies and clinical trials. We do not have control over the process or timing of the acquisition or manufacture of materials by our manufacturers. In addition, any significant delay in, or quality control problems with respect to, the supply of a product candidate, or the raw material components thereof, for an ongoing study or trial could considerably delay completion of our preclinical studies or clinical trials, product testing, and potential regulatory approval of our product candidates.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80" w:firstLine="643"/>
        <w:spacing w:after="0" w:line="249" w:lineRule="auto"/>
        <w:rPr>
          <w:sz w:val="20"/>
          <w:szCs w:val="20"/>
          <w:color w:val="auto"/>
        </w:rPr>
      </w:pPr>
      <w:r>
        <w:rPr>
          <w:rFonts w:ascii="Arial" w:cs="Arial" w:eastAsia="Arial" w:hAnsi="Arial"/>
          <w:sz w:val="18"/>
          <w:szCs w:val="18"/>
          <w:color w:val="auto"/>
        </w:rPr>
        <w:t>In addition, to manufacture our product candidates in the quantities that we believe would be required to meet anticipated market demand, our third-party manufacturers may need to increase manufacturing capacity and, in some cases, we plan to secure alternative sources of commercial supply, which could involve significant challenges and may require additional regulatory approvals. Neither we nor our third-party manufacturers may successfully complete any required increase to existing manufacturing capacity in a timely manner, or at all. If either we or our manufacturers are unable to purchase the raw materials necessary for the manufacture of our product candidates on acceptable terms, at sufficient quality levels, or in adequate quantities, if at all, the commercial launch of our lead product candidates or any future product candidates would be delayed or there would be a shortage in supply, which would impair our ability to generate revenues from the sale of such product candidates, if approved.</w:t>
      </w:r>
    </w:p>
    <w:p>
      <w:pPr>
        <w:spacing w:after="0" w:line="130" w:lineRule="exact"/>
        <w:rPr>
          <w:sz w:val="20"/>
          <w:szCs w:val="20"/>
          <w:color w:val="auto"/>
        </w:rPr>
      </w:pPr>
    </w:p>
    <w:p>
      <w:pPr>
        <w:ind w:right="100" w:firstLine="643"/>
        <w:spacing w:after="0" w:line="255" w:lineRule="auto"/>
        <w:rPr>
          <w:sz w:val="20"/>
          <w:szCs w:val="20"/>
          <w:color w:val="auto"/>
        </w:rPr>
      </w:pPr>
      <w:r>
        <w:rPr>
          <w:rFonts w:ascii="Arial" w:cs="Arial" w:eastAsia="Arial" w:hAnsi="Arial"/>
          <w:sz w:val="18"/>
          <w:szCs w:val="18"/>
          <w:color w:val="auto"/>
        </w:rPr>
        <w:t>The loss of these suppliers or their failure to comply with applicable regulatory requirements or to provide us with sufficient quantities at acceptable quality levels or prices, or at all, would materially and adversely affect our business.</w:t>
      </w:r>
    </w:p>
    <w:p>
      <w:pPr>
        <w:spacing w:after="0" w:line="114" w:lineRule="exact"/>
        <w:rPr>
          <w:sz w:val="20"/>
          <w:szCs w:val="20"/>
          <w:color w:val="auto"/>
        </w:rPr>
      </w:pPr>
    </w:p>
    <w:p>
      <w:pPr>
        <w:ind w:right="100"/>
        <w:spacing w:after="0" w:line="281" w:lineRule="auto"/>
        <w:rPr>
          <w:sz w:val="20"/>
          <w:szCs w:val="20"/>
          <w:color w:val="auto"/>
        </w:rPr>
      </w:pPr>
      <w:r>
        <w:rPr>
          <w:rFonts w:ascii="Arial" w:cs="Arial" w:eastAsia="Arial" w:hAnsi="Arial"/>
          <w:sz w:val="18"/>
          <w:szCs w:val="18"/>
          <w:b w:val="1"/>
          <w:bCs w:val="1"/>
          <w:i w:val="1"/>
          <w:iCs w:val="1"/>
          <w:color w:val="auto"/>
        </w:rPr>
        <w:t>If our third-party manufacturers fail to comply with manufacturing or other regulations, our financial results and financial condition will be adversely affected.</w:t>
      </w:r>
    </w:p>
    <w:p>
      <w:pPr>
        <w:spacing w:after="0" w:line="113" w:lineRule="exact"/>
        <w:rPr>
          <w:sz w:val="20"/>
          <w:szCs w:val="20"/>
          <w:color w:val="auto"/>
        </w:rPr>
      </w:pPr>
    </w:p>
    <w:p>
      <w:pPr>
        <w:ind w:right="280" w:firstLine="643"/>
        <w:spacing w:after="0" w:line="252" w:lineRule="auto"/>
        <w:rPr>
          <w:sz w:val="20"/>
          <w:szCs w:val="20"/>
          <w:color w:val="auto"/>
        </w:rPr>
      </w:pPr>
      <w:r>
        <w:rPr>
          <w:rFonts w:ascii="Arial" w:cs="Arial" w:eastAsia="Arial" w:hAnsi="Arial"/>
          <w:sz w:val="18"/>
          <w:szCs w:val="18"/>
          <w:color w:val="auto"/>
        </w:rPr>
        <w:t>If our contract manufacturers cannot successfully manufacture material that conforms to our specifications and the strict regulatory requirements of the FDA or comparable regulatory authorities in foreign jurisdictions, we may not be able to rely on their manufacturing facilities for the manufacture or our product candidates.</w:t>
      </w:r>
    </w:p>
    <w:p>
      <w:pPr>
        <w:spacing w:after="0" w:line="125" w:lineRule="exact"/>
        <w:rPr>
          <w:sz w:val="20"/>
          <w:szCs w:val="20"/>
          <w:color w:val="auto"/>
        </w:rPr>
      </w:pPr>
    </w:p>
    <w:p>
      <w:pPr>
        <w:ind w:firstLine="643"/>
        <w:spacing w:after="0" w:line="249" w:lineRule="auto"/>
        <w:rPr>
          <w:sz w:val="20"/>
          <w:szCs w:val="20"/>
          <w:color w:val="auto"/>
        </w:rPr>
      </w:pPr>
      <w:r>
        <w:rPr>
          <w:rFonts w:ascii="Arial" w:cs="Arial" w:eastAsia="Arial" w:hAnsi="Arial"/>
          <w:sz w:val="18"/>
          <w:szCs w:val="18"/>
          <w:color w:val="auto"/>
        </w:rPr>
        <w:t>Before beginning commercial manufacture of ARQ-151 roflumilast cream, ARQ-154 roflumilast foam, ARQ-252, or ARQ-255, the processes and systems used in their manufacture must be approved and each facility must have a compliance status that is acceptable to the FDA and other regulatory authorities. In addition, pharmaceutical manufacturing facilities are continuously subject to inspection by the FDA and foreign regulatory authorities before and after product approval. Due to the complexity of the processes used to manufacture pharmaceutical products and product candidates, any potential third-party manufacturer may be unable to continue to pass or initially pass federal, state, or international regulatory inspections. Furthermore, although we have very limited control over the day-to-day operations of our contract manufacturers, we are responsible for ensuring compliance with applicable laws and regulations, including cGMPs.</w:t>
      </w:r>
    </w:p>
    <w:p>
      <w:pPr>
        <w:spacing w:after="0" w:line="144" w:lineRule="exact"/>
        <w:rPr>
          <w:sz w:val="20"/>
          <w:szCs w:val="20"/>
          <w:color w:val="auto"/>
        </w:rPr>
      </w:pPr>
    </w:p>
    <w:p>
      <w:pPr>
        <w:ind w:right="320" w:firstLine="643"/>
        <w:spacing w:after="0" w:line="270" w:lineRule="auto"/>
        <w:rPr>
          <w:sz w:val="20"/>
          <w:szCs w:val="20"/>
          <w:color w:val="auto"/>
        </w:rPr>
      </w:pPr>
      <w:r>
        <w:rPr>
          <w:rFonts w:ascii="Arial" w:cs="Arial" w:eastAsia="Arial" w:hAnsi="Arial"/>
          <w:sz w:val="17"/>
          <w:szCs w:val="17"/>
          <w:color w:val="auto"/>
        </w:rPr>
        <w:t>If a third-party manufacturer with whom we contract is unable to comply with applicable laws and regulations including cGMPs, roflumilast cream, roflumilast foam, ARQ-252, or ARQ-255 may not be approved, or we may be subject to fines, unanticipated compliance expenses, recall or seizure of our products, total or partial suspension of production and/or enforcement actions, including injunctions, and criminal or civil prosecution. These possible sanctions would adversely affect our financial results and financial condition.</w:t>
      </w:r>
    </w:p>
    <w:p>
      <w:pPr>
        <w:spacing w:after="0" w:line="10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We rely on third parties to conduct our non-clinical studies and our clinical trials. If these third parties do not successfully carry out their contractual duties or meet expected deadlines, we may be unable to obtain regulatory approval for or commercialize roflumilast cream, roflumilast foam, ARQ-252, ARQ-255, or any future product candidates.</w:t>
      </w:r>
    </w:p>
    <w:p>
      <w:pPr>
        <w:spacing w:after="0" w:line="116" w:lineRule="exact"/>
        <w:rPr>
          <w:sz w:val="20"/>
          <w:szCs w:val="20"/>
          <w:color w:val="auto"/>
        </w:rPr>
      </w:pPr>
    </w:p>
    <w:p>
      <w:pPr>
        <w:ind w:right="40" w:firstLine="643"/>
        <w:spacing w:after="0" w:line="249" w:lineRule="auto"/>
        <w:rPr>
          <w:sz w:val="20"/>
          <w:szCs w:val="20"/>
          <w:color w:val="auto"/>
        </w:rPr>
      </w:pPr>
      <w:r>
        <w:rPr>
          <w:rFonts w:ascii="Arial" w:cs="Arial" w:eastAsia="Arial" w:hAnsi="Arial"/>
          <w:sz w:val="18"/>
          <w:szCs w:val="18"/>
          <w:color w:val="auto"/>
        </w:rPr>
        <w:t>We do not have the ability to independently conduct non-clinical studies and clinical trials. We rely on third parties, such as CROs, to conduct preclinical studies and clinical trials of roflumilast cream, roflumilast foam, ARQ-252, and ARQ-255. The third parties with whom we contract for execution of our preclinical studies and clinical trials play a significant role in the conduct of these studies and trials and the subsequent collection and analysis of data. However, these third parties are not our employees, and except for contractual duties and obligations, we have limited ability to control the amount or timing of resources that they devote to our programs. These third parties may also have relationships with other commercial entities, some of which may compete with us. In some cases, these third parties could terminate their agreements with us without cause. Furthermore, external events such as the COVID-19 pandemic could interfere with some operations of these CROs.</w:t>
      </w:r>
    </w:p>
    <w:p>
      <w:pPr>
        <w:spacing w:after="0" w:line="143" w:lineRule="exact"/>
        <w:rPr>
          <w:sz w:val="20"/>
          <w:szCs w:val="20"/>
          <w:color w:val="auto"/>
        </w:rPr>
      </w:pPr>
    </w:p>
    <w:p>
      <w:pPr>
        <w:ind w:right="140" w:firstLine="643"/>
        <w:spacing w:after="0" w:line="249" w:lineRule="auto"/>
        <w:rPr>
          <w:sz w:val="20"/>
          <w:szCs w:val="20"/>
          <w:color w:val="auto"/>
        </w:rPr>
      </w:pPr>
      <w:r>
        <w:rPr>
          <w:rFonts w:ascii="Arial" w:cs="Arial" w:eastAsia="Arial" w:hAnsi="Arial"/>
          <w:sz w:val="18"/>
          <w:szCs w:val="18"/>
          <w:color w:val="auto"/>
        </w:rPr>
        <w:t>Although we rely on third parties to conduct our preclinical studies and clinical trials, we remain responsible for ensuring that each of our preclinical studies and clinical trials is conducted in accordance with its investigational plan and protocol. Moreover, the FDA and foreign regulatory authorities require us to comply with regulations and standards, including some regulations commonly referred to as GCPs, for conducting, monitoring, recording, and reporting the results of clinical trials to ensure that the data and results are scientifically credible and accurate, and that appropriate human subjects protections are in place, including that the trial subjects are adequately informed of the potential risks and other consequences of participating in clinical trials.</w:t>
      </w: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firstLine="643"/>
        <w:spacing w:after="0" w:line="249" w:lineRule="auto"/>
        <w:rPr>
          <w:sz w:val="20"/>
          <w:szCs w:val="20"/>
          <w:color w:val="auto"/>
        </w:rPr>
      </w:pPr>
      <w:r>
        <w:rPr>
          <w:rFonts w:ascii="Arial" w:cs="Arial" w:eastAsia="Arial" w:hAnsi="Arial"/>
          <w:sz w:val="18"/>
          <w:szCs w:val="18"/>
          <w:color w:val="auto"/>
        </w:rPr>
        <w:t>In addition, the execution of non-clinical studies and clinical trials, and the subsequent compilation and analysis of the data produced, requires coordination among various parties. In order for these functions to be carried out effectively and efficiently, it is imperative that these parties communicate and coordinate with one another. If the third parties conducting our clinical trials do not perform their contractual duties or obligations, experience work stoppages, do not meet expected deadlines, terminate their agreements with us or need to be replaced, or if the quality or accuracy of the clinical data they obtain is compromised due to the failure to adhere to our clinical trial protocols or GCPs, or for any other reason, we may need to enter into new arrangements with alternative third parties, which could be difficult, costly, or impossible, and our clinical trials may be extended, delayed or terminated, or may need to be repeated, which would have a material adverse effect on our business.</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55" w:lineRule="exact"/>
        <w:rPr>
          <w:sz w:val="20"/>
          <w:szCs w:val="20"/>
          <w:color w:val="auto"/>
        </w:rPr>
      </w:pPr>
    </w:p>
    <w:p>
      <w:pPr>
        <w:ind w:right="880"/>
        <w:spacing w:after="0" w:line="281" w:lineRule="auto"/>
        <w:rPr>
          <w:sz w:val="20"/>
          <w:szCs w:val="20"/>
          <w:color w:val="auto"/>
        </w:rPr>
      </w:pPr>
      <w:r>
        <w:rPr>
          <w:rFonts w:ascii="Arial" w:cs="Arial" w:eastAsia="Arial" w:hAnsi="Arial"/>
          <w:sz w:val="18"/>
          <w:szCs w:val="18"/>
          <w:b w:val="1"/>
          <w:bCs w:val="1"/>
          <w:i w:val="1"/>
          <w:iCs w:val="1"/>
          <w:color w:val="auto"/>
        </w:rPr>
        <w:t>We may not be able to obtain, maintain or enforce patent rights or other intellectual property rights that cover our product candidates and technologies that are of sufficient breadth to prevent third parties from competing against us.</w:t>
      </w:r>
    </w:p>
    <w:p>
      <w:pPr>
        <w:spacing w:after="0" w:line="113" w:lineRule="exact"/>
        <w:rPr>
          <w:sz w:val="20"/>
          <w:szCs w:val="20"/>
          <w:color w:val="auto"/>
        </w:rPr>
      </w:pPr>
    </w:p>
    <w:p>
      <w:pPr>
        <w:ind w:right="40" w:firstLine="643"/>
        <w:spacing w:after="0" w:line="250" w:lineRule="auto"/>
        <w:rPr>
          <w:sz w:val="20"/>
          <w:szCs w:val="20"/>
          <w:color w:val="auto"/>
        </w:rPr>
      </w:pPr>
      <w:r>
        <w:rPr>
          <w:rFonts w:ascii="Arial" w:cs="Arial" w:eastAsia="Arial" w:hAnsi="Arial"/>
          <w:sz w:val="18"/>
          <w:szCs w:val="18"/>
          <w:color w:val="auto"/>
        </w:rPr>
        <w:t>Our success with respect to our product candidates and technologies will depend in part on our and our licensors’ ability to obtain and maintain patent protection in both the United States and other countries, to preserve our trade secrets and to prevent third parties from infringing upon our proprietary rights. Our ability to protect any of our product candidates from unauthorized or infringing use by third parties depends in substantial part on our ability to obtain and maintain valid and enforceable patents.</w:t>
      </w:r>
    </w:p>
    <w:p>
      <w:pPr>
        <w:spacing w:after="0" w:line="128" w:lineRule="exact"/>
        <w:rPr>
          <w:sz w:val="20"/>
          <w:szCs w:val="20"/>
          <w:color w:val="auto"/>
        </w:rPr>
      </w:pPr>
    </w:p>
    <w:p>
      <w:pPr>
        <w:ind w:right="20" w:firstLine="643"/>
        <w:spacing w:after="0" w:line="250" w:lineRule="auto"/>
        <w:rPr>
          <w:sz w:val="20"/>
          <w:szCs w:val="20"/>
          <w:color w:val="auto"/>
        </w:rPr>
      </w:pPr>
      <w:r>
        <w:rPr>
          <w:rFonts w:ascii="Arial" w:cs="Arial" w:eastAsia="Arial" w:hAnsi="Arial"/>
          <w:sz w:val="18"/>
          <w:szCs w:val="18"/>
          <w:color w:val="auto"/>
        </w:rPr>
        <w:t>Our patent portfolio includes patents and patent applications in the United States and foreign jurisdictions where we believe there is a market opportunity for our products. The covered technology and the scope of coverage vary from country to country. For those countries where we do not have granted patents, we may not have any ability to prevent the unauthorized use of our technologies. Any patents that we may obtain may be narrow in scope and thus easily circumvented by competitors. Further, in countries where we do not have granted patents, third parties may be able to make, use, or sell products identical to or substantially similar to, our product candidates.</w:t>
      </w:r>
    </w:p>
    <w:p>
      <w:pPr>
        <w:spacing w:after="0" w:line="140" w:lineRule="exact"/>
        <w:rPr>
          <w:sz w:val="20"/>
          <w:szCs w:val="20"/>
          <w:color w:val="auto"/>
        </w:rPr>
      </w:pPr>
    </w:p>
    <w:p>
      <w:pPr>
        <w:ind w:firstLine="643"/>
        <w:spacing w:after="0" w:line="249" w:lineRule="auto"/>
        <w:rPr>
          <w:sz w:val="20"/>
          <w:szCs w:val="20"/>
          <w:color w:val="auto"/>
        </w:rPr>
      </w:pPr>
      <w:r>
        <w:rPr>
          <w:rFonts w:ascii="Arial" w:cs="Arial" w:eastAsia="Arial" w:hAnsi="Arial"/>
          <w:sz w:val="18"/>
          <w:szCs w:val="18"/>
          <w:color w:val="auto"/>
        </w:rPr>
        <w:t>The patent application process, also known as patent prosecution, is expensive and time-consuming, and we and our current licensors, or any future licensors or licensees may not be able to prepare, file, and prosecute all necessary or desirable patent applications at a reasonable cost or in a timely manner. It is also possible that we or our current licensors, or any future licensors or licensees, will fail to identify patentable aspects of inventions made in the course of development and commercialization activities before it is too late to obtain patent protection on them. Therefore, our patents and applications may not be prosecuted, and as a result may not be able to be enforced in a manner consistent with the best interests of our business. It is possible that defects of form in the 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know-how to our processes, methods, and know-how which we consider our trade secrets. Any of these outcomes could impair our ability to prevent competition from third parties, which may have an adverse impact on our business, financial condition, and operating results.</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firstLine="643"/>
        <w:spacing w:after="0" w:line="264" w:lineRule="auto"/>
        <w:rPr>
          <w:sz w:val="20"/>
          <w:szCs w:val="20"/>
          <w:color w:val="auto"/>
        </w:rPr>
      </w:pPr>
      <w:r>
        <w:rPr>
          <w:rFonts w:ascii="Arial" w:cs="Arial" w:eastAsia="Arial" w:hAnsi="Arial"/>
          <w:sz w:val="17"/>
          <w:szCs w:val="17"/>
          <w:color w:val="auto"/>
        </w:rPr>
        <w:t>Due to legal standards relating to patentability, validity, enforceability, and claim scope of patents covering pharmaceutical inventions, our and our licensor’s ability to obtain, maintain, and enforce patents is uncertain and involves complex legal and factual questions. Accordingly, rights under our existing patents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 In addition, we cannot guarantee that any patents will issue from any pending or future patent applications owned by or licensed to us. Even with respect to our patents that have issued or will issue, we cannot guarantee that the claims of these patents are or will be held valid or enforceable by the courts or will provide us with any significant protection against competitive products or otherwise be commercially valuable to us.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or our licensors were the first to make the inventions claimed in our patents or pending patent applications, or that we or our licensors were the first to file for patent protection of such inventions. As a result, the issuance, scope, validity, enforceability, and commercial value of our patent rights are highly uncertain. Our pending and future patent applications may not result in patents being issued that protect our technology or drugs, in whole or in part, or which effectively prevent others from commercializing competitive technologies and drugs. Changes in either the patent laws or interpretation of the patent laws in the United States and other countries may diminish the value of our patents or narrow the scope of our patent protection.</w:t>
      </w:r>
    </w:p>
    <w:p>
      <w:pPr>
        <w:spacing w:after="0" w:line="122" w:lineRule="exact"/>
        <w:rPr>
          <w:sz w:val="20"/>
          <w:szCs w:val="20"/>
          <w:color w:val="auto"/>
        </w:rPr>
      </w:pPr>
    </w:p>
    <w:p>
      <w:pPr>
        <w:ind w:firstLine="643"/>
        <w:spacing w:after="0" w:line="249" w:lineRule="auto"/>
        <w:rPr>
          <w:sz w:val="20"/>
          <w:szCs w:val="20"/>
          <w:color w:val="auto"/>
        </w:rPr>
      </w:pPr>
      <w:r>
        <w:rPr>
          <w:rFonts w:ascii="Arial" w:cs="Arial" w:eastAsia="Arial" w:hAnsi="Arial"/>
          <w:sz w:val="18"/>
          <w:szCs w:val="18"/>
          <w:color w:val="auto"/>
        </w:rPr>
        <w:t>Competitors in the field of dermatologic therapeutics have created a substantial amount of prior art, including scientific publications, patents, and patent applications. Our ability to obtain and maintain valid and enforceable patents depends on whether the differences between our technology and the prior art allow our technology to be patentable over the prior art. Although we believe that our technology includes certain inventions that are unique and not duplicative of any prior art, we do not have outstanding issued patents covering all of the recent developments in our technology and we are unsure of the patent protection that we will be successful in obtaining, if any, over such aspects of our technology. Even if patents do successfully issue covering such aspects of our technology, third parties may design around or challenge the validity, enforceability, or scope of such issued patents or any other issued patents we own or license, which may result in such patents being narrowed, invalidated, or held unenforceable. If the breadth or strength of protection provided by the patents we own or license with respect to our product candidates is challenged, it could dissuade companies from collaborating with us to develop, or threaten our ability to commercialize, our product candidates. Even if the patent applications that we own or license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technologies or drugs in a non-infringing manner.</w:t>
      </w:r>
    </w:p>
    <w:p>
      <w:pPr>
        <w:spacing w:after="0" w:line="141" w:lineRule="exact"/>
        <w:rPr>
          <w:sz w:val="20"/>
          <w:szCs w:val="20"/>
          <w:color w:val="auto"/>
        </w:rPr>
      </w:pPr>
    </w:p>
    <w:p>
      <w:pPr>
        <w:ind w:right="40" w:firstLine="643"/>
        <w:spacing w:after="0" w:line="249" w:lineRule="auto"/>
        <w:rPr>
          <w:sz w:val="20"/>
          <w:szCs w:val="20"/>
          <w:color w:val="auto"/>
        </w:rPr>
      </w:pPr>
      <w:r>
        <w:rPr>
          <w:rFonts w:ascii="Arial" w:cs="Arial" w:eastAsia="Arial" w:hAnsi="Arial"/>
          <w:sz w:val="18"/>
          <w:szCs w:val="18"/>
          <w:color w:val="auto"/>
        </w:rPr>
        <w:t>The laws of some foreign jurisdictions do not provide intellectual property rights to the same extent as in the United States and many companies have encountered significant difficulties in protecting and defending such rights in foreign jurisdictions. If we encounter such difficulties in protecting or are otherwise precluded from effectively protecting our intellectual property in foreign jurisdictions, our business prospects could be substantially harmed. The patent positions of pharmaceutical and biotechnology companies can be highly uncertain and involve complex legal and factual questions for which important legal principles remain unresolved. Changes in either the patent laws or in the interpretations of patent laws in the United States and other countries may diminish the value of our intellectual property. Accordingly, we cannot predict the breadth of claims that may be allowed or enforced in our patents or in third-party patents.</w:t>
      </w:r>
    </w:p>
    <w:p>
      <w:pPr>
        <w:spacing w:after="0" w:line="144" w:lineRule="exact"/>
        <w:rPr>
          <w:sz w:val="20"/>
          <w:szCs w:val="20"/>
          <w:color w:val="auto"/>
        </w:rPr>
      </w:pPr>
    </w:p>
    <w:p>
      <w:pPr>
        <w:ind w:right="60" w:firstLine="643"/>
        <w:spacing w:after="0" w:line="255" w:lineRule="auto"/>
        <w:rPr>
          <w:sz w:val="20"/>
          <w:szCs w:val="20"/>
          <w:color w:val="auto"/>
        </w:rPr>
      </w:pPr>
      <w:r>
        <w:rPr>
          <w:rFonts w:ascii="Arial" w:cs="Arial" w:eastAsia="Arial" w:hAnsi="Arial"/>
          <w:sz w:val="18"/>
          <w:szCs w:val="18"/>
          <w:color w:val="auto"/>
        </w:rPr>
        <w:t>The degree of future protection of our proprietary rights is uncertain. Patent protection may be unavailable or severely limited in some cases and may not adequately protect our rights or permit us to gain or keep our competitive advantage. For example:</w:t>
      </w:r>
    </w:p>
    <w:p>
      <w:pPr>
        <w:spacing w:after="0" w:line="123" w:lineRule="exact"/>
        <w:rPr>
          <w:sz w:val="20"/>
          <w:szCs w:val="20"/>
          <w:color w:val="auto"/>
        </w:rPr>
      </w:pPr>
    </w:p>
    <w:p>
      <w:pPr>
        <w:ind w:left="820" w:right="260" w:hanging="170"/>
        <w:spacing w:after="0" w:line="255" w:lineRule="auto"/>
        <w:tabs>
          <w:tab w:leader="none" w:pos="8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might not have been the first to invent or the first to file the inventions covered by each of our pending patent applications and issued patents;</w:t>
      </w:r>
    </w:p>
    <w:p>
      <w:pPr>
        <w:spacing w:after="0" w:line="135" w:lineRule="exact"/>
        <w:rPr>
          <w:rFonts w:ascii="Arial" w:cs="Arial" w:eastAsia="Arial" w:hAnsi="Arial"/>
          <w:sz w:val="18"/>
          <w:szCs w:val="18"/>
          <w:color w:val="auto"/>
        </w:rPr>
      </w:pPr>
    </w:p>
    <w:p>
      <w:pPr>
        <w:ind w:left="800" w:hanging="150"/>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54" w:lineRule="exact"/>
        <w:rPr>
          <w:rFonts w:ascii="Arial" w:cs="Arial" w:eastAsia="Arial" w:hAnsi="Arial"/>
          <w:sz w:val="18"/>
          <w:szCs w:val="18"/>
          <w:color w:val="auto"/>
        </w:rPr>
      </w:pPr>
    </w:p>
    <w:p>
      <w:pPr>
        <w:ind w:left="800" w:hanging="150"/>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141" w:lineRule="exact"/>
        <w:rPr>
          <w:rFonts w:ascii="Arial" w:cs="Arial" w:eastAsia="Arial" w:hAnsi="Arial"/>
          <w:sz w:val="18"/>
          <w:szCs w:val="18"/>
          <w:color w:val="auto"/>
        </w:rPr>
      </w:pPr>
    </w:p>
    <w:p>
      <w:pPr>
        <w:ind w:left="820" w:right="200" w:hanging="170"/>
        <w:spacing w:after="0" w:line="255" w:lineRule="auto"/>
        <w:tabs>
          <w:tab w:leader="none" w:pos="8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patents we obtain or our licensors’ issued patents may not encompass commercially viable products, may not provide us with any competitive advantages, or may be challenged by third parties;</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820" w:right="20" w:hanging="170"/>
        <w:spacing w:after="0" w:line="252" w:lineRule="auto"/>
        <w:tabs>
          <w:tab w:leader="none" w:pos="8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some product candidates, we expect that composition of matter patent protection for the active pharmaceutical ingredient will not be available at the time we expect to commercialize, and we will therefore need to rely on formulation, method of use, and other forms of claims for patent protection;</w:t>
      </w:r>
    </w:p>
    <w:p>
      <w:pPr>
        <w:spacing w:after="0" w:line="124" w:lineRule="exact"/>
        <w:rPr>
          <w:rFonts w:ascii="Arial" w:cs="Arial" w:eastAsia="Arial" w:hAnsi="Arial"/>
          <w:sz w:val="18"/>
          <w:szCs w:val="18"/>
          <w:color w:val="auto"/>
        </w:rPr>
      </w:pPr>
    </w:p>
    <w:p>
      <w:pPr>
        <w:ind w:left="800" w:hanging="150"/>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patents we obtain or our in-licensed issued patents may not be valid or enforceable; and</w:t>
      </w:r>
    </w:p>
    <w:p>
      <w:pPr>
        <w:spacing w:after="0" w:line="154" w:lineRule="exact"/>
        <w:rPr>
          <w:rFonts w:ascii="Arial" w:cs="Arial" w:eastAsia="Arial" w:hAnsi="Arial"/>
          <w:sz w:val="18"/>
          <w:szCs w:val="18"/>
          <w:color w:val="auto"/>
        </w:rPr>
      </w:pPr>
    </w:p>
    <w:p>
      <w:pPr>
        <w:ind w:left="800" w:hanging="150"/>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55" w:lineRule="exact"/>
        <w:rPr>
          <w:sz w:val="20"/>
          <w:szCs w:val="20"/>
          <w:color w:val="auto"/>
        </w:rPr>
      </w:pPr>
    </w:p>
    <w:p>
      <w:pPr>
        <w:ind w:firstLine="643"/>
        <w:spacing w:after="0" w:line="264" w:lineRule="auto"/>
        <w:rPr>
          <w:sz w:val="20"/>
          <w:szCs w:val="20"/>
          <w:color w:val="auto"/>
        </w:rPr>
      </w:pPr>
      <w:r>
        <w:rPr>
          <w:rFonts w:ascii="Arial" w:cs="Arial" w:eastAsia="Arial" w:hAnsi="Arial"/>
          <w:sz w:val="17"/>
          <w:szCs w:val="17"/>
          <w:color w:val="auto"/>
        </w:rPr>
        <w:t>Patents have a limited lifespan. In the United States, the natural expiration of a patent is generally 20 years after it is filed. Various extensions may be available; however, the life of a patent, and the protection it affords, is limited. Without patent protection for our product candidates, we may be open to competition from generic versions of our product candidates. Further, the extensive period of time between patent filing and regulatory approval for a product candidate limits the time during which we can market a product candidate under patent protection, which may particularly affect the profitability of our early-stage product candidates. Our issued U.S. patents relating to roflumilast cream and roflumilast foam with claims directed to, among other things, formulating roflumilast in combination with hexylene glycol are currently projected to expire on June 7, 2037 and the issued U.S. patents which we have exclusive rights to from Hengrui as a result of the exercise of our exclusive option with Hengrui in December 2019 for the amount of $1.5 million cash, related to the composition of matter of the active ingredient in ARQ-252 and ARQ-255 (or bisulfate or crystal forms thereof) are currently projected to expire between January 21, 2033 and October 15, 2035 unless a PTE is granted. Proprietary trade secrets and unpatented know-how are also very important to our business. Although we have taken steps to protect our trade secrets and unpatented know-how by entering into confidentiality agreements with third parties, and intellectual property protection agreements with certain employees, consultants, and advisors, third parties may still obtain this information or we may be unable to protect our rights. We also have limited control over the protection of trade secrets used by our suppliers, manufacturers, and other third parties. There can be no assurance that binding agreements will not be breached, that we would have adequate remedies for any breach, or that our trade secrets and unpatented know-how will not otherwise become known or be independently discovered by our competitors. If trade secrets are independently discovered, we would not be able to prevent their use. Enforcing a claim that a third party illegally obtained and is using our trade secrets or unpatented know-how is expensive and time-consuming, and the outcome is unpredictable. In addition, courts outside the United States may be less willing to protect trade secret information.</w:t>
      </w:r>
    </w:p>
    <w:p>
      <w:pPr>
        <w:spacing w:after="0" w:line="98" w:lineRule="exact"/>
        <w:rPr>
          <w:sz w:val="20"/>
          <w:szCs w:val="20"/>
          <w:color w:val="auto"/>
        </w:rPr>
      </w:pPr>
    </w:p>
    <w:p>
      <w:pPr>
        <w:ind w:right="260"/>
        <w:spacing w:after="0" w:line="287" w:lineRule="auto"/>
        <w:rPr>
          <w:sz w:val="20"/>
          <w:szCs w:val="20"/>
          <w:color w:val="auto"/>
        </w:rPr>
      </w:pPr>
      <w:r>
        <w:rPr>
          <w:rFonts w:ascii="Arial" w:cs="Arial" w:eastAsia="Arial" w:hAnsi="Arial"/>
          <w:sz w:val="17"/>
          <w:szCs w:val="17"/>
          <w:b w:val="1"/>
          <w:bCs w:val="1"/>
          <w:i w:val="1"/>
          <w:iCs w:val="1"/>
          <w:color w:val="auto"/>
        </w:rPr>
        <w:t>We may become subject to claims alleging infringement of third parties’ patents or proprietary rights and/or claims seeking to invalidate our patents, which would be costly, time consuming and, if successfully asserted against us, delay or prevent the development and commercialization of roflumilast cream, roflumilast foam, ARQ-252, ARQ-255, or any future product candidates.</w:t>
      </w:r>
    </w:p>
    <w:p>
      <w:pPr>
        <w:spacing w:after="0" w:line="111" w:lineRule="exact"/>
        <w:rPr>
          <w:sz w:val="20"/>
          <w:szCs w:val="20"/>
          <w:color w:val="auto"/>
        </w:rPr>
      </w:pPr>
    </w:p>
    <w:p>
      <w:pPr>
        <w:ind w:firstLine="643"/>
        <w:spacing w:after="0" w:line="249" w:lineRule="auto"/>
        <w:rPr>
          <w:sz w:val="20"/>
          <w:szCs w:val="20"/>
          <w:color w:val="auto"/>
        </w:rPr>
      </w:pPr>
      <w:r>
        <w:rPr>
          <w:rFonts w:ascii="Arial" w:cs="Arial" w:eastAsia="Arial" w:hAnsi="Arial"/>
          <w:sz w:val="18"/>
          <w:szCs w:val="18"/>
          <w:color w:val="auto"/>
        </w:rPr>
        <w:t>There have been many lawsuits and other proceedings asserting patents and other intellectual property rights in the pharmaceutical and biotechnology industries. We cannot assure you that our exploitation of roflumilast cream, roflumilast foam, ARQ-252, or ARQ-255 will not infringe existing or future third-party patents. Because patent applications can take many years to issue and may be confidential for 18 months or more after filing, there may be applications now pending of which we are unaware and which may later result in issued patents that we may infringe by commercializing roflumilast cream, roflumilast foam, ARQ-252, or ARQ-255. Moreover, we may face claims from non-practicing entities that have no relevant product revenue and against whom our own patent portfolio may thus have no deterrent effect. We may be unaware of one or more issued patents that would be infringed by the manufacture, sale, or use of roflumilast cream, roflumilast foam, ARQ-252, or ARQ-255.</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20" w:firstLine="643"/>
        <w:spacing w:after="0" w:line="249" w:lineRule="auto"/>
        <w:rPr>
          <w:sz w:val="20"/>
          <w:szCs w:val="20"/>
          <w:color w:val="auto"/>
        </w:rPr>
      </w:pPr>
      <w:r>
        <w:rPr>
          <w:rFonts w:ascii="Arial" w:cs="Arial" w:eastAsia="Arial" w:hAnsi="Arial"/>
          <w:sz w:val="18"/>
          <w:szCs w:val="18"/>
          <w:color w:val="auto"/>
        </w:rPr>
        <w:t>We may be subject to third-party claims in the future against us or our collaborators that would cause us to incur substantial expenses and, if successful against us, could cause us to pay substantial damages, including treble damages and attorney’s fees if we are found to be willfully infringing a third party’s patents. We may be required to indemnify future collaborators against such claims. If a patent infringement suit were brought against us or our future collaborators, we or they could be forced to stop or delay research, development, manufacturing, or sales of the product or product candidate that is the subject of the suit. As a result of patent infringement claims, or in order to avoid potential claims, we or our collaborators may choose to seek, or be required to seek, a license from the third-party and would most likely be required to pay license fees or royalties or both. These licenses may not be available on acceptable terms, or at all. Even if we or our future collaborators were able to obtain a license, the rights obtained may be nonexclusive, which would not confer a competitive advantage to us from an exclusivity perspective. Ultimately, we could be prevented from commercializing a product, or forced to redesign it, or to cease some aspect of our business operations if, as a result of actual or threatened patent infringement claims, we or our collaborators are unable to enter into licenses on acceptable terms to necessary third party patent rights. Even if we are successful in defending against such claims, such litigation can be expensive and time consuming to litigate and would divert management’s attention from our core business. Any of these events could harm our business significantly.</w:t>
      </w:r>
    </w:p>
    <w:p>
      <w:pPr>
        <w:spacing w:after="0" w:line="127" w:lineRule="exact"/>
        <w:rPr>
          <w:sz w:val="20"/>
          <w:szCs w:val="20"/>
          <w:color w:val="auto"/>
        </w:rPr>
      </w:pPr>
    </w:p>
    <w:p>
      <w:pPr>
        <w:ind w:right="60" w:firstLine="643"/>
        <w:spacing w:after="0" w:line="249" w:lineRule="auto"/>
        <w:rPr>
          <w:sz w:val="20"/>
          <w:szCs w:val="20"/>
          <w:color w:val="auto"/>
        </w:rPr>
      </w:pPr>
      <w:r>
        <w:rPr>
          <w:rFonts w:ascii="Arial" w:cs="Arial" w:eastAsia="Arial" w:hAnsi="Arial"/>
          <w:sz w:val="18"/>
          <w:szCs w:val="18"/>
          <w:color w:val="auto"/>
        </w:rPr>
        <w:t>In addition to infringement claims against us, if third parties prepare and file patent applications in the United States that also claim technology similar or identical to ours, we may have to participate in interference or derivation proceedings in the U.S. Patent and Trademark Office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w:t>
      </w:r>
    </w:p>
    <w:p>
      <w:pPr>
        <w:spacing w:after="0" w:line="122" w:lineRule="exact"/>
        <w:rPr>
          <w:sz w:val="20"/>
          <w:szCs w:val="20"/>
          <w:color w:val="auto"/>
        </w:rPr>
      </w:pPr>
    </w:p>
    <w:p>
      <w:pPr>
        <w:ind w:right="840"/>
        <w:spacing w:after="0" w:line="312" w:lineRule="auto"/>
        <w:rPr>
          <w:sz w:val="20"/>
          <w:szCs w:val="20"/>
          <w:color w:val="auto"/>
        </w:rPr>
      </w:pPr>
      <w:r>
        <w:rPr>
          <w:rFonts w:ascii="Arial" w:cs="Arial" w:eastAsia="Arial" w:hAnsi="Arial"/>
          <w:sz w:val="17"/>
          <w:szCs w:val="17"/>
          <w:b w:val="1"/>
          <w:bCs w:val="1"/>
          <w:i w:val="1"/>
          <w:iCs w:val="1"/>
          <w:color w:val="auto"/>
        </w:rPr>
        <w:t>We may be subject to claims by third parties asserting that we, our employees or our licensors have misappropriated their intellectual property, including trade secrets, or claiming ownership of what we regard as our own intellectual property.</w:t>
      </w:r>
    </w:p>
    <w:p>
      <w:pPr>
        <w:spacing w:after="0" w:line="90" w:lineRule="exact"/>
        <w:rPr>
          <w:sz w:val="20"/>
          <w:szCs w:val="20"/>
          <w:color w:val="auto"/>
        </w:rPr>
      </w:pPr>
    </w:p>
    <w:p>
      <w:pPr>
        <w:ind w:firstLine="643"/>
        <w:spacing w:after="0" w:line="250" w:lineRule="auto"/>
        <w:rPr>
          <w:sz w:val="20"/>
          <w:szCs w:val="20"/>
          <w:color w:val="auto"/>
        </w:rPr>
      </w:pPr>
      <w:r>
        <w:rPr>
          <w:rFonts w:ascii="Arial" w:cs="Arial" w:eastAsia="Arial" w:hAnsi="Arial"/>
          <w:sz w:val="18"/>
          <w:szCs w:val="18"/>
          <w:color w:val="auto"/>
        </w:rPr>
        <w:t>Many of our employees and our licensor’s employees were previously employed at other biotechnology or pharmaceutical companies. Although we and our licensors try to ensure that our employees and our licensor’s employees do not use the proprietary information or know-how of others in their work for us, including by contract, we or our licensors may be subject to claims that these employees, our licensors or we have used or disclosed intellectual property, including trade secrets or other proprietary information, of any such employee’s former employer. Litigation may be necessary to defend against these claims.</w:t>
      </w:r>
    </w:p>
    <w:p>
      <w:pPr>
        <w:spacing w:after="0" w:line="127" w:lineRule="exact"/>
        <w:rPr>
          <w:sz w:val="20"/>
          <w:szCs w:val="20"/>
          <w:color w:val="auto"/>
        </w:rPr>
      </w:pPr>
    </w:p>
    <w:p>
      <w:pPr>
        <w:ind w:right="20" w:firstLine="643"/>
        <w:spacing w:after="0" w:line="250"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development of intellectual property to execute agreements assigning such intellectual property to us, we may in the future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40" w:lineRule="exact"/>
        <w:rPr>
          <w:sz w:val="20"/>
          <w:szCs w:val="20"/>
          <w:color w:val="auto"/>
        </w:rPr>
      </w:pPr>
    </w:p>
    <w:p>
      <w:pPr>
        <w:jc w:val="both"/>
        <w:ind w:right="140" w:firstLine="643"/>
        <w:spacing w:after="0" w:line="252" w:lineRule="auto"/>
        <w:rPr>
          <w:sz w:val="20"/>
          <w:szCs w:val="20"/>
          <w:color w:val="auto"/>
        </w:rPr>
      </w:pPr>
      <w:r>
        <w:rPr>
          <w:rFonts w:ascii="Arial" w:cs="Arial" w:eastAsia="Arial" w:hAnsi="Arial"/>
          <w:sz w:val="18"/>
          <w:szCs w:val="18"/>
          <w:color w:val="auto"/>
        </w:rPr>
        <w:t>If we or our licensor fail in prosecuting or defending any such claims, in addition to paying monetary damages, we may lose valuable intellectual property rights or personnel. Even if we and our licensor are successful in prosecuting or defending against such claims, litigation could result in substantial costs.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40"/>
        <w:spacing w:after="0" w:line="281" w:lineRule="auto"/>
        <w:rPr>
          <w:sz w:val="20"/>
          <w:szCs w:val="20"/>
          <w:color w:val="auto"/>
        </w:rPr>
      </w:pPr>
      <w:r>
        <w:rPr>
          <w:rFonts w:ascii="Arial" w:cs="Arial" w:eastAsia="Arial" w:hAnsi="Arial"/>
          <w:sz w:val="18"/>
          <w:szCs w:val="18"/>
          <w:b w:val="1"/>
          <w:bCs w:val="1"/>
          <w:i w:val="1"/>
          <w:iCs w:val="1"/>
          <w:color w:val="auto"/>
        </w:rPr>
        <w:t>The validity, scope, and enforceability of any patents listed in the Orange Book that cover roflumilast cream, roflumilast foam, ARQ-252, or ARQ-255 can be challenged by competitors.</w:t>
      </w:r>
    </w:p>
    <w:p>
      <w:pPr>
        <w:spacing w:after="0" w:line="100" w:lineRule="exact"/>
        <w:rPr>
          <w:sz w:val="20"/>
          <w:szCs w:val="20"/>
          <w:color w:val="auto"/>
        </w:rPr>
      </w:pPr>
    </w:p>
    <w:p>
      <w:pPr>
        <w:ind w:firstLine="643"/>
        <w:spacing w:after="0" w:line="264" w:lineRule="auto"/>
        <w:rPr>
          <w:sz w:val="20"/>
          <w:szCs w:val="20"/>
          <w:color w:val="auto"/>
        </w:rPr>
      </w:pPr>
      <w:r>
        <w:rPr>
          <w:rFonts w:ascii="Arial" w:cs="Arial" w:eastAsia="Arial" w:hAnsi="Arial"/>
          <w:sz w:val="17"/>
          <w:szCs w:val="17"/>
          <w:color w:val="auto"/>
        </w:rPr>
        <w:t>If roflumilast cream, roflumilast foam, ARQ-252, or ARQ-255 is approved by the FDA, one or more third parties may challenge the patents covering roflumilast cream, roflumilast foam, ARQ-252, or ARQ-255, which could result in the invalidation of, or render unenforceable, some or all of the relevant patent claims or a finding of non-infringement. For example, if a third-party files an abbreviated NDA, or ANDA, for a generic drug bioequivalent to roflumilast cream, roflumilast foam, ARQ-252, or ARQ-255, and relies in whole or in part on studies conducted by or for us, the third-party will be required to certify to the FDA that either: (1) there is no patent information listed in the FDA’s Orange Book with respect to our NDA for the applicable approved drug candidate; (2) the patents listed in the Orange Book have expired; (3) the listed patents have not expired, but will expire on a particular date and approval is sought after patent expiration; or (4) the listed patents are invalid or will not be infringed by the manufacture, use, or sale of the third-party’s generic drug. A certification that the new drug will not infringe the Orange Book-listed patents for the applicable approved drug candidate, or that such patents are invalid, is called a paragraph IV certification. If the third-party submits a paragraph IV certification to the FDA, a notice of the paragraph IV certification must also be sent to us once the third-party’s ANDA is accepted for filing by the FDA. We may then initiate a lawsuit to defend the patents identified in the notice. The filing of a patent infringement lawsuit within 45 days of receipt of the notice automatically prevents the FDA from approving the third-party’s ANDA until the earliest of 30 months or the date on which the patent expires, the lawsuit is settled, or the court reaches a decision in the infringement lawsuit in favor of the third-party. If we do not file a patent infringement lawsuit within the required 45-day period, the third-party’s ANDA will not be subject to the 30-month stay of FDA approval. Litigation or other proceedings to enforce or defend intellectual property rights are often very complex in nature, may be very expensive and time-consuming, may divert our management’s attention from our core business, and may result in unfavorable results that could limit our ability to prevent third parties from competing with our product candidates.</w:t>
      </w:r>
    </w:p>
    <w:p>
      <w:pPr>
        <w:spacing w:after="0" w:line="112" w:lineRule="exact"/>
        <w:rPr>
          <w:sz w:val="20"/>
          <w:szCs w:val="20"/>
          <w:color w:val="auto"/>
        </w:rPr>
      </w:pPr>
    </w:p>
    <w:p>
      <w:pPr>
        <w:ind w:right="140"/>
        <w:spacing w:after="0" w:line="281" w:lineRule="auto"/>
        <w:rPr>
          <w:sz w:val="20"/>
          <w:szCs w:val="20"/>
          <w:color w:val="auto"/>
        </w:rPr>
      </w:pPr>
      <w:r>
        <w:rPr>
          <w:rFonts w:ascii="Arial" w:cs="Arial" w:eastAsia="Arial" w:hAnsi="Arial"/>
          <w:sz w:val="18"/>
          <w:szCs w:val="18"/>
          <w:b w:val="1"/>
          <w:bCs w:val="1"/>
          <w:i w:val="1"/>
          <w:iCs w:val="1"/>
          <w:color w:val="auto"/>
        </w:rPr>
        <w:t>If we do not obtain protection under the Hatch-Waxman Amendments by extending the patent term for our product candidates, our business may be materially harmed.</w:t>
      </w:r>
    </w:p>
    <w:p>
      <w:pPr>
        <w:spacing w:after="0" w:line="113" w:lineRule="exact"/>
        <w:rPr>
          <w:sz w:val="20"/>
          <w:szCs w:val="20"/>
          <w:color w:val="auto"/>
        </w:rPr>
      </w:pPr>
    </w:p>
    <w:p>
      <w:pPr>
        <w:ind w:right="60" w:firstLine="643"/>
        <w:spacing w:after="0" w:line="249" w:lineRule="auto"/>
        <w:rPr>
          <w:sz w:val="20"/>
          <w:szCs w:val="20"/>
          <w:color w:val="auto"/>
        </w:rPr>
      </w:pPr>
      <w:r>
        <w:rPr>
          <w:rFonts w:ascii="Arial" w:cs="Arial" w:eastAsia="Arial" w:hAnsi="Arial"/>
          <w:sz w:val="18"/>
          <w:szCs w:val="18"/>
          <w:color w:val="auto"/>
        </w:rPr>
        <w:t>Our commercial success will largely depend on our ability to obtain and maintain patent and other intellectual property in the United States and other countries with respect to our proprietary technology, product candidates, and our target indications. Our issued U.S. patents, with claims directed to roflumilast formulations with reduced crystal growth, encompassing roflumilast cream, are currently projected to expire on June 7, 2037. Certain issued U.S. patents that we have licensed from Hengrui relating to, among other things, treatment of several diseases or disorders, including various cancers, allograft rejection, graft versus host disease, rheumatoid arthritis, atopic dermatitis, and psoriasis with SHR0302, or bisulfate and crystal forms thereof, are currently projected to expire beginning in 2033. Given the amount of time required for the development, testing, and regulatory review of new product candidates, patents protecting our product candidates might expire before or shortly after such candidates begin to be commercialized. We expect to seek extensions of patent terms in the United States and, if available, in other countries where we are prosecuting patents.</w:t>
      </w:r>
    </w:p>
    <w:p>
      <w:pPr>
        <w:spacing w:after="0" w:line="129" w:lineRule="exact"/>
        <w:rPr>
          <w:sz w:val="20"/>
          <w:szCs w:val="20"/>
          <w:color w:val="auto"/>
        </w:rPr>
      </w:pPr>
    </w:p>
    <w:p>
      <w:pPr>
        <w:ind w:firstLine="643"/>
        <w:spacing w:after="0" w:line="249" w:lineRule="auto"/>
        <w:rPr>
          <w:sz w:val="20"/>
          <w:szCs w:val="20"/>
          <w:color w:val="auto"/>
        </w:rPr>
      </w:pPr>
      <w:r>
        <w:rPr>
          <w:rFonts w:ascii="Arial" w:cs="Arial" w:eastAsia="Arial" w:hAnsi="Arial"/>
          <w:sz w:val="18"/>
          <w:szCs w:val="18"/>
          <w:color w:val="auto"/>
        </w:rPr>
        <w:t>Depending upon the timing, duration, and specifics of FDA marketing approval of our product candidates, one or more of the U.S. patents covering our product candidates may be eligible for limited patent term restoration under the Drug Price Competition and Patent Term Restoration Act of 1984, referred to as the Hatch-Waxman Amendments. The Hatch-Waxman Amendments permit a patent restoration term of up to five years beyond the normal expiration of the patent as compensation for patent term lost during development and the FDA regulatory review process, which is limited to the approved indication (or any additional indications approved during the period of extension). This extension is limited to only one patent that covers the approved product.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w:t>
      </w:r>
    </w:p>
    <w:p>
      <w:pPr>
        <w:spacing w:after="0" w:line="142" w:lineRule="exact"/>
        <w:rPr>
          <w:sz w:val="20"/>
          <w:szCs w:val="20"/>
          <w:color w:val="auto"/>
        </w:rPr>
      </w:pPr>
    </w:p>
    <w:p>
      <w:pPr>
        <w:ind w:right="200" w:firstLine="643"/>
        <w:spacing w:after="0" w:line="274" w:lineRule="auto"/>
        <w:rPr>
          <w:sz w:val="20"/>
          <w:szCs w:val="20"/>
          <w:color w:val="auto"/>
        </w:rPr>
      </w:pPr>
      <w:r>
        <w:rPr>
          <w:rFonts w:ascii="Arial" w:cs="Arial" w:eastAsia="Arial" w:hAnsi="Arial"/>
          <w:sz w:val="17"/>
          <w:szCs w:val="17"/>
          <w:color w:val="auto"/>
        </w:rPr>
        <w:t>If we are unable to extend the expiration date of our existing patents or obtain new patents with longer expiry dates, our competitors may be able to take advantage of our investment in development and clinical trials by referencing our clinical and preclinical data to obtain approval of competing products following our patent expiration and launch their product earlier than might otherwise be the case.</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Our intellectual property agreements with third parties may be subject to disagreements over contract interpretation, which could narrow the scope of our rights to the relevant intellectual property or technology or increase our financial or other obligations to our licensors.</w:t>
      </w:r>
    </w:p>
    <w:p>
      <w:pPr>
        <w:spacing w:after="0" w:line="116" w:lineRule="exact"/>
        <w:rPr>
          <w:sz w:val="20"/>
          <w:szCs w:val="20"/>
          <w:color w:val="auto"/>
        </w:rPr>
      </w:pPr>
    </w:p>
    <w:p>
      <w:pPr>
        <w:ind w:firstLine="643"/>
        <w:spacing w:after="0" w:line="250" w:lineRule="auto"/>
        <w:rPr>
          <w:sz w:val="20"/>
          <w:szCs w:val="20"/>
          <w:color w:val="auto"/>
        </w:rPr>
      </w:pPr>
      <w:r>
        <w:rPr>
          <w:rFonts w:ascii="Arial" w:cs="Arial" w:eastAsia="Arial" w:hAnsi="Arial"/>
          <w:sz w:val="18"/>
          <w:szCs w:val="18"/>
          <w:color w:val="auto"/>
        </w:rPr>
        <w:t>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financial condition, results of operations, and prospects.</w:t>
      </w:r>
    </w:p>
    <w:p>
      <w:pPr>
        <w:spacing w:after="0" w:line="120" w:lineRule="exact"/>
        <w:rPr>
          <w:sz w:val="20"/>
          <w:szCs w:val="20"/>
          <w:color w:val="auto"/>
        </w:rPr>
      </w:pPr>
    </w:p>
    <w:p>
      <w:pPr>
        <w:ind w:right="400"/>
        <w:spacing w:after="0" w:line="281" w:lineRule="auto"/>
        <w:rPr>
          <w:sz w:val="20"/>
          <w:szCs w:val="20"/>
          <w:color w:val="auto"/>
        </w:rPr>
      </w:pPr>
      <w:r>
        <w:rPr>
          <w:rFonts w:ascii="Arial" w:cs="Arial" w:eastAsia="Arial" w:hAnsi="Arial"/>
          <w:sz w:val="18"/>
          <w:szCs w:val="18"/>
          <w:b w:val="1"/>
          <w:bCs w:val="1"/>
          <w:i w:val="1"/>
          <w:iCs w:val="1"/>
          <w:color w:val="auto"/>
        </w:rPr>
        <w:t>We may need to license additional intellectual property from third parties, and such licenses may not be available or may not be available on commercially reasonable terms.</w:t>
      </w:r>
    </w:p>
    <w:p>
      <w:pPr>
        <w:spacing w:after="0" w:line="113" w:lineRule="exact"/>
        <w:rPr>
          <w:sz w:val="20"/>
          <w:szCs w:val="20"/>
          <w:color w:val="auto"/>
        </w:rPr>
      </w:pPr>
    </w:p>
    <w:p>
      <w:pPr>
        <w:ind w:right="20" w:firstLine="643"/>
        <w:spacing w:after="0" w:line="249" w:lineRule="auto"/>
        <w:rPr>
          <w:sz w:val="20"/>
          <w:szCs w:val="20"/>
          <w:color w:val="auto"/>
        </w:rPr>
      </w:pPr>
      <w:r>
        <w:rPr>
          <w:rFonts w:ascii="Arial" w:cs="Arial" w:eastAsia="Arial" w:hAnsi="Arial"/>
          <w:sz w:val="18"/>
          <w:szCs w:val="18"/>
          <w:color w:val="auto"/>
        </w:rPr>
        <w:t>Additional third parties, apart from our current licensors, may hold intellectual property, including patent rights, that are important or necessary to the development of our product candidates. It may be necessary for us to use the patented or proprietary technology of these third parties to commercialize our product candidates, in which case we would be required to obtain a license from these third parties on commercially reasonable terms. Such a license may not be available, or it may not be available on commercially reasonable terms, in which case our business would be harmed. The risks described elsewhere pertaining to our intellectual property rights also apply to the intellectual property rights that we in-license, and any failure by us or our licensors to obtain, maintain, defend, and enforce these rights could harm our business. In some cases we may not have control over the prosecution, maintenance, or enforcement of the patents that we license, and may not have sufficient ability to provide input into the patent prosecution, maintenance, and defense process with respect to such patents, and our licensors may fail to take the steps that we believe are necessary or desirable in order to obtain, maintain, defend, and enforce the licensed patents.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77" w:lineRule="exact"/>
        <w:rPr>
          <w:sz w:val="20"/>
          <w:szCs w:val="20"/>
          <w:color w:val="auto"/>
        </w:rPr>
      </w:pPr>
    </w:p>
    <w:p>
      <w:pPr>
        <w:ind w:right="80" w:firstLine="643"/>
        <w:spacing w:after="0" w:line="249" w:lineRule="auto"/>
        <w:rPr>
          <w:sz w:val="20"/>
          <w:szCs w:val="20"/>
          <w:color w:val="auto"/>
        </w:rPr>
      </w:pPr>
      <w:r>
        <w:rPr>
          <w:rFonts w:ascii="Arial" w:cs="Arial" w:eastAsia="Arial" w:hAnsi="Arial"/>
          <w:sz w:val="18"/>
          <w:szCs w:val="18"/>
          <w:color w:val="auto"/>
        </w:rPr>
        <w:t>Filing, prosecuting, and defending patents on product candidates, including all of the licensed rights under our exclusive supply and license agreements with AstraZeneca and Hengrui,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42" w:lineRule="exact"/>
        <w:rPr>
          <w:sz w:val="20"/>
          <w:szCs w:val="20"/>
          <w:color w:val="auto"/>
        </w:rPr>
      </w:pPr>
    </w:p>
    <w:p>
      <w:pPr>
        <w:ind w:right="40" w:firstLine="643"/>
        <w:spacing w:after="0" w:line="249"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580"/>
        <w:spacing w:after="0" w:line="281" w:lineRule="auto"/>
        <w:rPr>
          <w:sz w:val="20"/>
          <w:szCs w:val="20"/>
          <w:color w:val="auto"/>
        </w:rPr>
      </w:pPr>
      <w:r>
        <w:rPr>
          <w:rFonts w:ascii="Arial" w:cs="Arial" w:eastAsia="Arial" w:hAnsi="Arial"/>
          <w:sz w:val="18"/>
          <w:szCs w:val="18"/>
          <w:b w:val="1"/>
          <w:bCs w:val="1"/>
          <w:i w:val="1"/>
          <w:iCs w:val="1"/>
          <w:color w:val="auto"/>
        </w:rPr>
        <w:t>Changes in U.S. patent law or the patent law of other countries or jurisdictions could diminish the value of patents in general, thereby impairing our ability to protect our products.</w:t>
      </w:r>
    </w:p>
    <w:p>
      <w:pPr>
        <w:spacing w:after="0" w:line="100" w:lineRule="exact"/>
        <w:rPr>
          <w:sz w:val="20"/>
          <w:szCs w:val="20"/>
          <w:color w:val="auto"/>
        </w:rPr>
      </w:pPr>
    </w:p>
    <w:p>
      <w:pPr>
        <w:ind w:right="20" w:firstLine="643"/>
        <w:spacing w:after="0" w:line="249" w:lineRule="auto"/>
        <w:rPr>
          <w:sz w:val="20"/>
          <w:szCs w:val="20"/>
          <w:color w:val="auto"/>
        </w:rPr>
      </w:pPr>
      <w:r>
        <w:rPr>
          <w:rFonts w:ascii="Arial" w:cs="Arial" w:eastAsia="Arial" w:hAnsi="Arial"/>
          <w:sz w:val="18"/>
          <w:szCs w:val="18"/>
          <w:color w:val="auto"/>
        </w:rPr>
        <w:t>The United States has enacted and implemented wide-ranging patent reform legislation, and that legislation could increase the uncertainties and costs surrounding the prosecution of our patent applications and the enforcement or defense of our issued patents. On September 16, 2011, the Leahy-Smith America Invents Act (Leahy-Smith Act) was signed into law. The Leahy-Smith Act includes a number of significant changes to United States patent law. These include provisions that affect the way patent applications are prosecuted and may also affect patent litigation. The United States Patent Office recently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 In addition, patent reform legislation may pass in the future that could lead to additional uncertainties and increased costs surrounding the prosecution, enforcement, and defense of our patents and pending patent applications.</w:t>
      </w:r>
    </w:p>
    <w:p>
      <w:pPr>
        <w:spacing w:after="0" w:line="142" w:lineRule="exact"/>
        <w:rPr>
          <w:sz w:val="20"/>
          <w:szCs w:val="20"/>
          <w:color w:val="auto"/>
        </w:rPr>
      </w:pPr>
    </w:p>
    <w:p>
      <w:pPr>
        <w:ind w:firstLine="643"/>
        <w:spacing w:after="0" w:line="249" w:lineRule="auto"/>
        <w:rPr>
          <w:sz w:val="20"/>
          <w:szCs w:val="20"/>
          <w:color w:val="auto"/>
        </w:rPr>
      </w:pPr>
      <w:r>
        <w:rPr>
          <w:rFonts w:ascii="Arial" w:cs="Arial" w:eastAsia="Arial" w:hAnsi="Arial"/>
          <w:sz w:val="18"/>
          <w:szCs w:val="18"/>
          <w:color w:val="auto"/>
        </w:rPr>
        <w:t>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We cannot predict future changes in the interpretation of patent laws or changes to patent laws that might be enacted into law by United States and foreign legislative bodies. Those changes may materially affect our patents or patent applications and our ability to obtain additional patent protection in the future.</w:t>
      </w:r>
    </w:p>
    <w:p>
      <w:pPr>
        <w:spacing w:after="0" w:line="142" w:lineRule="exact"/>
        <w:rPr>
          <w:sz w:val="20"/>
          <w:szCs w:val="20"/>
          <w:color w:val="auto"/>
        </w:rPr>
      </w:pPr>
    </w:p>
    <w:p>
      <w:pPr>
        <w:ind w:firstLine="643"/>
        <w:spacing w:after="0" w:line="249" w:lineRule="auto"/>
        <w:rPr>
          <w:sz w:val="20"/>
          <w:szCs w:val="20"/>
          <w:color w:val="auto"/>
        </w:rPr>
      </w:pPr>
      <w:r>
        <w:rPr>
          <w:rFonts w:ascii="Arial" w:cs="Arial" w:eastAsia="Arial" w:hAnsi="Arial"/>
          <w:sz w:val="18"/>
          <w:szCs w:val="18"/>
          <w:color w:val="auto"/>
        </w:rPr>
        <w:t>The United States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Having a mandatory nonexclusive license grant may diminish the value of our patents as well as making it more difficult to protect our products.</w:t>
      </w:r>
    </w:p>
    <w:p>
      <w:pPr>
        <w:spacing w:after="0" w:line="109" w:lineRule="exact"/>
        <w:rPr>
          <w:sz w:val="20"/>
          <w:szCs w:val="20"/>
          <w:color w:val="auto"/>
        </w:rPr>
      </w:pPr>
    </w:p>
    <w:p>
      <w:pPr>
        <w:jc w:val="both"/>
        <w:ind w:right="62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29" w:lineRule="exact"/>
        <w:rPr>
          <w:sz w:val="20"/>
          <w:szCs w:val="20"/>
          <w:color w:val="auto"/>
        </w:rPr>
      </w:pPr>
    </w:p>
    <w:p>
      <w:pPr>
        <w:ind w:right="20" w:firstLine="643"/>
        <w:spacing w:after="0" w:line="249" w:lineRule="auto"/>
        <w:rPr>
          <w:sz w:val="20"/>
          <w:szCs w:val="20"/>
          <w:color w:val="auto"/>
        </w:rPr>
      </w:pPr>
      <w:r>
        <w:rPr>
          <w:rFonts w:ascii="Arial" w:cs="Arial" w:eastAsia="Arial" w:hAnsi="Arial"/>
          <w:sz w:val="18"/>
          <w:szCs w:val="18"/>
          <w:color w:val="auto"/>
        </w:rPr>
        <w:t>Periodic maintenance fees on any issued patent are due to be paid to the USPTO and other foreign patent agencies in several stages over the lifetime of the patent. The USPTO and various foreign national or international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and failure to properly legalize and submit formal documents. If we or our licensors fail to maintain the patents and patent applications covering any of our product candidates, our competitors might be able to enter the market earlier than anticipated, which would harm our business.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120"/>
        <w:spacing w:after="0" w:line="281"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00" w:lineRule="exact"/>
        <w:rPr>
          <w:sz w:val="20"/>
          <w:szCs w:val="20"/>
          <w:color w:val="auto"/>
        </w:rPr>
      </w:pPr>
    </w:p>
    <w:p>
      <w:pPr>
        <w:ind w:right="200" w:firstLine="643"/>
        <w:spacing w:after="0" w:line="249" w:lineRule="auto"/>
        <w:rPr>
          <w:sz w:val="20"/>
          <w:szCs w:val="20"/>
          <w:color w:val="auto"/>
        </w:rPr>
      </w:pPr>
      <w:r>
        <w:rPr>
          <w:rFonts w:ascii="Arial" w:cs="Arial" w:eastAsia="Arial" w:hAnsi="Arial"/>
          <w:sz w:val="18"/>
          <w:szCs w:val="18"/>
          <w:color w:val="auto"/>
        </w:rPr>
        <w:t>Our registered or unregistered trademarks or trade names may be challenged, infringed, circumvented, declared generic, or conflict with third-party rights. We may not be able to protect our rights to these trademarks and trade names, which we need to build name recognition by potential partners or customers in our markets of interest. In addition, third parties may file first for our trademarks in certain countries. If they succeeded in registering such trademarks, and if we were not successful in challenging such third-party rights, we may not be able to use these trademarks to market our products in those countries. In such cases, over the long term, if we are unable to establish name recognition based on our trademarks and trade names, then our marketing abilities may be impacted.</w:t>
      </w:r>
    </w:p>
    <w:p>
      <w:pPr>
        <w:spacing w:after="0" w:line="12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We have not yet received regulatory approval of our commercial tradename and registered trademarks for a commercial trade name for our lead candidates in the United States or foreign jurisdictions and failure to secure such approval in a timely fashion could adversely affect our business.</w:t>
      </w:r>
    </w:p>
    <w:p>
      <w:pPr>
        <w:spacing w:after="0" w:line="129" w:lineRule="exact"/>
        <w:rPr>
          <w:sz w:val="20"/>
          <w:szCs w:val="20"/>
          <w:color w:val="auto"/>
        </w:rPr>
      </w:pPr>
    </w:p>
    <w:p>
      <w:pPr>
        <w:ind w:firstLine="643"/>
        <w:spacing w:after="0" w:line="249" w:lineRule="auto"/>
        <w:rPr>
          <w:sz w:val="20"/>
          <w:szCs w:val="20"/>
          <w:color w:val="auto"/>
        </w:rPr>
      </w:pPr>
      <w:r>
        <w:rPr>
          <w:rFonts w:ascii="Arial" w:cs="Arial" w:eastAsia="Arial" w:hAnsi="Arial"/>
          <w:sz w:val="18"/>
          <w:szCs w:val="18"/>
          <w:color w:val="auto"/>
        </w:rPr>
        <w:t>We have not yet registered trademarks for a commercial trade name for our lead product candidates in the United States or any foreign jurisdiction. During trademark registration proceedings, we may receive rejections. Although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Moreover, any name we propose to use with our product candidates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w:t>
      </w:r>
    </w:p>
    <w:p>
      <w:pPr>
        <w:spacing w:after="0" w:line="107" w:lineRule="exact"/>
        <w:rPr>
          <w:sz w:val="20"/>
          <w:szCs w:val="20"/>
          <w:color w:val="auto"/>
        </w:rPr>
      </w:pPr>
    </w:p>
    <w:p>
      <w:pPr>
        <w:ind w:right="760"/>
        <w:spacing w:after="0" w:line="281"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the value of our technology and products could be adversely affected.</w:t>
      </w:r>
    </w:p>
    <w:p>
      <w:pPr>
        <w:spacing w:after="0" w:line="113" w:lineRule="exact"/>
        <w:rPr>
          <w:sz w:val="20"/>
          <w:szCs w:val="20"/>
          <w:color w:val="auto"/>
        </w:rPr>
      </w:pPr>
    </w:p>
    <w:p>
      <w:pPr>
        <w:ind w:right="100" w:firstLine="643"/>
        <w:spacing w:after="0" w:line="249" w:lineRule="auto"/>
        <w:rPr>
          <w:sz w:val="20"/>
          <w:szCs w:val="20"/>
          <w:color w:val="auto"/>
        </w:rPr>
      </w:pPr>
      <w:r>
        <w:rPr>
          <w:rFonts w:ascii="Arial" w:cs="Arial" w:eastAsia="Arial" w:hAnsi="Arial"/>
          <w:sz w:val="18"/>
          <w:szCs w:val="18"/>
          <w:color w:val="auto"/>
        </w:rPr>
        <w:t>We may not be able to protect our proprietary information and technology adequately. Although we use reasonable efforts to protect our proprietary information, technology, and know-how, our employees, consultants, contractors, outside scientific advisors, licensors, or licensees may unintentionally or willfully disclose our information to competitors. Enforcing a claim that a third-party illegally obtained and is using any of our proprietary information, technology or know-how is expensive and time consuming, and the outcome is unpredictable. In addition, courts outside the United States are sometimes less willing to protect proprietary information, technology, and know-how. We rely, in part, on non-disclosure and confidentiality agreements with our employees, consultants and other parties to protect our proprietary information, technology, and know-how. These agreements may be breached and we may not have adequate remedies for any breach. Moreover, others may independently develop similar or equivalent proprietary information, and third parties may otherwise gain access to our proprietary knowledge.</w:t>
      </w:r>
    </w:p>
    <w:p>
      <w:pPr>
        <w:spacing w:after="0" w:line="121" w:lineRule="exact"/>
        <w:rPr>
          <w:sz w:val="20"/>
          <w:szCs w:val="20"/>
          <w:color w:val="auto"/>
        </w:rPr>
      </w:pPr>
    </w:p>
    <w:p>
      <w:pPr>
        <w:ind w:right="100"/>
        <w:spacing w:after="0" w:line="281" w:lineRule="auto"/>
        <w:rPr>
          <w:sz w:val="20"/>
          <w:szCs w:val="20"/>
          <w:color w:val="auto"/>
        </w:rPr>
      </w:pPr>
      <w:r>
        <w:rPr>
          <w:rFonts w:ascii="Arial" w:cs="Arial" w:eastAsia="Arial" w:hAnsi="Arial"/>
          <w:sz w:val="18"/>
          <w:szCs w:val="18"/>
          <w:b w:val="1"/>
          <w:bCs w:val="1"/>
          <w:i w:val="1"/>
          <w:iCs w:val="1"/>
          <w:color w:val="auto"/>
        </w:rPr>
        <w:t>If we fail to comply with our obligations under any license, collaboration, or other agreements, we may be required to pay damages and could lose intellectual property rights that are necessary for developing and protecting our product candidates.</w:t>
      </w:r>
    </w:p>
    <w:p>
      <w:pPr>
        <w:spacing w:after="0" w:line="100" w:lineRule="exact"/>
        <w:rPr>
          <w:sz w:val="20"/>
          <w:szCs w:val="20"/>
          <w:color w:val="auto"/>
        </w:rPr>
      </w:pPr>
    </w:p>
    <w:p>
      <w:pPr>
        <w:ind w:right="40" w:firstLine="643"/>
        <w:spacing w:after="0" w:line="249" w:lineRule="auto"/>
        <w:rPr>
          <w:sz w:val="20"/>
          <w:szCs w:val="20"/>
          <w:color w:val="auto"/>
        </w:rPr>
      </w:pPr>
      <w:r>
        <w:rPr>
          <w:rFonts w:ascii="Arial" w:cs="Arial" w:eastAsia="Arial" w:hAnsi="Arial"/>
          <w:sz w:val="18"/>
          <w:szCs w:val="18"/>
          <w:color w:val="auto"/>
        </w:rPr>
        <w:t>We have licensed or acquired certain intellectual property rights covering our current product candidates from third parties, including AstraZeneca and Hengrui. We are heavily dependent on our agreements with such third parties for our current product candidates. If, for any reason, one or more of our agreements with such third parties is terminated or we otherwise lose those rights, it could harm our business. Our license and other agreements impose, and any future collaboration agreements or license agreements we enter into are likely to impose various development, commercialization, funding, milestone, royalty, diligence, sublicensing, insurance, patent prosecution and enforcement or other obligations on us. If we breach any such material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having to negotiate new or reinstated licenses on less favorable terms, or enable a competitor to gain access to the licensed technology.</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80"/>
        <w:spacing w:after="0" w:line="281"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or the patents of our licensors, which could be expensive and time-consuming.</w:t>
      </w:r>
    </w:p>
    <w:p>
      <w:pPr>
        <w:spacing w:after="0" w:line="100" w:lineRule="exact"/>
        <w:rPr>
          <w:sz w:val="20"/>
          <w:szCs w:val="20"/>
          <w:color w:val="auto"/>
        </w:rPr>
      </w:pPr>
    </w:p>
    <w:p>
      <w:pPr>
        <w:ind w:firstLine="643"/>
        <w:spacing w:after="0" w:line="249" w:lineRule="auto"/>
        <w:rPr>
          <w:sz w:val="20"/>
          <w:szCs w:val="20"/>
          <w:color w:val="auto"/>
        </w:rPr>
      </w:pPr>
      <w:r>
        <w:rPr>
          <w:rFonts w:ascii="Arial" w:cs="Arial" w:eastAsia="Arial" w:hAnsi="Arial"/>
          <w:sz w:val="18"/>
          <w:szCs w:val="18"/>
          <w:color w:val="auto"/>
        </w:rPr>
        <w:t>Competitors may infringe our intellectual property, including our patents or the patents of our licensors. As a result, we may be required to file infringement claims or inform and cooperate with our licensors to stop third-party infringement or unauthorized use. This can be expensive, particularly for a company of our size, and time-consuming. In addition, in an infringement proceeding, a court may decide that a patent of ours is not valid or is unenforceable, or may refuse to stop the other party from using the technology at issue on the grounds that our patent claims do not cover its technology or that the factors necessary to grant an injunction against an infringer are not satisfied. An adverse determination of any litigation or other proceedings could put one or more of our patents at risk of being invalidated, interpreted narrowly, or amended such that they do not cover our product candidates. Moreover, such adverse determinations could put our patent applications at risk of not issuing, or issuing with limited and potentially inadequate scope to cover our product candidates or to prevent others from marketing similar products.</w:t>
      </w:r>
    </w:p>
    <w:p>
      <w:pPr>
        <w:spacing w:after="0" w:line="143" w:lineRule="exact"/>
        <w:rPr>
          <w:sz w:val="20"/>
          <w:szCs w:val="20"/>
          <w:color w:val="auto"/>
        </w:rPr>
      </w:pPr>
    </w:p>
    <w:p>
      <w:pPr>
        <w:ind w:right="120" w:firstLine="643"/>
        <w:spacing w:after="0" w:line="268" w:lineRule="auto"/>
        <w:rPr>
          <w:sz w:val="20"/>
          <w:szCs w:val="20"/>
          <w:color w:val="auto"/>
        </w:rPr>
      </w:pPr>
      <w:r>
        <w:rPr>
          <w:rFonts w:ascii="Arial" w:cs="Arial" w:eastAsia="Arial" w:hAnsi="Arial"/>
          <w:sz w:val="17"/>
          <w:szCs w:val="17"/>
          <w:color w:val="auto"/>
        </w:rPr>
        <w:t>Interference, derivation, or other proceedings brought at the USPTO may be necessary to determine the priority or patentability of inventions with respect to our patent applications or those of our licensors or potential partners. Litigation or USPTO proceedings brought by us may fail or may be invoked against us by third parties. Even if we are successful, domestic or foreign litigation or USPTO or foreign patent office proceedings may result in substantial costs. We may not be able, alone or with our licensors or potential partners, to prevent misappropriation of our proprietary rights, particularly in countries where the laws may not protect such rights as fully as in the United States.</w:t>
      </w:r>
    </w:p>
    <w:p>
      <w:pPr>
        <w:spacing w:after="0" w:line="127" w:lineRule="exact"/>
        <w:rPr>
          <w:sz w:val="20"/>
          <w:szCs w:val="20"/>
          <w:color w:val="auto"/>
        </w:rPr>
      </w:pPr>
    </w:p>
    <w:p>
      <w:pPr>
        <w:ind w:right="100" w:firstLine="643"/>
        <w:spacing w:after="0" w:line="250"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significantly harmed.</w:t>
      </w:r>
    </w:p>
    <w:p>
      <w:pPr>
        <w:spacing w:after="0" w:line="105" w:lineRule="exact"/>
        <w:rPr>
          <w:sz w:val="20"/>
          <w:szCs w:val="20"/>
          <w:color w:val="auto"/>
        </w:rPr>
      </w:pPr>
    </w:p>
    <w:p>
      <w:pPr>
        <w:ind w:right="140"/>
        <w:spacing w:after="0" w:line="281" w:lineRule="auto"/>
        <w:rPr>
          <w:sz w:val="20"/>
          <w:szCs w:val="20"/>
          <w:color w:val="auto"/>
        </w:rPr>
      </w:pPr>
      <w:r>
        <w:rPr>
          <w:rFonts w:ascii="Arial" w:cs="Arial" w:eastAsia="Arial" w:hAnsi="Arial"/>
          <w:sz w:val="18"/>
          <w:szCs w:val="18"/>
          <w:b w:val="1"/>
          <w:bCs w:val="1"/>
          <w:i w:val="1"/>
          <w:iCs w:val="1"/>
          <w:color w:val="auto"/>
        </w:rPr>
        <w:t>Third-party claims or litigation alleging infringement of patents or other proprietary rights, or seeking to invalidate patents or other proprietary rights, may delay or prevent the development and commercialization of any of our product candidates.</w:t>
      </w:r>
    </w:p>
    <w:p>
      <w:pPr>
        <w:spacing w:after="0" w:line="113" w:lineRule="exact"/>
        <w:rPr>
          <w:sz w:val="20"/>
          <w:szCs w:val="20"/>
          <w:color w:val="auto"/>
        </w:rPr>
      </w:pPr>
    </w:p>
    <w:p>
      <w:pPr>
        <w:ind w:firstLine="643"/>
        <w:spacing w:after="0" w:line="249" w:lineRule="auto"/>
        <w:rPr>
          <w:sz w:val="20"/>
          <w:szCs w:val="20"/>
          <w:color w:val="auto"/>
        </w:rPr>
      </w:pPr>
      <w:r>
        <w:rPr>
          <w:rFonts w:ascii="Arial" w:cs="Arial" w:eastAsia="Arial" w:hAnsi="Arial"/>
          <w:sz w:val="18"/>
          <w:szCs w:val="18"/>
          <w:color w:val="auto"/>
        </w:rPr>
        <w:t>Our commercial success depends in part on our and our licensors avoiding infringement and other violations of the patents and proprietary rights of third parties. However, our research, development, and commercialization activities may be subject to claims that we infringe or otherwise violate patents or other intellectual property rights owned or controlled by third parties. There is a substantial amount of litigation, both within and outside the United States, involving patent and other intellectual property rights in the biotechnology and pharmaceutical industries, including patent infringement lawsuits, interferences, derivation and administrative law proceedings, inter partes review and post-grant review before the USPTO, as well as oppositions and similar processes in foreign jurisdictions. Numerous United States and foreign issued patents and pending patent applications, which are owned by third parties, exist in the fields in which we and our collaborators are developing product candidates. As the biotechnology and pharmaceutical industries expand and more patents are issued, and as we gain greater visibility and market exposure as a public company, the risk increases that our product candidates or other business activities may be subject to claims of infringement of the patent and other proprietary rights of third parties. Third parties may assert that we are infringing their patents or employing their proprietary technology without authorization.</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20" w:firstLine="643"/>
        <w:spacing w:after="0" w:line="248" w:lineRule="auto"/>
        <w:rPr>
          <w:sz w:val="20"/>
          <w:szCs w:val="20"/>
          <w:color w:val="auto"/>
        </w:rPr>
      </w:pPr>
      <w:r>
        <w:rPr>
          <w:rFonts w:ascii="Arial" w:cs="Arial" w:eastAsia="Arial" w:hAnsi="Arial"/>
          <w:sz w:val="18"/>
          <w:szCs w:val="18"/>
          <w:color w:val="auto"/>
        </w:rPr>
        <w:t>There may be third-party patents or patent applications with claims to materials, formulations, methods of manufacture, or methods for treatment related to the use or manufacture of our product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 Similarly, if any third-party patent was to be held by a court of competent jurisdiction to cover aspects of our formulations, processes for manufacture, or methods of use, including combination therapy, the holders of any such patent may be able to block our ability to develop and commercialize the applicable product candidate unless we obtained a license or until such patent expires. In either case, such a license may not be available on commercially reasonable terms or at all. In addition, we may be subject to claims that we are infringing other intellectual property rights, such as trademarks or copyrights, or misappropriating the trade secrets of others, and to the extent that our employees, consultants, or contractors use intellectual property or proprietary information owned by others in their work for us, disputes may arise as to the rights in related or resulting know-how and inventions.</w:t>
      </w:r>
    </w:p>
    <w:p>
      <w:pPr>
        <w:spacing w:after="0" w:line="139" w:lineRule="exact"/>
        <w:rPr>
          <w:sz w:val="20"/>
          <w:szCs w:val="20"/>
          <w:color w:val="auto"/>
        </w:rPr>
      </w:pPr>
    </w:p>
    <w:p>
      <w:pPr>
        <w:ind w:right="40" w:firstLine="643"/>
        <w:spacing w:after="0" w:line="249" w:lineRule="auto"/>
        <w:rPr>
          <w:sz w:val="20"/>
          <w:szCs w:val="20"/>
          <w:color w:val="auto"/>
        </w:rPr>
      </w:pPr>
      <w:r>
        <w:rPr>
          <w:rFonts w:ascii="Arial" w:cs="Arial" w:eastAsia="Arial" w:hAnsi="Arial"/>
          <w:sz w:val="18"/>
          <w:szCs w:val="18"/>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infringement or other intellectual property claim against us, we may have to pay substantial damages, including treble damages and attorneys’ fees for willful infringement, obtain one or more licenses from third parties, pay royalties or redesign our affected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and we have done so from time to time. We may fail to obtain any of these licenses at a reasonable cost or on reasonable terms, if at all. In that event, we would be unable to further develop and commercialize one or more of our product candidates, which could harm our business significantly. Claims that we have misappropriated the confidential information or trade secrets of third parties could have a similar negative impact on our business.</w:t>
      </w:r>
    </w:p>
    <w:p>
      <w:pPr>
        <w:spacing w:after="0" w:line="142" w:lineRule="exact"/>
        <w:rPr>
          <w:sz w:val="20"/>
          <w:szCs w:val="20"/>
          <w:color w:val="auto"/>
        </w:rPr>
      </w:pPr>
    </w:p>
    <w:p>
      <w:pPr>
        <w:ind w:right="100" w:firstLine="643"/>
        <w:spacing w:after="0" w:line="268" w:lineRule="auto"/>
        <w:rPr>
          <w:sz w:val="20"/>
          <w:szCs w:val="20"/>
          <w:color w:val="auto"/>
        </w:rPr>
      </w:pPr>
      <w:r>
        <w:rPr>
          <w:rFonts w:ascii="Arial" w:cs="Arial" w:eastAsia="Arial" w:hAnsi="Arial"/>
          <w:sz w:val="17"/>
          <w:szCs w:val="17"/>
          <w:color w:val="auto"/>
        </w:rPr>
        <w:t>Some of our competitors may be able to sustain the costs of complex intellectual property litigation more effectively than we can because they have substantially greater resources. In addition, intellectual property litigation, regardless of its outcome, may cause negative publicity, adversely impact prospective customers, cause product shipment delays, or prohibit us from manufacturing, marketing, or otherwise commercializing our products, services, and technology. Any uncertainties resulting from the initiation and continuation of any litigation could adversely impact our ability to raise additional funds or otherwise harm our business, results of operation, financial condition, or cash flows.</w:t>
      </w:r>
    </w:p>
    <w:p>
      <w:pPr>
        <w:spacing w:after="0" w:line="127" w:lineRule="exact"/>
        <w:rPr>
          <w:sz w:val="20"/>
          <w:szCs w:val="20"/>
          <w:color w:val="auto"/>
        </w:rPr>
      </w:pPr>
    </w:p>
    <w:p>
      <w:pPr>
        <w:ind w:right="160" w:firstLine="643"/>
        <w:spacing w:after="0" w:line="250"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which could adversely impact the price of our common shares. If securities analysts or investors perceive these results to be negative, it could adversely impact the price of our common shares. The occurrence of any of these events may harm our business, results of operation, financial condition, or cash flows.</w:t>
      </w:r>
    </w:p>
    <w:p>
      <w:pPr>
        <w:spacing w:after="0" w:line="127" w:lineRule="exact"/>
        <w:rPr>
          <w:sz w:val="20"/>
          <w:szCs w:val="20"/>
          <w:color w:val="auto"/>
        </w:rPr>
      </w:pPr>
    </w:p>
    <w:p>
      <w:pPr>
        <w:ind w:firstLine="643"/>
        <w:spacing w:after="0" w:line="252" w:lineRule="auto"/>
        <w:rPr>
          <w:sz w:val="20"/>
          <w:szCs w:val="20"/>
          <w:color w:val="auto"/>
        </w:rPr>
      </w:pPr>
      <w:r>
        <w:rPr>
          <w:rFonts w:ascii="Arial" w:cs="Arial" w:eastAsia="Arial" w:hAnsi="Arial"/>
          <w:sz w:val="18"/>
          <w:szCs w:val="18"/>
          <w:color w:val="auto"/>
        </w:rPr>
        <w:t>We cannot provide any assurances that third-party patents do not exist which might be enforced against our drugs or product candidates, resulting in either an injunction prohibiting our sales, or, with respect to our sales, an obligation on our part to pay royalties or other forms of compensation to third parties.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4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Even if we receive regulatory approval of our product candidates, we will be subject to extensive and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29" w:lineRule="exact"/>
        <w:rPr>
          <w:sz w:val="20"/>
          <w:szCs w:val="20"/>
          <w:color w:val="auto"/>
        </w:rPr>
      </w:pPr>
    </w:p>
    <w:p>
      <w:pPr>
        <w:ind w:right="60" w:firstLine="643"/>
        <w:spacing w:after="0" w:line="249" w:lineRule="auto"/>
        <w:rPr>
          <w:sz w:val="20"/>
          <w:szCs w:val="20"/>
          <w:color w:val="auto"/>
        </w:rPr>
      </w:pPr>
      <w:r>
        <w:rPr>
          <w:rFonts w:ascii="Arial" w:cs="Arial" w:eastAsia="Arial" w:hAnsi="Arial"/>
          <w:sz w:val="18"/>
          <w:szCs w:val="18"/>
          <w:color w:val="auto"/>
        </w:rPr>
        <w:t>Any regulatory approvals or other marketing authorizations we obtain for our product candidates may be subject to limitations on the indicated uses for which the product may be marketed or the conditions of approval or marketing authorization, or contain requirements for potentially costly post-market testing and surveillance to monitor the safety and efficacy of the product candidate. The FDA may also require a REMS as a condition of approval of our drug product candidates, such as roflumilast cream, roflumilast foam, ARQ-252, and ARQ-255, which could include requirements for a medication guide, physician communication plans, or additional ETASU, such as restricted distribution methods, patient registries, and other risk minimization tools. In addition, if the FDA or a comparable foreign regulatory authority authorizes our product candidates for marketing,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GCP requirements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141" w:lineRule="exact"/>
        <w:rPr>
          <w:sz w:val="20"/>
          <w:szCs w:val="20"/>
          <w:color w:val="auto"/>
        </w:rPr>
      </w:pPr>
    </w:p>
    <w:p>
      <w:pPr>
        <w:ind w:left="820" w:right="120" w:hanging="170"/>
        <w:spacing w:after="0" w:line="255" w:lineRule="auto"/>
        <w:tabs>
          <w:tab w:leader="none" w:pos="8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122" w:lineRule="exact"/>
        <w:rPr>
          <w:rFonts w:ascii="Arial" w:cs="Arial" w:eastAsia="Arial" w:hAnsi="Arial"/>
          <w:sz w:val="18"/>
          <w:szCs w:val="18"/>
          <w:color w:val="auto"/>
        </w:rPr>
      </w:pPr>
    </w:p>
    <w:p>
      <w:pPr>
        <w:ind w:left="800" w:hanging="150"/>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fines, warning, or untitled letters or holds on clinical trials;</w:t>
      </w:r>
    </w:p>
    <w:p>
      <w:pPr>
        <w:spacing w:after="0" w:line="154" w:lineRule="exact"/>
        <w:rPr>
          <w:rFonts w:ascii="Arial" w:cs="Arial" w:eastAsia="Arial" w:hAnsi="Arial"/>
          <w:sz w:val="18"/>
          <w:szCs w:val="18"/>
          <w:color w:val="auto"/>
        </w:rPr>
      </w:pPr>
    </w:p>
    <w:p>
      <w:pPr>
        <w:ind w:left="820" w:right="200" w:hanging="170"/>
        <w:spacing w:after="0" w:line="285" w:lineRule="auto"/>
        <w:tabs>
          <w:tab w:leader="none" w:pos="815"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refusal by the FDA to accept new marketing applications or supplements, approve or otherwise authorize for marketing pending applications or supplements to applications filed by us or suspension or revocation of approvals or other marketing authorizations;</w:t>
      </w:r>
    </w:p>
    <w:p>
      <w:pPr>
        <w:spacing w:after="0" w:line="111" w:lineRule="exact"/>
        <w:rPr>
          <w:rFonts w:ascii="Arial" w:cs="Arial" w:eastAsia="Arial" w:hAnsi="Arial"/>
          <w:sz w:val="17"/>
          <w:szCs w:val="17"/>
          <w:color w:val="auto"/>
        </w:rPr>
      </w:pPr>
    </w:p>
    <w:p>
      <w:pPr>
        <w:ind w:left="800" w:hanging="150"/>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41" w:lineRule="exact"/>
        <w:rPr>
          <w:rFonts w:ascii="Arial" w:cs="Arial" w:eastAsia="Arial" w:hAnsi="Arial"/>
          <w:sz w:val="18"/>
          <w:szCs w:val="18"/>
          <w:color w:val="auto"/>
        </w:rPr>
      </w:pPr>
    </w:p>
    <w:p>
      <w:pPr>
        <w:ind w:left="800" w:hanging="150"/>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55" w:lineRule="exact"/>
        <w:rPr>
          <w:sz w:val="20"/>
          <w:szCs w:val="20"/>
          <w:color w:val="auto"/>
        </w:rPr>
      </w:pPr>
    </w:p>
    <w:p>
      <w:pPr>
        <w:ind w:firstLine="643"/>
        <w:spacing w:after="0" w:line="250"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140" w:lineRule="exact"/>
        <w:rPr>
          <w:sz w:val="20"/>
          <w:szCs w:val="20"/>
          <w:color w:val="auto"/>
        </w:rPr>
      </w:pPr>
    </w:p>
    <w:p>
      <w:pPr>
        <w:ind w:right="180" w:firstLine="643"/>
        <w:spacing w:after="0" w:line="249" w:lineRule="auto"/>
        <w:rPr>
          <w:sz w:val="20"/>
          <w:szCs w:val="20"/>
          <w:color w:val="auto"/>
        </w:rPr>
      </w:pPr>
      <w:r>
        <w:rPr>
          <w:rFonts w:ascii="Arial" w:cs="Arial" w:eastAsia="Arial" w:hAnsi="Arial"/>
          <w:sz w:val="18"/>
          <w:szCs w:val="18"/>
          <w:color w:val="auto"/>
        </w:rPr>
        <w:t>In addition, we cannot predict the likelihood, nature, or extent of government regulation that may arise from future legislation or administrative or executive action, either in the United States or abroad. The policies of the FDA and of other regulatory authorities may change and additional governmental regulations may be enacted that could prevent, limit, or delay regulatory approval of our product candidates. For example, certain policies of the new U.S. administration may impact our business and industry. Namely, the previous U.S. administration took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or whether these executive actions, including the Executive Orders, will be implemented, or whether they will be rescinded or replaced by the new U.S. administration. Certain policies of U.S. presidential administrations may impact our business and industry, and changing presidential administrations may result in the issuance of Executive Orders that could impact our business, regulatory environment, and industry. It is difficult to predict how such requirements, Executive Orders, and policies will be implemented.</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and retain key leadership and other personnel, or otherwise prevent new products and services from being developed or commercialized in a timely manner, which could negatively impact our business.</w:t>
      </w:r>
    </w:p>
    <w:p>
      <w:pPr>
        <w:spacing w:after="0" w:line="116" w:lineRule="exact"/>
        <w:rPr>
          <w:sz w:val="20"/>
          <w:szCs w:val="20"/>
          <w:color w:val="auto"/>
        </w:rPr>
      </w:pPr>
    </w:p>
    <w:p>
      <w:pPr>
        <w:ind w:right="20" w:firstLine="643"/>
        <w:spacing w:after="0" w:line="250"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142" w:lineRule="exact"/>
        <w:rPr>
          <w:sz w:val="20"/>
          <w:szCs w:val="20"/>
          <w:color w:val="auto"/>
        </w:rPr>
      </w:pPr>
    </w:p>
    <w:p>
      <w:pPr>
        <w:ind w:right="40" w:firstLine="643"/>
        <w:spacing w:after="0" w:line="268"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27" w:lineRule="exact"/>
        <w:rPr>
          <w:sz w:val="20"/>
          <w:szCs w:val="20"/>
          <w:color w:val="auto"/>
        </w:rPr>
      </w:pPr>
    </w:p>
    <w:p>
      <w:pPr>
        <w:ind w:right="100" w:firstLine="643"/>
        <w:spacing w:after="0" w:line="249" w:lineRule="auto"/>
        <w:rPr>
          <w:sz w:val="20"/>
          <w:szCs w:val="20"/>
          <w:color w:val="auto"/>
        </w:rPr>
      </w:pPr>
      <w:r>
        <w:rPr>
          <w:rFonts w:ascii="Arial" w:cs="Arial" w:eastAsia="Arial" w:hAnsi="Arial"/>
          <w:sz w:val="18"/>
          <w:szCs w:val="18"/>
          <w:color w:val="auto"/>
        </w:rPr>
        <w:t>Separately, in response to the global COVID-19 pandemic, on March 10, 2020, the FDA announced its intention to postpone most foreign inspections of manufacturing facilities and products through April 2020, and subsequently,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0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Our product candidates, if authorized for marketing, may cause or contribute to adverse medical events that we are required to report to the FDA, and if we fail to do so, we would be subject to sanctions that could harm our reputation, business, financial condition, and results of operations. The discovery of serious safety issues with our product candidates, or a recall of our products either voluntarily or at the direction of the FDA or another governmental authority, if such products are marketed, could have a negative impact on us.</w:t>
      </w:r>
    </w:p>
    <w:p>
      <w:pPr>
        <w:spacing w:after="0" w:line="137" w:lineRule="exact"/>
        <w:rPr>
          <w:sz w:val="20"/>
          <w:szCs w:val="20"/>
          <w:color w:val="auto"/>
        </w:rPr>
      </w:pPr>
    </w:p>
    <w:p>
      <w:pPr>
        <w:ind w:firstLine="643"/>
        <w:spacing w:after="0" w:line="249" w:lineRule="auto"/>
        <w:rPr>
          <w:sz w:val="20"/>
          <w:szCs w:val="20"/>
          <w:color w:val="auto"/>
        </w:rPr>
      </w:pPr>
      <w:r>
        <w:rPr>
          <w:rFonts w:ascii="Arial" w:cs="Arial" w:eastAsia="Arial" w:hAnsi="Arial"/>
          <w:sz w:val="18"/>
          <w:szCs w:val="18"/>
          <w:color w:val="auto"/>
        </w:rPr>
        <w:t>With respect to any of our product candidates in clinical testing or approved by FDA, we will be subject to the FDA’s safety reporting requirements.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could take action, including warning letters, untitled letters, administrative actions, criminal prosecution, imposition of civil monetary penalties, revocation of our approval, or delay in approval of future products.</w:t>
      </w:r>
    </w:p>
    <w:p>
      <w:pPr>
        <w:spacing w:after="0" w:line="144" w:lineRule="exact"/>
        <w:rPr>
          <w:sz w:val="20"/>
          <w:szCs w:val="20"/>
          <w:color w:val="auto"/>
        </w:rPr>
      </w:pPr>
    </w:p>
    <w:p>
      <w:pPr>
        <w:ind w:right="200" w:firstLine="643"/>
        <w:spacing w:after="0" w:line="250" w:lineRule="auto"/>
        <w:rPr>
          <w:sz w:val="20"/>
          <w:szCs w:val="20"/>
          <w:color w:val="auto"/>
        </w:rPr>
      </w:pPr>
      <w:r>
        <w:rPr>
          <w:rFonts w:ascii="Arial" w:cs="Arial" w:eastAsia="Arial" w:hAnsi="Arial"/>
          <w:sz w:val="18"/>
          <w:szCs w:val="18"/>
          <w:color w:val="auto"/>
        </w:rPr>
        <w:t>We may choose to voluntarily recall a product if any material deficiency is found. A recall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 Recalls involving our product candidates, if and when they are approved or otherwise authorized for marketing, could be particularly harmful to our business, financial condition and results of operations.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620"/>
        <w:spacing w:after="0" w:line="281" w:lineRule="auto"/>
        <w:rPr>
          <w:sz w:val="20"/>
          <w:szCs w:val="20"/>
          <w:color w:val="auto"/>
        </w:rPr>
      </w:pPr>
      <w:r>
        <w:rPr>
          <w:rFonts w:ascii="Arial" w:cs="Arial" w:eastAsia="Arial" w:hAnsi="Arial"/>
          <w:sz w:val="18"/>
          <w:szCs w:val="18"/>
          <w:b w:val="1"/>
          <w:bCs w:val="1"/>
          <w:i w:val="1"/>
          <w:iCs w:val="1"/>
          <w:color w:val="auto"/>
        </w:rPr>
        <w:t>We may be subject to healthcare laws and regulations relating to our business, and could face substantial penalties if we are determined not to have fully complied with such laws, which would have an adverse impact on our business.</w:t>
      </w:r>
    </w:p>
    <w:p>
      <w:pPr>
        <w:spacing w:after="0" w:line="100" w:lineRule="exact"/>
        <w:rPr>
          <w:sz w:val="20"/>
          <w:szCs w:val="20"/>
          <w:color w:val="auto"/>
        </w:rPr>
      </w:pPr>
    </w:p>
    <w:p>
      <w:pPr>
        <w:ind w:right="20" w:firstLine="643"/>
        <w:spacing w:after="0" w:line="250"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customers, and patients may expose us to broadly applicable fraud and abuse and other healthcare laws and regulations. These laws may constrain the business or financial arrangements and relationships through which we conduct our operations, including how we research, market, sell, and distribute any products for which we obtain marketing approval. Such laws include:</w:t>
      </w:r>
    </w:p>
    <w:p>
      <w:pPr>
        <w:spacing w:after="0" w:line="142" w:lineRule="exact"/>
        <w:rPr>
          <w:sz w:val="20"/>
          <w:szCs w:val="20"/>
          <w:color w:val="auto"/>
        </w:rPr>
      </w:pPr>
    </w:p>
    <w:p>
      <w:pPr>
        <w:ind w:left="820" w:hanging="170"/>
        <w:spacing w:after="0" w:line="250" w:lineRule="auto"/>
        <w:tabs>
          <w:tab w:leader="none" w:pos="8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U.S. healthcare program such as Medicare and Medicaid. A person or entity does not need to have actual knowledge of the U.S. federal Anti-Kickback Statute or specific intent to violate it in order to have committed a violation.</w:t>
      </w:r>
    </w:p>
    <w:p>
      <w:pPr>
        <w:spacing w:after="0" w:line="140" w:lineRule="exact"/>
        <w:rPr>
          <w:rFonts w:ascii="Arial" w:cs="Arial" w:eastAsia="Arial" w:hAnsi="Arial"/>
          <w:sz w:val="18"/>
          <w:szCs w:val="18"/>
          <w:color w:val="auto"/>
        </w:rPr>
      </w:pPr>
    </w:p>
    <w:p>
      <w:pPr>
        <w:ind w:left="820" w:hanging="170"/>
        <w:spacing w:after="0" w:line="249" w:lineRule="auto"/>
        <w:tabs>
          <w:tab w:leader="none" w:pos="8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U.S. federal civil and criminal false claims laws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government. In addition, the government may assert that a claim including items or services resulting from a violation of the U.S. federal Anti-Kickback Statute constitutes a false or fraudulent claim for purposes of the civil False Claims Act;</w:t>
      </w:r>
    </w:p>
    <w:p>
      <w:pPr>
        <w:spacing w:after="0" w:line="130" w:lineRule="exact"/>
        <w:rPr>
          <w:rFonts w:ascii="Arial" w:cs="Arial" w:eastAsia="Arial" w:hAnsi="Arial"/>
          <w:sz w:val="18"/>
          <w:szCs w:val="18"/>
          <w:color w:val="auto"/>
        </w:rPr>
      </w:pPr>
    </w:p>
    <w:p>
      <w:pPr>
        <w:ind w:left="820" w:right="60" w:hanging="170"/>
        <w:spacing w:after="0" w:line="250" w:lineRule="auto"/>
        <w:tabs>
          <w:tab w:leader="none" w:pos="8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140" w:lineRule="exact"/>
        <w:rPr>
          <w:rFonts w:ascii="Arial" w:cs="Arial" w:eastAsia="Arial" w:hAnsi="Arial"/>
          <w:sz w:val="18"/>
          <w:szCs w:val="18"/>
          <w:color w:val="auto"/>
        </w:rPr>
      </w:pPr>
    </w:p>
    <w:p>
      <w:pPr>
        <w:ind w:left="820" w:hanging="170"/>
        <w:spacing w:after="0" w:line="266" w:lineRule="auto"/>
        <w:tabs>
          <w:tab w:leader="none" w:pos="815"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U.S. Physician Payments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(defined to include doctors, dentists, optometrists, podiatrists, and chiropractors) and teaching hospitals, the ownership and investment interests held by such physicians and their immediate family members. Beginning in 2022, manufacturers will also be required to report payments and other transfers of value provided to physician assistants, nurse practitioners, clinical nurse specialists, certified registered nurse anesthetists, anesthesiologist assistants, and certified nurse midwives during the previous year;</w:t>
      </w:r>
    </w:p>
    <w:p>
      <w:pPr>
        <w:spacing w:after="0" w:line="130" w:lineRule="exact"/>
        <w:rPr>
          <w:rFonts w:ascii="Arial" w:cs="Arial" w:eastAsia="Arial" w:hAnsi="Arial"/>
          <w:sz w:val="17"/>
          <w:szCs w:val="17"/>
          <w:color w:val="auto"/>
        </w:rPr>
      </w:pPr>
    </w:p>
    <w:p>
      <w:pPr>
        <w:ind w:left="820" w:right="400" w:hanging="170"/>
        <w:spacing w:after="0" w:line="250" w:lineRule="auto"/>
        <w:tabs>
          <w:tab w:leader="none" w:pos="8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U.S. Foreign Corrupt Practices Act of 1977, as amended,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w:t>
      </w:r>
    </w:p>
    <w:p>
      <w:pPr>
        <w:spacing w:after="0" w:line="128" w:lineRule="exact"/>
        <w:rPr>
          <w:rFonts w:ascii="Arial" w:cs="Arial" w:eastAsia="Arial" w:hAnsi="Arial"/>
          <w:sz w:val="18"/>
          <w:szCs w:val="18"/>
          <w:color w:val="auto"/>
        </w:rPr>
      </w:pPr>
    </w:p>
    <w:p>
      <w:pPr>
        <w:ind w:left="820" w:right="40" w:hanging="170"/>
        <w:spacing w:after="0" w:line="255" w:lineRule="auto"/>
        <w:tabs>
          <w:tab w:leader="none" w:pos="8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820" w:right="120" w:hanging="170"/>
        <w:spacing w:after="0" w:line="266" w:lineRule="auto"/>
        <w:tabs>
          <w:tab w:leader="none" w:pos="815"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analogous state and non-U.S. laws and regulations, such as state anti-kickback and false claims laws, which may apply to our business practices, including, but not limited to, research, distribution, sales, and marketing arrangements and claims involving healthcare items or services reimbursed by non-governmental third-party payors, including private insurers; state laws that require pharmaceutical and device companies to comply with the industry’s voluntary compliance guidelines and the relevant compliance guidance promulgated by the U.S. government, or otherwise restrict payments that may be made to healthcare providers and other potential referral sources; and state laws and regulations that require manufacturers to report information related to payments and other transfers of value to physicians and other healthcare providers or marketing expenditures and pricing information.</w:t>
      </w:r>
    </w:p>
    <w:p>
      <w:pPr>
        <w:spacing w:after="0" w:line="117" w:lineRule="exact"/>
        <w:rPr>
          <w:sz w:val="20"/>
          <w:szCs w:val="20"/>
          <w:color w:val="auto"/>
        </w:rPr>
      </w:pPr>
    </w:p>
    <w:p>
      <w:pPr>
        <w:ind w:right="20" w:firstLine="643"/>
        <w:spacing w:after="0" w:line="265" w:lineRule="auto"/>
        <w:rPr>
          <w:sz w:val="20"/>
          <w:szCs w:val="20"/>
          <w:color w:val="auto"/>
        </w:rPr>
      </w:pPr>
      <w:r>
        <w:rPr>
          <w:rFonts w:ascii="Arial" w:cs="Arial" w:eastAsia="Arial" w:hAnsi="Arial"/>
          <w:sz w:val="17"/>
          <w:szCs w:val="17"/>
          <w:color w:val="auto"/>
        </w:rPr>
        <w:t>Efforts to ensure that our current and future business arrangements with third parties will comply with applicable healthcare laws and regulations will involve substantial costs. It is possible that governmental authorities may conclude that our business practices, including our consulting arrangements with and/or ownership interests by physicians and other healthcare providers, do not comply with current or future statutes, regulations, agency guidance, or case law involving applicable healthcare laws. If our operations are found to be in violation of any of these or any other health regulatory laws that may apply to us, we may be subject to significant penalties, including the imposition of significant civil, criminal and administrative penalties, damages, monetary fines, disgorgement, individual imprisonment, possible exclusion from participation in Medicare, Medicaid and other U.S. healthcare programs, contractual damages, reputational harm, diminished profits and future earnings, and curtailment or restructuring of our operations, any of which could adversely affect our ability to operate our business and our results of operations. Defending against any such actions can be costly, time-consuming, and may require significant financial and personnel resources. Therefore, even if we are successful in defending against any such actions that may be brought against us, our business may be impaired. If any of the above occur, it could adversely affect our ability to operate our business and our results of operations.</w:t>
      </w:r>
    </w:p>
    <w:p>
      <w:pPr>
        <w:spacing w:after="0" w:line="108" w:lineRule="exact"/>
        <w:rPr>
          <w:sz w:val="20"/>
          <w:szCs w:val="20"/>
          <w:color w:val="auto"/>
        </w:rPr>
      </w:pPr>
    </w:p>
    <w:p>
      <w:pPr>
        <w:ind w:right="220"/>
        <w:spacing w:after="0" w:line="281" w:lineRule="auto"/>
        <w:rPr>
          <w:sz w:val="20"/>
          <w:szCs w:val="20"/>
          <w:color w:val="auto"/>
        </w:rPr>
      </w:pPr>
      <w:r>
        <w:rPr>
          <w:rFonts w:ascii="Arial" w:cs="Arial" w:eastAsia="Arial" w:hAnsi="Arial"/>
          <w:sz w:val="18"/>
          <w:szCs w:val="18"/>
          <w:b w:val="1"/>
          <w:bCs w:val="1"/>
          <w:i w:val="1"/>
          <w:iCs w:val="1"/>
          <w:color w:val="auto"/>
        </w:rPr>
        <w:t>We have conducted and may in the future conduct clinical trials for our product candidates outside the United States and the FDA and applicable foreign regulatory authorities may not accept data from such trials.</w:t>
      </w:r>
    </w:p>
    <w:p>
      <w:pPr>
        <w:spacing w:after="0" w:line="113" w:lineRule="exact"/>
        <w:rPr>
          <w:sz w:val="20"/>
          <w:szCs w:val="20"/>
          <w:color w:val="auto"/>
        </w:rPr>
      </w:pPr>
    </w:p>
    <w:p>
      <w:pPr>
        <w:ind w:right="80" w:firstLine="643"/>
        <w:spacing w:after="0" w:line="249" w:lineRule="auto"/>
        <w:rPr>
          <w:sz w:val="20"/>
          <w:szCs w:val="20"/>
          <w:color w:val="auto"/>
        </w:rPr>
      </w:pPr>
      <w:r>
        <w:rPr>
          <w:rFonts w:ascii="Arial" w:cs="Arial" w:eastAsia="Arial" w:hAnsi="Arial"/>
          <w:sz w:val="18"/>
          <w:szCs w:val="18"/>
          <w:color w:val="auto"/>
        </w:rPr>
        <w:t>We have conducted and may in the future choose to conduct one or more of our clinical trials outside the United States, including in Canada and Europe. Although the FDA or applicable foreign regulatory authority may accept data from clinical trials conducted outside the United States or the applicable jurisdiction, acceptance of such study data by the FDA or applicable foreign regulatory authority may be subject to certain conditions. Where data from foreign clinical trials are intended to serve as the basis for marketing approval in the United States, the FDA will not approve the application on the basis of foreign data alone unless those data are applicable to the U.S. population and U.S. medical practice; the studies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Many foreign regulatory authorities have similar requirements. In addition, such foreign studies would be subject to the applicable local laws of the foreign jurisdictions where the studies are conducted. There can be no assurance the FDA or applicable foreign regulatory authority will accept data from trials conducted outside of the United States or the applicable jurisdiction. If the FDA or applicable foreign regulatory authority does not accept such data, it would likely result in the need for additional trials, which would be costly and time-consuming and delay aspects of our business plan.</w:t>
      </w:r>
    </w:p>
    <w:p>
      <w:pPr>
        <w:spacing w:after="0" w:line="106" w:lineRule="exact"/>
        <w:rPr>
          <w:sz w:val="20"/>
          <w:szCs w:val="20"/>
          <w:color w:val="auto"/>
        </w:rPr>
      </w:pPr>
    </w:p>
    <w:p>
      <w:pPr>
        <w:ind w:right="1220"/>
        <w:spacing w:after="0" w:line="281"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113" w:lineRule="exact"/>
        <w:rPr>
          <w:sz w:val="20"/>
          <w:szCs w:val="20"/>
          <w:color w:val="auto"/>
        </w:rPr>
      </w:pPr>
    </w:p>
    <w:p>
      <w:pPr>
        <w:ind w:firstLine="643"/>
        <w:spacing w:after="0" w:line="250" w:lineRule="auto"/>
        <w:rPr>
          <w:sz w:val="20"/>
          <w:szCs w:val="20"/>
          <w:color w:val="auto"/>
        </w:rPr>
      </w:pPr>
      <w:r>
        <w:rPr>
          <w:rFonts w:ascii="Arial" w:cs="Arial" w:eastAsia="Arial" w:hAnsi="Arial"/>
          <w:sz w:val="18"/>
          <w:szCs w:val="18"/>
          <w:color w:val="auto"/>
        </w:rPr>
        <w:t>In the United States and some non-U.S. jurisdictions, there have been, and we expect there will continue to be, a number of legislative and regulatory changes and proposed changes regarding the healthcare system that could, among other things, prevent or delay marketing approval of our product candidates, restrict or regulate post-approval activities, and affect our ability to profitably sell any product candidates for which we obtain marketing approval.</w:t>
      </w:r>
    </w:p>
    <w:p>
      <w:pPr>
        <w:spacing w:after="0" w:line="142" w:lineRule="exact"/>
        <w:rPr>
          <w:sz w:val="20"/>
          <w:szCs w:val="20"/>
          <w:color w:val="auto"/>
        </w:rPr>
      </w:pPr>
    </w:p>
    <w:p>
      <w:pPr>
        <w:ind w:right="40" w:firstLine="643"/>
        <w:spacing w:after="0" w:line="250" w:lineRule="auto"/>
        <w:rPr>
          <w:sz w:val="20"/>
          <w:szCs w:val="20"/>
          <w:color w:val="auto"/>
        </w:rPr>
      </w:pPr>
      <w:r>
        <w:rPr>
          <w:rFonts w:ascii="Arial" w:cs="Arial" w:eastAsia="Arial" w:hAnsi="Arial"/>
          <w:sz w:val="18"/>
          <w:szCs w:val="18"/>
          <w:color w:val="auto"/>
        </w:rPr>
        <w:t>For example, in March 2010, the Patient Protection and ACA, as amended by the Health Care and Education Reconciliation Act, collectively the ACA, was enacted in the United States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 The law has continued the downward pressure on the pricing of medical items and services, especially under the Medicare program, and increased the industry’s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regulatory burdens and operating costs. Among the provisions of the ACA of importance to our potential product candidates are the following:</w:t>
      </w:r>
    </w:p>
    <w:p>
      <w:pPr>
        <w:spacing w:after="0" w:line="141" w:lineRule="exact"/>
        <w:rPr>
          <w:sz w:val="20"/>
          <w:szCs w:val="20"/>
          <w:color w:val="auto"/>
        </w:rPr>
      </w:pPr>
    </w:p>
    <w:p>
      <w:pPr>
        <w:ind w:left="820" w:right="160" w:hanging="170"/>
        <w:spacing w:after="0" w:line="255" w:lineRule="auto"/>
        <w:tabs>
          <w:tab w:leader="none" w:pos="8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annual, nondeductible fee payable by any entity that manufactures or imports specified branded prescription drugs and biologic agents;</w:t>
      </w:r>
    </w:p>
    <w:p>
      <w:pPr>
        <w:spacing w:after="0" w:line="135" w:lineRule="exact"/>
        <w:rPr>
          <w:rFonts w:ascii="Arial" w:cs="Arial" w:eastAsia="Arial" w:hAnsi="Arial"/>
          <w:sz w:val="18"/>
          <w:szCs w:val="18"/>
          <w:color w:val="auto"/>
        </w:rPr>
      </w:pPr>
    </w:p>
    <w:p>
      <w:pPr>
        <w:ind w:left="800" w:hanging="150"/>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54" w:lineRule="exact"/>
        <w:rPr>
          <w:rFonts w:ascii="Arial" w:cs="Arial" w:eastAsia="Arial" w:hAnsi="Arial"/>
          <w:sz w:val="18"/>
          <w:szCs w:val="18"/>
          <w:color w:val="auto"/>
        </w:rPr>
      </w:pPr>
    </w:p>
    <w:p>
      <w:pPr>
        <w:ind w:left="820" w:right="320" w:hanging="170"/>
        <w:spacing w:after="0" w:line="255" w:lineRule="auto"/>
        <w:tabs>
          <w:tab w:leader="none" w:pos="8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122" w:lineRule="exact"/>
        <w:rPr>
          <w:rFonts w:ascii="Arial" w:cs="Arial" w:eastAsia="Arial" w:hAnsi="Arial"/>
          <w:sz w:val="18"/>
          <w:szCs w:val="18"/>
          <w:color w:val="auto"/>
        </w:rPr>
      </w:pPr>
    </w:p>
    <w:p>
      <w:pPr>
        <w:ind w:left="820" w:right="100" w:hanging="170"/>
        <w:spacing w:after="0" w:line="252" w:lineRule="auto"/>
        <w:tabs>
          <w:tab w:leader="none" w:pos="8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w:t>
      </w:r>
    </w:p>
    <w:p>
      <w:pPr>
        <w:spacing w:after="0" w:line="137" w:lineRule="exact"/>
        <w:rPr>
          <w:rFonts w:ascii="Arial" w:cs="Arial" w:eastAsia="Arial" w:hAnsi="Arial"/>
          <w:sz w:val="18"/>
          <w:szCs w:val="18"/>
          <w:color w:val="auto"/>
        </w:rPr>
      </w:pPr>
    </w:p>
    <w:p>
      <w:pPr>
        <w:ind w:left="800" w:hanging="150"/>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individuals enrolled in Medicaid managed care organizations;</w:t>
      </w:r>
    </w:p>
    <w:p>
      <w:pPr>
        <w:spacing w:after="0" w:line="154" w:lineRule="exact"/>
        <w:rPr>
          <w:rFonts w:ascii="Arial" w:cs="Arial" w:eastAsia="Arial" w:hAnsi="Arial"/>
          <w:sz w:val="18"/>
          <w:szCs w:val="18"/>
          <w:color w:val="auto"/>
        </w:rPr>
      </w:pPr>
    </w:p>
    <w:p>
      <w:pPr>
        <w:ind w:left="800" w:hanging="150"/>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in certain states;</w:t>
      </w:r>
    </w:p>
    <w:p>
      <w:pPr>
        <w:spacing w:after="0" w:line="141" w:lineRule="exact"/>
        <w:rPr>
          <w:rFonts w:ascii="Arial" w:cs="Arial" w:eastAsia="Arial" w:hAnsi="Arial"/>
          <w:sz w:val="18"/>
          <w:szCs w:val="18"/>
          <w:color w:val="auto"/>
        </w:rPr>
      </w:pPr>
    </w:p>
    <w:p>
      <w:pPr>
        <w:ind w:left="800" w:hanging="150"/>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54" w:lineRule="exact"/>
        <w:rPr>
          <w:rFonts w:ascii="Arial" w:cs="Arial" w:eastAsia="Arial" w:hAnsi="Arial"/>
          <w:sz w:val="18"/>
          <w:szCs w:val="18"/>
          <w:color w:val="auto"/>
        </w:rPr>
      </w:pPr>
    </w:p>
    <w:p>
      <w:pPr>
        <w:ind w:left="800" w:hanging="150"/>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w:t>
      </w:r>
    </w:p>
    <w:p>
      <w:pPr>
        <w:spacing w:after="0" w:line="154" w:lineRule="exact"/>
        <w:rPr>
          <w:rFonts w:ascii="Arial" w:cs="Arial" w:eastAsia="Arial" w:hAnsi="Arial"/>
          <w:sz w:val="18"/>
          <w:szCs w:val="18"/>
          <w:color w:val="auto"/>
        </w:rPr>
      </w:pPr>
    </w:p>
    <w:p>
      <w:pPr>
        <w:ind w:left="820" w:right="1080" w:hanging="170"/>
        <w:spacing w:after="0" w:line="255" w:lineRule="auto"/>
        <w:tabs>
          <w:tab w:leader="none" w:pos="8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122" w:lineRule="exact"/>
        <w:rPr>
          <w:rFonts w:ascii="Arial" w:cs="Arial" w:eastAsia="Arial" w:hAnsi="Arial"/>
          <w:sz w:val="18"/>
          <w:szCs w:val="18"/>
          <w:color w:val="auto"/>
        </w:rPr>
      </w:pPr>
    </w:p>
    <w:p>
      <w:pPr>
        <w:ind w:left="820" w:right="280" w:hanging="170"/>
        <w:spacing w:after="0" w:line="255" w:lineRule="auto"/>
        <w:tabs>
          <w:tab w:leader="none" w:pos="8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independent payment advisory board that will submit recommendations to Congress to reduce Medicare spending if projected Medicare spending exceeds a specified growth rate.</w:t>
      </w:r>
    </w:p>
    <w:p>
      <w:pPr>
        <w:spacing w:after="0" w:line="136" w:lineRule="exact"/>
        <w:rPr>
          <w:sz w:val="20"/>
          <w:szCs w:val="20"/>
          <w:color w:val="auto"/>
        </w:rPr>
      </w:pPr>
    </w:p>
    <w:p>
      <w:pPr>
        <w:ind w:right="20" w:firstLine="643"/>
        <w:spacing w:after="0" w:line="249" w:lineRule="auto"/>
        <w:rPr>
          <w:sz w:val="20"/>
          <w:szCs w:val="20"/>
          <w:color w:val="auto"/>
        </w:rPr>
      </w:pPr>
      <w:r>
        <w:rPr>
          <w:rFonts w:ascii="Arial" w:cs="Arial" w:eastAsia="Arial" w:hAnsi="Arial"/>
          <w:sz w:val="18"/>
          <w:szCs w:val="18"/>
          <w:color w:val="auto"/>
        </w:rPr>
        <w:t>Since its enactment, there have been judicial and Congressional challenges to certain aspects of the ACA, and we expect there will be additional challenges and amendments to the ACA in the future. By way of example, the Tax Cuts and Jobs Act of 2017, or TCJA, was enacted, which, among other things, removes penalties for not complying with the individual mandate to carry health insurance. On December 14, 2018, a U.S. District Court Judge in the Northern District of Texas (Texas District Court Judge) ruled that the individual mandate is a critical and inseverable feature of the ACA, and therefore, because it was repealed as part of the TCJA, the remaining provisions of the ACA are invalid as well. On December 18, 2019, the U.S. Court of Appeals for the 5th Circuit upheld the District Court ruling that the individual mandate was unconstitutional and remanded the case back to the District Court to determine whether the remaining provisions of the Affordable Care Act are invalid as well. The U.S. Supreme Court is currently reviewing the case, although it is unclear how the Supreme Court will rule. It is also unclear how other efforts to challenge, repeal, or replace the ACA will impact the law or our business. It is also unclear how other efforts, if any, to challenge, repeal, or replace the ACA will impact the ACA our business or financial condition.</w:t>
      </w:r>
    </w:p>
    <w:p>
      <w:pPr>
        <w:spacing w:after="0" w:line="142" w:lineRule="exact"/>
        <w:rPr>
          <w:sz w:val="20"/>
          <w:szCs w:val="20"/>
          <w:color w:val="auto"/>
        </w:rPr>
      </w:pPr>
    </w:p>
    <w:p>
      <w:pPr>
        <w:ind w:right="480" w:firstLine="643"/>
        <w:spacing w:after="0" w:line="263"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These changes include the Budget Control Act of 2011, which, among other things, resulted in reductions to Medicare payments to providers of</w:t>
      </w:r>
    </w:p>
    <w:p>
      <w:pPr>
        <w:spacing w:after="0" w:line="249" w:lineRule="auto"/>
        <w:rPr>
          <w:sz w:val="20"/>
          <w:szCs w:val="20"/>
          <w:color w:val="auto"/>
        </w:rPr>
      </w:pPr>
      <w:r>
        <w:rPr>
          <w:rFonts w:ascii="Arial" w:cs="Arial" w:eastAsia="Arial" w:hAnsi="Arial"/>
          <w:sz w:val="18"/>
          <w:szCs w:val="18"/>
          <w:color w:val="auto"/>
        </w:rPr>
        <w:t>2% per fiscal year and will remain in effect through 2030, with the exception of a temporary suspension from May 1, 2020 through March 31, 2021; the American Taxpayer Relief Act of 2012, which, among other things, further reduced Medicare payments to several types of providers and increased the statute of limitations period for the government to recover overpayments to providers from three to five years; and the Medicare Access and CHIP Reauthorization Act of 2015, which, among other things, ended the use of the sustainable growth rate formula and provides for a 0.5% update to physician payment rates for each calendar year through 2019, after which there will be a 0% annual update each year through 2025. More recently, there has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pharmaceutical products.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20" w:firstLine="643"/>
        <w:spacing w:after="0" w:line="249" w:lineRule="auto"/>
        <w:rPr>
          <w:sz w:val="20"/>
          <w:szCs w:val="20"/>
          <w:color w:val="auto"/>
        </w:rPr>
      </w:pPr>
      <w:r>
        <w:rPr>
          <w:rFonts w:ascii="Arial" w:cs="Arial" w:eastAsia="Arial" w:hAnsi="Arial"/>
          <w:sz w:val="18"/>
          <w:szCs w:val="18"/>
          <w:color w:val="auto"/>
        </w:rPr>
        <w:t>Individual states in the United States have also become increasingly aggressive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to purchase and which suppliers will be included in their prescription drug and other healthcare programs.</w:t>
      </w:r>
    </w:p>
    <w:p>
      <w:pPr>
        <w:spacing w:after="0" w:line="131" w:lineRule="exact"/>
        <w:rPr>
          <w:sz w:val="20"/>
          <w:szCs w:val="20"/>
          <w:color w:val="auto"/>
        </w:rPr>
      </w:pPr>
    </w:p>
    <w:p>
      <w:pPr>
        <w:ind w:firstLine="643"/>
        <w:spacing w:after="0" w:line="249"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more rigorous coverage criteria, new payment methodologies, and in additional downward pressure on the price that we receive for any approved product. Any reduction in reimbursement from Medicare or other government programs may result in a similar reduction in payments from private payors. We cannot predict the likelihood, nature, or extent of government regulation that may arise from future legislation or administrative action, either in the United States or abroad. If we are slow or unable to adapt to new requirements or policies, or if we are not able to maintain regulatory compliance, our product candidates be subject to enforcement action and we may not achieve or sustain profitability, which would adversely affect our business.</w:t>
      </w:r>
    </w:p>
    <w:p>
      <w:pPr>
        <w:spacing w:after="0" w:line="122" w:lineRule="exact"/>
        <w:rPr>
          <w:sz w:val="20"/>
          <w:szCs w:val="20"/>
          <w:color w:val="auto"/>
        </w:rPr>
      </w:pPr>
    </w:p>
    <w:p>
      <w:pPr>
        <w:ind w:right="80"/>
        <w:spacing w:after="0" w:line="287" w:lineRule="auto"/>
        <w:rPr>
          <w:sz w:val="20"/>
          <w:szCs w:val="20"/>
          <w:color w:val="auto"/>
        </w:rPr>
      </w:pPr>
      <w:r>
        <w:rPr>
          <w:rFonts w:ascii="Arial" w:cs="Arial" w:eastAsia="Arial" w:hAnsi="Arial"/>
          <w:sz w:val="17"/>
          <w:szCs w:val="17"/>
          <w:b w:val="1"/>
          <w:bCs w:val="1"/>
          <w:i w:val="1"/>
          <w:iCs w:val="1"/>
          <w:color w:val="auto"/>
        </w:rPr>
        <w:t>If any of our product candidates are approved for marketing and we are found to have improperly promoted off-label uses, or if physicians misuse our products or use our products off-label, we may become subject to prohibitions on the sale or marketing of our products, product liability claims and significant fines, penalties and sanctions, and our brand and reputation could be harmed.</w:t>
      </w:r>
    </w:p>
    <w:p>
      <w:pPr>
        <w:spacing w:after="0" w:line="111" w:lineRule="exact"/>
        <w:rPr>
          <w:sz w:val="20"/>
          <w:szCs w:val="20"/>
          <w:color w:val="auto"/>
        </w:rPr>
      </w:pPr>
    </w:p>
    <w:p>
      <w:pPr>
        <w:ind w:right="20" w:firstLine="643"/>
        <w:spacing w:after="0" w:line="248" w:lineRule="auto"/>
        <w:rPr>
          <w:sz w:val="20"/>
          <w:szCs w:val="20"/>
          <w:color w:val="auto"/>
        </w:rPr>
      </w:pPr>
      <w:r>
        <w:rPr>
          <w:rFonts w:ascii="Arial" w:cs="Arial" w:eastAsia="Arial" w:hAnsi="Arial"/>
          <w:sz w:val="18"/>
          <w:szCs w:val="18"/>
          <w:color w:val="auto"/>
        </w:rPr>
        <w:t>The FDA and other foreign regulatory authorities strictly regulate the marketing of and promotional claims that are made about drug products. In particular, a product may not be promoted for uses or indications that are not approved by the FDA or such other foreign regulatory authorities as reflected in the product’s approved labeling. In addition, although we believe our product candidates may exhibit a lower risk of side effects or more favorable tolerability profile or better symptomatic improvement than other products for the indications we are studying, without head-to-head data, we will be unable to make comparative claims for our product candidates, if approved. If we receive regulatory approval for any of our products and are found to have promoted any of our products for off-label uses, we may become subject to significant liability, which would materially harm our business. Both federal and state governments have levied large civil and criminal fines against companies for alleged improper promotion and have enjoined several companies from engaging in off-label promotion. If we become the target of such an investigation or prosecution based on our marketing and promotional practices, we could face similar sanctions, which would materially harm our business. In addition, management’s attention could be diverted from our business operations, significant legal expenses could be incurred, and our brand and reputation could be damaged. The FDA has also previously requested that companies enter into consent decrees or permanent injunctions under which specified promotional conduct is changed or curtailed. If we are deemed by the FDA to have engaged in the promotion of our products for off-label use, we could be subject to FDA regulatory or enforcement actions, including the issuance of an untitled letter, a warning letter, injunction, seizure, civil fine, or criminal penalties. It is also possible that other federal, state, or foreign enforcement authorities might take action if they determine our business activities constitute promotion of an off-label use, which could result in significant penalties, including criminal, civil or administrative penalties, damages, fines, disgorgement, exclusion from participation in government healthcare programs and the curtailment or restructuring of our operations.</w:t>
      </w:r>
    </w:p>
    <w:p>
      <w:pPr>
        <w:spacing w:after="0" w:line="140" w:lineRule="exact"/>
        <w:rPr>
          <w:sz w:val="20"/>
          <w:szCs w:val="20"/>
          <w:color w:val="auto"/>
        </w:rPr>
      </w:pPr>
    </w:p>
    <w:p>
      <w:pPr>
        <w:ind w:right="160" w:firstLine="643"/>
        <w:spacing w:after="0" w:line="250" w:lineRule="auto"/>
        <w:rPr>
          <w:sz w:val="20"/>
          <w:szCs w:val="20"/>
          <w:color w:val="auto"/>
        </w:rPr>
      </w:pPr>
      <w:r>
        <w:rPr>
          <w:rFonts w:ascii="Arial" w:cs="Arial" w:eastAsia="Arial" w:hAnsi="Arial"/>
          <w:sz w:val="18"/>
          <w:szCs w:val="18"/>
          <w:color w:val="auto"/>
        </w:rPr>
        <w:t>We cannot, however, prevent a physician from using our product candidates in ways that fall outside the scope of the approved indications, as he or she may deem appropriate in his or her medical judgment. Physicians may also misuse our product candidates or use improper techniques, which may lead to adverse results, side effects or injury and, potentially, subsequent product liability claims. Furthermore, the use of our product candidates for indications other than those approved by the FDA and/or other regulatory authorities may not effectively treat such conditions, which could harm our brand and reputation among both physicians and patients.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180"/>
        <w:spacing w:after="0" w:line="281" w:lineRule="auto"/>
        <w:rPr>
          <w:sz w:val="20"/>
          <w:szCs w:val="20"/>
          <w:color w:val="auto"/>
        </w:rPr>
      </w:pPr>
      <w:r>
        <w:rPr>
          <w:rFonts w:ascii="Arial" w:cs="Arial" w:eastAsia="Arial" w:hAnsi="Arial"/>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00" w:lineRule="exact"/>
        <w:rPr>
          <w:sz w:val="20"/>
          <w:szCs w:val="20"/>
          <w:color w:val="auto"/>
        </w:rPr>
      </w:pPr>
    </w:p>
    <w:p>
      <w:pPr>
        <w:ind w:right="60" w:firstLine="643"/>
        <w:spacing w:after="0" w:line="263" w:lineRule="auto"/>
        <w:rPr>
          <w:sz w:val="20"/>
          <w:szCs w:val="20"/>
          <w:color w:val="auto"/>
        </w:rPr>
      </w:pPr>
      <w:r>
        <w:rPr>
          <w:rFonts w:ascii="Arial" w:cs="Arial" w:eastAsia="Arial" w:hAnsi="Arial"/>
          <w:sz w:val="17"/>
          <w:szCs w:val="17"/>
          <w:color w:val="auto"/>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 As our operations and business grow, we may become subject to or affected by new or additional data protection laws and regulations and face increased scrutiny or attention from regulatory authorities. In the U.S., HIPAA imposes, among other things, certain standards relating to the privacy, security, transmission and breach reporting of individually identifiable health information. 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In addition, California enacted the California Consumer Privacy Act (CCPA) on June 28, 2018, which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 Further, the California Privacy Rights Act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362" w:lineRule="exact"/>
        <w:rPr>
          <w:sz w:val="20"/>
          <w:szCs w:val="20"/>
          <w:color w:val="auto"/>
        </w:rPr>
      </w:pPr>
    </w:p>
    <w:p>
      <w:pPr>
        <w:ind w:firstLine="643"/>
        <w:spacing w:after="0" w:line="249" w:lineRule="auto"/>
        <w:rPr>
          <w:sz w:val="20"/>
          <w:szCs w:val="20"/>
          <w:color w:val="auto"/>
        </w:rPr>
      </w:pPr>
      <w:r>
        <w:rPr>
          <w:rFonts w:ascii="Arial" w:cs="Arial" w:eastAsia="Arial" w:hAnsi="Arial"/>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CROs,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Common Stock</w:t>
      </w:r>
    </w:p>
    <w:p>
      <w:pPr>
        <w:spacing w:after="0" w:line="141"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b w:val="1"/>
          <w:bCs w:val="1"/>
          <w:i w:val="1"/>
          <w:iCs w:val="1"/>
          <w:color w:val="auto"/>
        </w:rPr>
        <w:t>We qualify as an “emerging growth company” as defined in the JOBS Act and we have decided to avail ourselves of reduced disclosure requirements applicable to emerging growth companies, including delaying adopting new or revised accounting standards, which could make our common stock less attractive to investors.</w:t>
      </w:r>
    </w:p>
    <w:p>
      <w:pPr>
        <w:spacing w:after="0" w:line="129" w:lineRule="exact"/>
        <w:rPr>
          <w:sz w:val="20"/>
          <w:szCs w:val="20"/>
          <w:color w:val="auto"/>
        </w:rPr>
      </w:pPr>
    </w:p>
    <w:p>
      <w:pPr>
        <w:ind w:right="80" w:firstLine="643"/>
        <w:spacing w:after="0" w:line="266" w:lineRule="auto"/>
        <w:rPr>
          <w:sz w:val="20"/>
          <w:szCs w:val="20"/>
          <w:color w:val="auto"/>
        </w:rPr>
      </w:pPr>
      <w:r>
        <w:rPr>
          <w:rFonts w:ascii="Arial" w:cs="Arial" w:eastAsia="Arial" w:hAnsi="Arial"/>
          <w:sz w:val="17"/>
          <w:szCs w:val="17"/>
          <w:color w:val="auto"/>
        </w:rPr>
        <w:t>We qualify as an “emerging growth company” as defined in the JOBS Act, and we intend to take advantage of certain exemptions from various reporting requirements that are applicable to other public companies that are not “emerging growth companies” including certain reduced financial statement reporting obligations, reduced disclosure obligations about our executive compensation arrangements, exemptions from the requirement that we solicit non-binding advisory votes on executive compensation or golden parachute arrangements and exemption from the auditor’s attestation requirements of Section 404(b) of the Sarbanes-Oxley Act. We may take advantage of these reporting exemptions until we are no longer an “emerging growth company.” As of June 30, 2021, we determined that we will become a "large accelerated filer" under the rules of the SEC and we will no longer be classified as an emerging growth company as of December 31, 2021.</w:t>
      </w:r>
    </w:p>
    <w:p>
      <w:pPr>
        <w:spacing w:after="0" w:line="130" w:lineRule="exact"/>
        <w:rPr>
          <w:sz w:val="20"/>
          <w:szCs w:val="20"/>
          <w:color w:val="auto"/>
        </w:rPr>
      </w:pPr>
    </w:p>
    <w:p>
      <w:pPr>
        <w:ind w:right="20" w:firstLine="643"/>
        <w:spacing w:after="0" w:line="248"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w:t>
      </w:r>
    </w:p>
    <w:p>
      <w:pPr>
        <w:spacing w:after="0" w:line="1"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Section 7(a)(2)(B) of the Securities Act of 1933, as amended, or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8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Raising additional funds by issuing securities may cause dilution to existing shareholders, raising additional funds through debt financings may involve restrictive covenants, and raising funds through lending and licensing arrangements may restrict our operations or require us to relinquish proprietary rights.</w:t>
      </w:r>
    </w:p>
    <w:p>
      <w:pPr>
        <w:spacing w:after="0" w:line="129" w:lineRule="exact"/>
        <w:rPr>
          <w:sz w:val="20"/>
          <w:szCs w:val="20"/>
          <w:color w:val="auto"/>
        </w:rPr>
      </w:pPr>
    </w:p>
    <w:p>
      <w:pPr>
        <w:ind w:right="180" w:firstLine="643"/>
        <w:spacing w:after="0" w:line="249" w:lineRule="auto"/>
        <w:rPr>
          <w:sz w:val="20"/>
          <w:szCs w:val="20"/>
          <w:color w:val="auto"/>
        </w:rPr>
      </w:pPr>
      <w:r>
        <w:rPr>
          <w:rFonts w:ascii="Arial" w:cs="Arial" w:eastAsia="Arial" w:hAnsi="Arial"/>
          <w:sz w:val="18"/>
          <w:szCs w:val="18"/>
          <w:color w:val="auto"/>
        </w:rPr>
        <w:t>We expect that significant additional capital will be needed in the future to continue our planned operations. Until such time, if ever, that we can generate substantial product revenue, we expect to finance our cash needs through a combination of equity offerings, debt financings, strategic alliances and license and development agreements or other collaborations. To the extent that we raise additional capital by issuing equity securities, our existing shareholders’ ownership may experience substantial dilution, and the terms of these securities may include liquidation or other preferences that could harm the rights of a common shareholder. Additionally, any agreements for future debt or preferred equity financings, if available, may involve covenants limiting or restricting our ability to take specific actions, such as incurring additional debt, making capital expenditures or declaring dividends.</w:t>
      </w:r>
    </w:p>
    <w:p>
      <w:pPr>
        <w:spacing w:after="0" w:line="144" w:lineRule="exact"/>
        <w:rPr>
          <w:sz w:val="20"/>
          <w:szCs w:val="20"/>
          <w:color w:val="auto"/>
        </w:rPr>
      </w:pPr>
    </w:p>
    <w:p>
      <w:pPr>
        <w:ind w:right="80" w:firstLine="643"/>
        <w:spacing w:after="0" w:line="250"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when needed, we may be required to delay, limit, reduce or terminate our product development or future commercialization efforts, or grant rights to develop and market product candidates that we would otherwise develop and market ourselves.</w:t>
      </w:r>
    </w:p>
    <w:p>
      <w:pPr>
        <w:spacing w:after="0" w:line="127" w:lineRule="exact"/>
        <w:rPr>
          <w:sz w:val="20"/>
          <w:szCs w:val="20"/>
          <w:color w:val="auto"/>
        </w:rPr>
      </w:pPr>
    </w:p>
    <w:p>
      <w:pPr>
        <w:ind w:firstLine="643"/>
        <w:spacing w:after="0" w:line="250" w:lineRule="auto"/>
        <w:rPr>
          <w:sz w:val="20"/>
          <w:szCs w:val="20"/>
          <w:color w:val="auto"/>
        </w:rPr>
      </w:pPr>
      <w:r>
        <w:rPr>
          <w:rFonts w:ascii="Arial" w:cs="Arial" w:eastAsia="Arial" w:hAnsi="Arial"/>
          <w:sz w:val="18"/>
          <w:szCs w:val="18"/>
          <w:color w:val="auto"/>
        </w:rPr>
        <w:t>On May 6, 2021, we entered into a sales agreement, or Sales Agreement, with Cowen and Company, LLC, or Cowen, to sell shares of our common stock, from time to time, with aggregate gross sales proceeds of up to $100,000,000, through an ATM equity offering program under which Cowen will act as our sales agent. During the six months ended June 30, 2021, we did not issue or sell any shares of our common stock through our ATM Offering Program. If we issue common stock or securities convertible into common stock, our common stockholders would experience additional dilution and, as a result, our stock price may decline.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77" w:lineRule="exact"/>
        <w:rPr>
          <w:sz w:val="20"/>
          <w:szCs w:val="20"/>
          <w:color w:val="auto"/>
        </w:rPr>
      </w:pPr>
    </w:p>
    <w:p>
      <w:pPr>
        <w:ind w:right="200" w:firstLine="643"/>
        <w:spacing w:after="0" w:line="250"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Moreover, holders of approximately 25.8 million shares of our common stock (including 1.4 million shares issued and sold pursuant to the private placement of shares in</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connection with our follow-on financing) have rights, subject to certain conditions, to require us to file registration statements covering their shares or to include their shares in registration statements that we may file for ourselves or other stockholders. We have registered and intend to continue to register all shares of common stock that we may issue under our equity compensation plans. Once we register these shares, they can be freely sold in the public market upon issuance, subject to volume limitations applicable to affiliates.</w:t>
      </w:r>
    </w:p>
    <w:p>
      <w:pPr>
        <w:spacing w:after="0" w:line="128" w:lineRule="exact"/>
        <w:rPr>
          <w:sz w:val="20"/>
          <w:szCs w:val="20"/>
          <w:color w:val="auto"/>
        </w:rPr>
      </w:pPr>
    </w:p>
    <w:p>
      <w:pPr>
        <w:ind w:right="200" w:firstLine="643"/>
        <w:spacing w:after="0" w:line="250" w:lineRule="auto"/>
        <w:rPr>
          <w:sz w:val="20"/>
          <w:szCs w:val="20"/>
          <w:color w:val="auto"/>
        </w:rPr>
      </w:pPr>
      <w:r>
        <w:rPr>
          <w:rFonts w:ascii="Arial" w:cs="Arial" w:eastAsia="Arial" w:hAnsi="Arial"/>
          <w:sz w:val="18"/>
          <w:szCs w:val="18"/>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warrant or options, or the perception that such sales may occur, could adversely affect the market price of our common stock.</w:t>
      </w:r>
    </w:p>
    <w:p>
      <w:pPr>
        <w:spacing w:after="0" w:line="142" w:lineRule="exact"/>
        <w:rPr>
          <w:sz w:val="20"/>
          <w:szCs w:val="20"/>
          <w:color w:val="auto"/>
        </w:rPr>
      </w:pPr>
    </w:p>
    <w:p>
      <w:pPr>
        <w:ind w:right="20" w:firstLine="643"/>
        <w:spacing w:after="0" w:line="250" w:lineRule="auto"/>
        <w:rPr>
          <w:sz w:val="20"/>
          <w:szCs w:val="20"/>
          <w:color w:val="auto"/>
        </w:rPr>
      </w:pPr>
      <w:r>
        <w:rPr>
          <w:rFonts w:ascii="Arial" w:cs="Arial" w:eastAsia="Arial" w:hAnsi="Arial"/>
          <w:sz w:val="18"/>
          <w:szCs w:val="18"/>
          <w:color w:val="auto"/>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To the extent that additional capital is raised through the sale and issuance of shares or other securities convertible into shares, our stockholders will be diluted. These sales, or the perception in the market that the holders of a large number of shares intend to sell shares, could reduce the market price of our common stock.</w:t>
      </w:r>
    </w:p>
    <w:p>
      <w:pPr>
        <w:spacing w:after="0" w:line="118" w:lineRule="exact"/>
        <w:rPr>
          <w:sz w:val="20"/>
          <w:szCs w:val="20"/>
          <w:color w:val="auto"/>
        </w:rPr>
      </w:pPr>
    </w:p>
    <w:p>
      <w:pPr>
        <w:ind w:right="200"/>
        <w:spacing w:after="0" w:line="281" w:lineRule="auto"/>
        <w:rPr>
          <w:sz w:val="20"/>
          <w:szCs w:val="20"/>
          <w:color w:val="auto"/>
        </w:rPr>
      </w:pPr>
      <w:r>
        <w:rPr>
          <w:rFonts w:ascii="Arial" w:cs="Arial" w:eastAsia="Arial" w:hAnsi="Arial"/>
          <w:sz w:val="18"/>
          <w:szCs w:val="18"/>
          <w:b w:val="1"/>
          <w:bCs w:val="1"/>
          <w:i w:val="1"/>
          <w:iCs w:val="1"/>
          <w:color w:val="auto"/>
        </w:rPr>
        <w:t>Our ability to utilize our Net Operating Loss carryforwards and research and development income tax credit carryforwards may be limited.</w:t>
      </w:r>
    </w:p>
    <w:p>
      <w:pPr>
        <w:spacing w:after="0" w:line="100" w:lineRule="exact"/>
        <w:rPr>
          <w:sz w:val="20"/>
          <w:szCs w:val="20"/>
          <w:color w:val="auto"/>
        </w:rPr>
      </w:pPr>
    </w:p>
    <w:p>
      <w:pPr>
        <w:ind w:firstLine="643"/>
        <w:spacing w:after="0" w:line="248" w:lineRule="auto"/>
        <w:rPr>
          <w:sz w:val="20"/>
          <w:szCs w:val="20"/>
          <w:color w:val="auto"/>
        </w:rPr>
      </w:pPr>
      <w:r>
        <w:rPr>
          <w:rFonts w:ascii="Arial" w:cs="Arial" w:eastAsia="Arial" w:hAnsi="Arial"/>
          <w:sz w:val="18"/>
          <w:szCs w:val="18"/>
          <w:color w:val="auto"/>
        </w:rPr>
        <w:t>We have incurred substantial losses during our history and do not expect to become profitable in the near future, and we may never achieve profitability. We have NOL carryforwards available to reduce future taxable income, if any, for federal, California and other state income tax purposes. If not utilized, state NOL carryforwards will expire beginning in 2030. A small amount of our federal NOL that was originated before the 2018 tax year will expire beginning in 2036. Under the Tax Act and Jobs Act of 2017, the remaining amount of our federal NOL carryforwards generated after December 31, 2017 will carryforward indefinitely. Under Section 382 and 383 of the Internal Revenue Code of 1986, as amended, if a corporation undergoes an “ownership change,” generally defined as a greater than 50% change (by value) in its equity ownership by certain stockholders over a three year period, the corporation’s ability to use its pre-change NOL carryforwards and other pre-change tax attributes (such as research tax credits) to offset its post-change income or taxes may be limited. A formal study has not been completed to determine if a change in ownership, as defined by Section 382, has occurred. We believe that we may undergo an “ownership change” limitation as a result of our IPO (some of which shifts are outside of our control). We may also experience additional ownership changes in the future as a result of subsequent shifts in our stock ownership. As a result, if we earn net taxable income, our ability to use our pre-change NOL carryforwards to offset U.S. federal taxable income may be subject to limitations, which could potentially result in increased future tax liability to us. In addition, at the state level, there may be periods during which the use of NOL carryforwards is suspended or otherwise limited, which could accelerate or permanently increase state taxes owed.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16" w:lineRule="exact"/>
        <w:rPr>
          <w:sz w:val="20"/>
          <w:szCs w:val="20"/>
          <w:color w:val="auto"/>
        </w:rPr>
      </w:pPr>
    </w:p>
    <w:p>
      <w:pPr>
        <w:ind w:right="540" w:firstLine="643"/>
        <w:spacing w:after="0" w:line="255" w:lineRule="auto"/>
        <w:rPr>
          <w:sz w:val="20"/>
          <w:szCs w:val="20"/>
          <w:color w:val="auto"/>
        </w:rPr>
      </w:pPr>
      <w:r>
        <w:rPr>
          <w:rFonts w:ascii="Arial" w:cs="Arial" w:eastAsia="Arial" w:hAnsi="Arial"/>
          <w:sz w:val="18"/>
          <w:szCs w:val="18"/>
          <w:color w:val="auto"/>
        </w:rPr>
        <w:t>Our restated certificate of incorporation and restated bylaws contain provisions that could delay or prevent changes in control or changes in our management without the consent of our board of directors. These provisions include the following:</w:t>
      </w:r>
    </w:p>
    <w:p>
      <w:pPr>
        <w:spacing w:after="0" w:line="136" w:lineRule="exact"/>
        <w:rPr>
          <w:sz w:val="20"/>
          <w:szCs w:val="20"/>
          <w:color w:val="auto"/>
        </w:rPr>
      </w:pPr>
    </w:p>
    <w:p>
      <w:pPr>
        <w:ind w:left="820" w:right="960" w:hanging="170"/>
        <w:spacing w:after="0" w:line="255" w:lineRule="auto"/>
        <w:tabs>
          <w:tab w:leader="none" w:pos="8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classified board of directors with three year staggered terms, which may delay the ability of stockholders to change the membership of a majority of our board of directors;</w:t>
      </w:r>
    </w:p>
    <w:p>
      <w:pPr>
        <w:spacing w:after="0" w:line="135" w:lineRule="exact"/>
        <w:rPr>
          <w:rFonts w:ascii="Arial" w:cs="Arial" w:eastAsia="Arial" w:hAnsi="Arial"/>
          <w:sz w:val="18"/>
          <w:szCs w:val="18"/>
          <w:color w:val="auto"/>
        </w:rPr>
      </w:pPr>
    </w:p>
    <w:p>
      <w:pPr>
        <w:ind w:left="800" w:hanging="150"/>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41" w:lineRule="exact"/>
        <w:rPr>
          <w:rFonts w:ascii="Arial" w:cs="Arial" w:eastAsia="Arial" w:hAnsi="Arial"/>
          <w:sz w:val="18"/>
          <w:szCs w:val="18"/>
          <w:color w:val="auto"/>
        </w:rPr>
      </w:pPr>
    </w:p>
    <w:p>
      <w:pPr>
        <w:ind w:left="820" w:right="180" w:hanging="170"/>
        <w:spacing w:after="0" w:line="252" w:lineRule="auto"/>
        <w:tabs>
          <w:tab w:leader="none" w:pos="8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37" w:lineRule="exact"/>
        <w:rPr>
          <w:rFonts w:ascii="Arial" w:cs="Arial" w:eastAsia="Arial" w:hAnsi="Arial"/>
          <w:sz w:val="18"/>
          <w:szCs w:val="18"/>
          <w:color w:val="auto"/>
        </w:rPr>
      </w:pPr>
    </w:p>
    <w:p>
      <w:pPr>
        <w:jc w:val="both"/>
        <w:ind w:left="820" w:right="40" w:hanging="170"/>
        <w:spacing w:after="0" w:line="252" w:lineRule="auto"/>
        <w:tabs>
          <w:tab w:leader="none" w:pos="8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137" w:lineRule="exact"/>
        <w:rPr>
          <w:rFonts w:ascii="Arial" w:cs="Arial" w:eastAsia="Arial" w:hAnsi="Arial"/>
          <w:sz w:val="18"/>
          <w:szCs w:val="18"/>
          <w:color w:val="auto"/>
        </w:rPr>
      </w:pPr>
    </w:p>
    <w:p>
      <w:pPr>
        <w:ind w:left="800" w:hanging="150"/>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bylaws without obtaining stockholder approval;</w:t>
      </w:r>
    </w:p>
    <w:p>
      <w:pPr>
        <w:spacing w:after="0" w:line="141" w:lineRule="exact"/>
        <w:rPr>
          <w:rFonts w:ascii="Arial" w:cs="Arial" w:eastAsia="Arial" w:hAnsi="Arial"/>
          <w:sz w:val="18"/>
          <w:szCs w:val="18"/>
          <w:color w:val="auto"/>
        </w:rPr>
      </w:pPr>
    </w:p>
    <w:p>
      <w:pPr>
        <w:ind w:left="820" w:right="480" w:hanging="170"/>
        <w:spacing w:after="0" w:line="255" w:lineRule="auto"/>
        <w:tabs>
          <w:tab w:leader="none" w:pos="8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required approval of a super-majority of the shares entitled to vote at an election of directors to adopt, amend or repeal our bylaws or repeal the provisions of our restated certificate of incorporation regarding the election and removal of directors;</w:t>
      </w:r>
    </w:p>
    <w:p>
      <w:pPr>
        <w:spacing w:after="0" w:line="135" w:lineRule="exact"/>
        <w:rPr>
          <w:rFonts w:ascii="Arial" w:cs="Arial" w:eastAsia="Arial" w:hAnsi="Arial"/>
          <w:sz w:val="18"/>
          <w:szCs w:val="18"/>
          <w:color w:val="auto"/>
        </w:rPr>
      </w:pPr>
    </w:p>
    <w:p>
      <w:pPr>
        <w:ind w:left="820" w:right="200" w:hanging="170"/>
        <w:spacing w:after="0" w:line="255" w:lineRule="auto"/>
        <w:tabs>
          <w:tab w:leader="none" w:pos="8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35" w:lineRule="exact"/>
        <w:rPr>
          <w:rFonts w:ascii="Arial" w:cs="Arial" w:eastAsia="Arial" w:hAnsi="Arial"/>
          <w:sz w:val="18"/>
          <w:szCs w:val="18"/>
          <w:color w:val="auto"/>
        </w:rPr>
      </w:pPr>
    </w:p>
    <w:p>
      <w:pPr>
        <w:ind w:left="820" w:right="20" w:hanging="170"/>
        <w:spacing w:after="0" w:line="252" w:lineRule="auto"/>
        <w:tabs>
          <w:tab w:leader="none" w:pos="8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chief executive officer or the president or the board of directors, which may delay the ability of our stockholders to force consideration of a proposal or to take action, including the removal of directors; and</w:t>
      </w:r>
    </w:p>
    <w:p>
      <w:pPr>
        <w:spacing w:after="0" w:line="124" w:lineRule="exact"/>
        <w:rPr>
          <w:rFonts w:ascii="Arial" w:cs="Arial" w:eastAsia="Arial" w:hAnsi="Arial"/>
          <w:sz w:val="18"/>
          <w:szCs w:val="18"/>
          <w:color w:val="auto"/>
        </w:rPr>
      </w:pPr>
    </w:p>
    <w:p>
      <w:pPr>
        <w:ind w:left="820" w:right="80" w:hanging="170"/>
        <w:spacing w:after="0" w:line="252" w:lineRule="auto"/>
        <w:tabs>
          <w:tab w:leader="none" w:pos="8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these provisions would apply even if we were to receive an offer that some stockholders may consider beneficial.</w:t>
      </w:r>
    </w:p>
    <w:p>
      <w:pPr>
        <w:spacing w:after="0" w:line="155" w:lineRule="exact"/>
        <w:rPr>
          <w:sz w:val="20"/>
          <w:szCs w:val="20"/>
          <w:color w:val="auto"/>
        </w:rPr>
      </w:pPr>
    </w:p>
    <w:p>
      <w:pPr>
        <w:ind w:right="240" w:firstLine="643"/>
        <w:spacing w:after="0" w:line="252" w:lineRule="auto"/>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Our restated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16" w:lineRule="exact"/>
        <w:rPr>
          <w:sz w:val="20"/>
          <w:szCs w:val="20"/>
          <w:color w:val="auto"/>
        </w:rPr>
      </w:pPr>
    </w:p>
    <w:p>
      <w:pPr>
        <w:ind w:right="20" w:firstLine="643"/>
        <w:spacing w:after="0" w:line="249" w:lineRule="auto"/>
        <w:rPr>
          <w:sz w:val="20"/>
          <w:szCs w:val="20"/>
          <w:color w:val="auto"/>
        </w:rPr>
      </w:pPr>
      <w:r>
        <w:rPr>
          <w:rFonts w:ascii="Arial" w:cs="Arial" w:eastAsia="Arial" w:hAnsi="Arial"/>
          <w:sz w:val="18"/>
          <w:szCs w:val="18"/>
          <w:color w:val="auto"/>
        </w:rPr>
        <w:t>Our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our restated certificate of incorporation, or our restated bylaws; or any action asserting a claim against us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 and asserts claims under the Securities Act, inasmuch as Section 22 of the Securities Act creates concurrent jurisdiction for federal and state courts over all suits brought to enforce any duty or liability created by the Securities Act or the rule and regulations thereunder. There is uncertainty as to whether a court would enforce such provision with respect to claims under the Securities Act, and our stockholders will not be deemed to have waived our compliance with the federal securities laws and the rules and regulations thereunder.</w:t>
      </w:r>
    </w:p>
    <w:p>
      <w:pPr>
        <w:spacing w:after="0" w:line="142" w:lineRule="exact"/>
        <w:rPr>
          <w:sz w:val="20"/>
          <w:szCs w:val="20"/>
          <w:color w:val="auto"/>
        </w:rPr>
      </w:pPr>
    </w:p>
    <w:p>
      <w:pPr>
        <w:ind w:firstLine="643"/>
        <w:spacing w:after="0" w:line="250"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18" w:lineRule="exact"/>
        <w:rPr>
          <w:sz w:val="20"/>
          <w:szCs w:val="20"/>
          <w:color w:val="auto"/>
        </w:rPr>
      </w:pPr>
    </w:p>
    <w:p>
      <w:pPr>
        <w:ind w:right="540"/>
        <w:spacing w:after="0" w:line="281"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100" w:lineRule="exact"/>
        <w:rPr>
          <w:sz w:val="20"/>
          <w:szCs w:val="20"/>
          <w:color w:val="auto"/>
        </w:rPr>
      </w:pPr>
    </w:p>
    <w:p>
      <w:pPr>
        <w:ind w:firstLine="643"/>
        <w:spacing w:after="0" w:line="250" w:lineRule="auto"/>
        <w:rPr>
          <w:sz w:val="20"/>
          <w:szCs w:val="20"/>
          <w:color w:val="auto"/>
        </w:rPr>
      </w:pPr>
      <w:r>
        <w:rPr>
          <w:rFonts w:ascii="Arial" w:cs="Arial" w:eastAsia="Arial" w:hAnsi="Arial"/>
          <w:sz w:val="18"/>
          <w:szCs w:val="18"/>
          <w:color w:val="auto"/>
        </w:rPr>
        <w:t>We do not currently intend to pay any cash dividends on our common stock for the foreseeable future. We currently intend to invest our future earnings, if any, to fund our growth. Therefore, you are not likely to receive any dividends on your common stock for the foreseeable future. Since we do not intend to pay dividends, your ability to receive a return on your investment will depend on any future appreciation in the market value of our common stock. There is no guarantee that our common stock will appreciate or even maintain the price at which our holders have purchased it.</w:t>
      </w:r>
    </w:p>
    <w:p>
      <w:pPr>
        <w:spacing w:after="0" w:line="118"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General Risk Factors</w:t>
      </w:r>
    </w:p>
    <w:p>
      <w:pPr>
        <w:spacing w:after="0" w:line="155" w:lineRule="exact"/>
        <w:rPr>
          <w:sz w:val="20"/>
          <w:szCs w:val="20"/>
          <w:color w:val="auto"/>
        </w:rPr>
      </w:pPr>
    </w:p>
    <w:p>
      <w:pPr>
        <w:ind w:right="980"/>
        <w:spacing w:after="0" w:line="281" w:lineRule="auto"/>
        <w:rPr>
          <w:sz w:val="20"/>
          <w:szCs w:val="20"/>
          <w:color w:val="auto"/>
        </w:rPr>
      </w:pPr>
      <w:r>
        <w:rPr>
          <w:rFonts w:ascii="Arial" w:cs="Arial" w:eastAsia="Arial" w:hAnsi="Arial"/>
          <w:sz w:val="18"/>
          <w:szCs w:val="18"/>
          <w:b w:val="1"/>
          <w:bCs w:val="1"/>
          <w:i w:val="1"/>
          <w:iCs w:val="1"/>
          <w:color w:val="auto"/>
        </w:rPr>
        <w:t>Unfavorable global economic or political conditions could adversely affect our business, financial condition or results of operations.</w:t>
      </w:r>
    </w:p>
    <w:p>
      <w:pPr>
        <w:spacing w:after="0" w:line="100" w:lineRule="exact"/>
        <w:rPr>
          <w:sz w:val="20"/>
          <w:szCs w:val="20"/>
          <w:color w:val="auto"/>
        </w:rPr>
      </w:pPr>
    </w:p>
    <w:p>
      <w:pPr>
        <w:ind w:right="80" w:firstLine="643"/>
        <w:spacing w:after="0" w:line="249"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A global financial crisis or a global or regional political disruption could cause extreme volatility in the capital and credit markets. For example, outbreaks of epidemic, pandemic, or contagious diseases, such as the COVID-19 outbreak, could disrupt our business. Business disruptions could include disruptions to the enrollment, clinical site availability, patient accessibility and conduct of our clinical trials, as well as temporary closures of the facilities of suppliers or contract manufacturers in the biotechnology supply chain. In addition, the COVID-19 outbreak, including developments involving subsequent COVID-19 variants, may result in a severe economic downturn and has already significantly affected the financial markets of many countries. A severe or prolonged economic downturn or political disruption could result in a variety of risks to our business, including our ability to raise capital when needed on acceptable terms, if at all. A weak or declining economy or political disruption could also strain our manufacturers or suppliers, possibly resulting in supply disruption, or cause our customers to delay making payments for our services. Any of the foregoing could harm our business and we cannot anticipate all of the ways in which the political or economic climate and financial market conditions could adversely impact our business.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stock price of our common stock may be volatile or may decline.</w:t>
      </w:r>
    </w:p>
    <w:p>
      <w:pPr>
        <w:spacing w:after="0" w:line="177" w:lineRule="exact"/>
        <w:rPr>
          <w:sz w:val="20"/>
          <w:szCs w:val="20"/>
          <w:color w:val="auto"/>
        </w:rPr>
      </w:pPr>
    </w:p>
    <w:p>
      <w:pPr>
        <w:ind w:right="360" w:firstLine="643"/>
        <w:spacing w:after="0" w:line="255" w:lineRule="auto"/>
        <w:rPr>
          <w:sz w:val="20"/>
          <w:szCs w:val="20"/>
          <w:color w:val="auto"/>
        </w:rPr>
      </w:pPr>
      <w:r>
        <w:rPr>
          <w:rFonts w:ascii="Arial" w:cs="Arial" w:eastAsia="Arial" w:hAnsi="Arial"/>
          <w:sz w:val="18"/>
          <w:szCs w:val="18"/>
          <w:color w:val="auto"/>
        </w:rPr>
        <w:t>The market price of our common stock may fluctuate significantly in response to numerous factors, many of which are beyond our control, including:</w:t>
      </w:r>
    </w:p>
    <w:p>
      <w:pPr>
        <w:spacing w:after="0" w:line="123" w:lineRule="exact"/>
        <w:rPr>
          <w:sz w:val="20"/>
          <w:szCs w:val="20"/>
          <w:color w:val="auto"/>
        </w:rPr>
      </w:pPr>
    </w:p>
    <w:p>
      <w:pPr>
        <w:ind w:left="800" w:hanging="150"/>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limited daily trading volume resulting in the lack of a liquid market;</w:t>
      </w:r>
    </w:p>
    <w:p>
      <w:pPr>
        <w:spacing w:after="0" w:line="200" w:lineRule="exact"/>
        <w:rPr>
          <w:rFonts w:ascii="Arial" w:cs="Arial" w:eastAsia="Arial" w:hAnsi="Arial"/>
          <w:sz w:val="18"/>
          <w:szCs w:val="18"/>
          <w:color w:val="auto"/>
        </w:rPr>
      </w:pPr>
    </w:p>
    <w:p>
      <w:pPr>
        <w:spacing w:after="0" w:line="356"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820" w:right="800" w:hanging="170"/>
        <w:spacing w:after="0" w:line="255" w:lineRule="auto"/>
        <w:tabs>
          <w:tab w:leader="none" w:pos="8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development status of our product candidates, including whether we discontinue development or if any of our product candidates receive regulatory approval;</w:t>
      </w:r>
    </w:p>
    <w:p>
      <w:pPr>
        <w:spacing w:after="0" w:line="122" w:lineRule="exact"/>
        <w:rPr>
          <w:rFonts w:ascii="Arial" w:cs="Arial" w:eastAsia="Arial" w:hAnsi="Arial"/>
          <w:sz w:val="18"/>
          <w:szCs w:val="18"/>
          <w:color w:val="auto"/>
        </w:rPr>
      </w:pPr>
    </w:p>
    <w:p>
      <w:pPr>
        <w:ind w:left="820" w:right="100" w:hanging="170"/>
        <w:spacing w:after="0" w:line="255" w:lineRule="auto"/>
        <w:tabs>
          <w:tab w:leader="none" w:pos="8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performance of third parties on whom we rely for clinical trials, manufacturing, marketing, sales and distribution, including their ability to comply with regulatory requirements;</w:t>
      </w:r>
    </w:p>
    <w:p>
      <w:pPr>
        <w:spacing w:after="0" w:line="135" w:lineRule="exact"/>
        <w:rPr>
          <w:rFonts w:ascii="Arial" w:cs="Arial" w:eastAsia="Arial" w:hAnsi="Arial"/>
          <w:sz w:val="18"/>
          <w:szCs w:val="18"/>
          <w:color w:val="auto"/>
        </w:rPr>
      </w:pPr>
    </w:p>
    <w:p>
      <w:pPr>
        <w:ind w:left="800" w:hanging="150"/>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legal or political developments in the United States and foreign countries;</w:t>
      </w:r>
    </w:p>
    <w:p>
      <w:pPr>
        <w:spacing w:after="0" w:line="154" w:lineRule="exact"/>
        <w:rPr>
          <w:rFonts w:ascii="Arial" w:cs="Arial" w:eastAsia="Arial" w:hAnsi="Arial"/>
          <w:sz w:val="18"/>
          <w:szCs w:val="18"/>
          <w:color w:val="auto"/>
        </w:rPr>
      </w:pPr>
    </w:p>
    <w:p>
      <w:pPr>
        <w:ind w:left="800" w:hanging="150"/>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results of our clinical trials and preclinical studies;</w:t>
      </w:r>
    </w:p>
    <w:p>
      <w:pPr>
        <w:spacing w:after="0" w:line="141" w:lineRule="exact"/>
        <w:rPr>
          <w:rFonts w:ascii="Arial" w:cs="Arial" w:eastAsia="Arial" w:hAnsi="Arial"/>
          <w:sz w:val="18"/>
          <w:szCs w:val="18"/>
          <w:color w:val="auto"/>
        </w:rPr>
      </w:pPr>
    </w:p>
    <w:p>
      <w:pPr>
        <w:ind w:left="800" w:hanging="150"/>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clinical results of our competitors or potential competitors;</w:t>
      </w:r>
    </w:p>
    <w:p>
      <w:pPr>
        <w:spacing w:after="0" w:line="154" w:lineRule="exact"/>
        <w:rPr>
          <w:rFonts w:ascii="Arial" w:cs="Arial" w:eastAsia="Arial" w:hAnsi="Arial"/>
          <w:sz w:val="18"/>
          <w:szCs w:val="18"/>
          <w:color w:val="auto"/>
        </w:rPr>
      </w:pPr>
    </w:p>
    <w:p>
      <w:pPr>
        <w:ind w:left="800" w:hanging="150"/>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execution of our partnering and manufacturing arrangements;</w:t>
      </w:r>
    </w:p>
    <w:p>
      <w:pPr>
        <w:spacing w:after="0" w:line="154" w:lineRule="exact"/>
        <w:rPr>
          <w:rFonts w:ascii="Arial" w:cs="Arial" w:eastAsia="Arial" w:hAnsi="Arial"/>
          <w:sz w:val="18"/>
          <w:szCs w:val="18"/>
          <w:color w:val="auto"/>
        </w:rPr>
      </w:pPr>
    </w:p>
    <w:p>
      <w:pPr>
        <w:ind w:left="820" w:right="20" w:hanging="170"/>
        <w:spacing w:after="0" w:line="255" w:lineRule="auto"/>
        <w:tabs>
          <w:tab w:leader="none" w:pos="8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execution of collaboration, co-promotion, licensing or other arrangements, and the timing of payments we may make or receive under these arrangements;</w:t>
      </w:r>
    </w:p>
    <w:p>
      <w:pPr>
        <w:spacing w:after="0" w:line="122" w:lineRule="exact"/>
        <w:rPr>
          <w:rFonts w:ascii="Arial" w:cs="Arial" w:eastAsia="Arial" w:hAnsi="Arial"/>
          <w:sz w:val="18"/>
          <w:szCs w:val="18"/>
          <w:color w:val="auto"/>
        </w:rPr>
      </w:pPr>
    </w:p>
    <w:p>
      <w:pPr>
        <w:ind w:left="820" w:right="240" w:hanging="170"/>
        <w:spacing w:after="0" w:line="255" w:lineRule="auto"/>
        <w:tabs>
          <w:tab w:leader="none" w:pos="8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preclinical and clinical development programs, including relating to the timing of invoices from, and other billing practices of, our CROs and clinical trial sites;</w:t>
      </w:r>
    </w:p>
    <w:p>
      <w:pPr>
        <w:spacing w:after="0" w:line="135" w:lineRule="exact"/>
        <w:rPr>
          <w:rFonts w:ascii="Arial" w:cs="Arial" w:eastAsia="Arial" w:hAnsi="Arial"/>
          <w:sz w:val="18"/>
          <w:szCs w:val="18"/>
          <w:color w:val="auto"/>
        </w:rPr>
      </w:pPr>
    </w:p>
    <w:p>
      <w:pPr>
        <w:ind w:left="800" w:hanging="150"/>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commercialization activities, if any product candidates are approved;</w:t>
      </w:r>
    </w:p>
    <w:p>
      <w:pPr>
        <w:spacing w:after="0" w:line="154" w:lineRule="exact"/>
        <w:rPr>
          <w:rFonts w:ascii="Arial" w:cs="Arial" w:eastAsia="Arial" w:hAnsi="Arial"/>
          <w:sz w:val="18"/>
          <w:szCs w:val="18"/>
          <w:color w:val="auto"/>
        </w:rPr>
      </w:pPr>
    </w:p>
    <w:p>
      <w:pPr>
        <w:ind w:left="800" w:hanging="150"/>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success of, and fluctuations in, the commercial sales any product candidates approved for commercialization in the future;</w:t>
      </w:r>
    </w:p>
    <w:p>
      <w:pPr>
        <w:spacing w:after="0" w:line="141" w:lineRule="exact"/>
        <w:rPr>
          <w:rFonts w:ascii="Arial" w:cs="Arial" w:eastAsia="Arial" w:hAnsi="Arial"/>
          <w:sz w:val="18"/>
          <w:szCs w:val="18"/>
          <w:color w:val="auto"/>
        </w:rPr>
      </w:pPr>
    </w:p>
    <w:p>
      <w:pPr>
        <w:ind w:left="800" w:hanging="150"/>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54" w:lineRule="exact"/>
        <w:rPr>
          <w:rFonts w:ascii="Arial" w:cs="Arial" w:eastAsia="Arial" w:hAnsi="Arial"/>
          <w:sz w:val="18"/>
          <w:szCs w:val="18"/>
          <w:color w:val="auto"/>
        </w:rPr>
      </w:pPr>
    </w:p>
    <w:p>
      <w:pPr>
        <w:ind w:left="800" w:hanging="150"/>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pharmaceutical companies;</w:t>
      </w:r>
    </w:p>
    <w:p>
      <w:pPr>
        <w:spacing w:after="0" w:line="154" w:lineRule="exact"/>
        <w:rPr>
          <w:rFonts w:ascii="Arial" w:cs="Arial" w:eastAsia="Arial" w:hAnsi="Arial"/>
          <w:sz w:val="18"/>
          <w:szCs w:val="18"/>
          <w:color w:val="auto"/>
        </w:rPr>
      </w:pPr>
    </w:p>
    <w:p>
      <w:pPr>
        <w:ind w:left="820" w:right="360" w:hanging="170"/>
        <w:spacing w:after="0" w:line="255" w:lineRule="auto"/>
        <w:tabs>
          <w:tab w:leader="none" w:pos="8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market conditions or trends in our industry or the economy as a whole, including as a result of market volatility related to global health concerns and, in particular, the extreme volatility experienced during the ongoing COVID-19 pandemic;</w:t>
      </w:r>
    </w:p>
    <w:p>
      <w:pPr>
        <w:spacing w:after="0" w:line="122" w:lineRule="exact"/>
        <w:rPr>
          <w:rFonts w:ascii="Arial" w:cs="Arial" w:eastAsia="Arial" w:hAnsi="Arial"/>
          <w:sz w:val="18"/>
          <w:szCs w:val="18"/>
          <w:color w:val="auto"/>
        </w:rPr>
      </w:pPr>
    </w:p>
    <w:p>
      <w:pPr>
        <w:ind w:left="820" w:hanging="170"/>
        <w:spacing w:after="0" w:line="252" w:lineRule="auto"/>
        <w:tabs>
          <w:tab w:leader="none" w:pos="8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third parties, including our filings with the SEC, and announcements relating to acquisitions, strategic transactions, licenses, joint ventures, capital commitments, intellectual property, litigation or other disputes impacting us or our business;</w:t>
      </w:r>
    </w:p>
    <w:p>
      <w:pPr>
        <w:spacing w:after="0" w:line="137" w:lineRule="exact"/>
        <w:rPr>
          <w:rFonts w:ascii="Arial" w:cs="Arial" w:eastAsia="Arial" w:hAnsi="Arial"/>
          <w:sz w:val="18"/>
          <w:szCs w:val="18"/>
          <w:color w:val="auto"/>
        </w:rPr>
      </w:pPr>
    </w:p>
    <w:p>
      <w:pPr>
        <w:ind w:left="800" w:hanging="150"/>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developments with respect to intellectual property rights;</w:t>
      </w:r>
    </w:p>
    <w:p>
      <w:pPr>
        <w:spacing w:after="0" w:line="154" w:lineRule="exact"/>
        <w:rPr>
          <w:rFonts w:ascii="Arial" w:cs="Arial" w:eastAsia="Arial" w:hAnsi="Arial"/>
          <w:sz w:val="18"/>
          <w:szCs w:val="18"/>
          <w:color w:val="auto"/>
        </w:rPr>
      </w:pPr>
    </w:p>
    <w:p>
      <w:pPr>
        <w:ind w:left="800" w:hanging="150"/>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commencement of, or involvement in, litigation;</w:t>
      </w:r>
    </w:p>
    <w:p>
      <w:pPr>
        <w:spacing w:after="0" w:line="141" w:lineRule="exact"/>
        <w:rPr>
          <w:rFonts w:ascii="Arial" w:cs="Arial" w:eastAsia="Arial" w:hAnsi="Arial"/>
          <w:sz w:val="18"/>
          <w:szCs w:val="18"/>
          <w:color w:val="auto"/>
        </w:rPr>
      </w:pPr>
    </w:p>
    <w:p>
      <w:pPr>
        <w:ind w:left="800" w:hanging="150"/>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FDA or foreign regulatory actions affecting us or our industry;</w:t>
      </w:r>
    </w:p>
    <w:p>
      <w:pPr>
        <w:spacing w:after="0" w:line="154" w:lineRule="exact"/>
        <w:rPr>
          <w:rFonts w:ascii="Arial" w:cs="Arial" w:eastAsia="Arial" w:hAnsi="Arial"/>
          <w:sz w:val="18"/>
          <w:szCs w:val="18"/>
          <w:color w:val="auto"/>
        </w:rPr>
      </w:pPr>
    </w:p>
    <w:p>
      <w:pPr>
        <w:ind w:left="800" w:hanging="150"/>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41" w:lineRule="exact"/>
        <w:rPr>
          <w:rFonts w:ascii="Arial" w:cs="Arial" w:eastAsia="Arial" w:hAnsi="Arial"/>
          <w:sz w:val="18"/>
          <w:szCs w:val="18"/>
          <w:color w:val="auto"/>
        </w:rPr>
      </w:pPr>
    </w:p>
    <w:p>
      <w:pPr>
        <w:ind w:left="800" w:hanging="150"/>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154" w:lineRule="exact"/>
        <w:rPr>
          <w:rFonts w:ascii="Arial" w:cs="Arial" w:eastAsia="Arial" w:hAnsi="Arial"/>
          <w:sz w:val="18"/>
          <w:szCs w:val="18"/>
          <w:color w:val="auto"/>
        </w:rPr>
      </w:pPr>
    </w:p>
    <w:p>
      <w:pPr>
        <w:ind w:left="820" w:right="440" w:hanging="170"/>
        <w:spacing w:after="0" w:line="255" w:lineRule="auto"/>
        <w:tabs>
          <w:tab w:leader="none" w:pos="8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financial estimates by any securities analysts who follow our common stock, our failure to meet these estimates or failure of those analysts to initiate or maintain coverage of our common stock;</w:t>
      </w:r>
    </w:p>
    <w:p>
      <w:pPr>
        <w:spacing w:after="0" w:line="135" w:lineRule="exact"/>
        <w:rPr>
          <w:rFonts w:ascii="Arial" w:cs="Arial" w:eastAsia="Arial" w:hAnsi="Arial"/>
          <w:sz w:val="18"/>
          <w:szCs w:val="18"/>
          <w:color w:val="auto"/>
        </w:rPr>
      </w:pPr>
    </w:p>
    <w:p>
      <w:pPr>
        <w:ind w:left="800" w:hanging="150"/>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ratings downgrades by any securities analysts who follow our common stock;</w:t>
      </w:r>
    </w:p>
    <w:p>
      <w:pPr>
        <w:spacing w:after="0" w:line="141" w:lineRule="exact"/>
        <w:rPr>
          <w:rFonts w:ascii="Arial" w:cs="Arial" w:eastAsia="Arial" w:hAnsi="Arial"/>
          <w:sz w:val="18"/>
          <w:szCs w:val="18"/>
          <w:color w:val="auto"/>
        </w:rPr>
      </w:pPr>
    </w:p>
    <w:p>
      <w:pPr>
        <w:ind w:left="800" w:hanging="150"/>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common stock;</w:t>
      </w:r>
    </w:p>
    <w:p>
      <w:pPr>
        <w:spacing w:after="0" w:line="154" w:lineRule="exact"/>
        <w:rPr>
          <w:rFonts w:ascii="Arial" w:cs="Arial" w:eastAsia="Arial" w:hAnsi="Arial"/>
          <w:sz w:val="18"/>
          <w:szCs w:val="18"/>
          <w:color w:val="auto"/>
        </w:rPr>
      </w:pPr>
    </w:p>
    <w:p>
      <w:pPr>
        <w:ind w:left="800" w:hanging="150"/>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size of our market float;</w:t>
      </w:r>
    </w:p>
    <w:p>
      <w:pPr>
        <w:spacing w:after="0" w:line="154" w:lineRule="exact"/>
        <w:rPr>
          <w:rFonts w:ascii="Arial" w:cs="Arial" w:eastAsia="Arial" w:hAnsi="Arial"/>
          <w:sz w:val="18"/>
          <w:szCs w:val="18"/>
          <w:color w:val="auto"/>
        </w:rPr>
      </w:pPr>
    </w:p>
    <w:p>
      <w:pPr>
        <w:ind w:left="820" w:right="60" w:hanging="170"/>
        <w:spacing w:after="0" w:line="255" w:lineRule="auto"/>
        <w:tabs>
          <w:tab w:leader="none" w:pos="8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expiration of market standoff or contractual lock-up agreements and future sales of our common stock by our officers, directors and significant stockholders;</w:t>
      </w:r>
    </w:p>
    <w:p>
      <w:pPr>
        <w:spacing w:after="0" w:line="122" w:lineRule="exact"/>
        <w:rPr>
          <w:rFonts w:ascii="Arial" w:cs="Arial" w:eastAsia="Arial" w:hAnsi="Arial"/>
          <w:sz w:val="18"/>
          <w:szCs w:val="18"/>
          <w:color w:val="auto"/>
        </w:rPr>
      </w:pPr>
    </w:p>
    <w:p>
      <w:pPr>
        <w:ind w:left="800" w:hanging="150"/>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54" w:lineRule="exact"/>
        <w:rPr>
          <w:rFonts w:ascii="Arial" w:cs="Arial" w:eastAsia="Arial" w:hAnsi="Arial"/>
          <w:sz w:val="18"/>
          <w:szCs w:val="18"/>
          <w:color w:val="auto"/>
        </w:rPr>
      </w:pPr>
    </w:p>
    <w:p>
      <w:pPr>
        <w:ind w:left="800" w:hanging="150"/>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00" w:lineRule="exact"/>
        <w:rPr>
          <w:sz w:val="20"/>
          <w:szCs w:val="20"/>
          <w:color w:val="auto"/>
        </w:rPr>
      </w:pPr>
    </w:p>
    <w:p>
      <w:pPr>
        <w:spacing w:after="0" w:line="3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800" w:hanging="150"/>
        <w:spacing w:after="0"/>
        <w:tabs>
          <w:tab w:leader="none" w:pos="8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other events or factors, including those resulting from war, incidents of terrorism, natural disasters or responses to these events; and</w:t>
      </w:r>
    </w:p>
    <w:p>
      <w:pPr>
        <w:spacing w:after="0" w:line="152" w:lineRule="exact"/>
        <w:rPr>
          <w:rFonts w:ascii="Arial" w:cs="Arial" w:eastAsia="Arial" w:hAnsi="Arial"/>
          <w:sz w:val="17"/>
          <w:szCs w:val="17"/>
          <w:color w:val="auto"/>
        </w:rPr>
      </w:pPr>
    </w:p>
    <w:p>
      <w:pPr>
        <w:ind w:left="800" w:hanging="150"/>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other factors discussed in this Annual Report on Form 10-K.</w:t>
      </w:r>
    </w:p>
    <w:p>
      <w:pPr>
        <w:spacing w:after="0" w:line="155" w:lineRule="exact"/>
        <w:rPr>
          <w:sz w:val="20"/>
          <w:szCs w:val="20"/>
          <w:color w:val="auto"/>
        </w:rPr>
      </w:pPr>
    </w:p>
    <w:p>
      <w:pPr>
        <w:ind w:right="40" w:firstLine="643"/>
        <w:spacing w:after="0" w:line="249"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pharmaceutical companies. Due to the COVID-19 outbreak, there has been significant stock market exchange volatility, including temporary trading halts. Stock prices of many pharmaceutical companies have fluctuated in a manner unrelated or disproportionate to the operating performance of those companies. In the past, stockholders have instituted securities class action litigation following periods of market volatility. If we were involved in securities litigation, we could incur substantial costs and our resources and the attention of management could be diverted from our business.</w:t>
      </w:r>
    </w:p>
    <w:p>
      <w:pPr>
        <w:spacing w:after="0" w:line="122" w:lineRule="exact"/>
        <w:rPr>
          <w:sz w:val="20"/>
          <w:szCs w:val="20"/>
          <w:color w:val="auto"/>
        </w:rPr>
      </w:pPr>
    </w:p>
    <w:p>
      <w:pPr>
        <w:ind w:right="280"/>
        <w:spacing w:after="0" w:line="28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100" w:lineRule="exact"/>
        <w:rPr>
          <w:sz w:val="20"/>
          <w:szCs w:val="20"/>
          <w:color w:val="auto"/>
        </w:rPr>
      </w:pPr>
    </w:p>
    <w:p>
      <w:pPr>
        <w:ind w:right="80" w:firstLine="643"/>
        <w:spacing w:after="0" w:line="249"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We only recently completed our IPO and just recently obtained research coverage by securities and industry analysts. If only a limited number of securities or industry analysts commence coverage of us or the few analysts that have initiated coverage, drop coverage, the trading price for our stock would be negatively impacted. If any of the analysts who cover us issue an adverse or misleading opinion regarding us, our business model, our intellectual property or our stock performance, or if our clinical trials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21" w:lineRule="exact"/>
        <w:rPr>
          <w:sz w:val="20"/>
          <w:szCs w:val="20"/>
          <w:color w:val="auto"/>
        </w:rPr>
      </w:pPr>
    </w:p>
    <w:p>
      <w:pPr>
        <w:ind w:right="520"/>
        <w:spacing w:after="0" w:line="312" w:lineRule="auto"/>
        <w:rPr>
          <w:sz w:val="20"/>
          <w:szCs w:val="20"/>
          <w:color w:val="auto"/>
        </w:rPr>
      </w:pPr>
      <w:r>
        <w:rPr>
          <w:rFonts w:ascii="Arial" w:cs="Arial" w:eastAsia="Arial" w:hAnsi="Arial"/>
          <w:sz w:val="17"/>
          <w:szCs w:val="17"/>
          <w:b w:val="1"/>
          <w:bCs w:val="1"/>
          <w:i w:val="1"/>
          <w:iCs w:val="1"/>
          <w:color w:val="auto"/>
        </w:rPr>
        <w:t>If we fail to attract and retain management and other key personnel, we may be unable to continue to successfully develop our current and any future product candidates, commercialize our product candidates or otherwise implement our business plan.</w:t>
      </w:r>
    </w:p>
    <w:p>
      <w:pPr>
        <w:spacing w:after="0" w:line="90" w:lineRule="exact"/>
        <w:rPr>
          <w:sz w:val="20"/>
          <w:szCs w:val="20"/>
          <w:color w:val="auto"/>
        </w:rPr>
      </w:pPr>
    </w:p>
    <w:p>
      <w:pPr>
        <w:ind w:right="20" w:firstLine="643"/>
        <w:spacing w:after="0" w:line="249" w:lineRule="auto"/>
        <w:rPr>
          <w:sz w:val="20"/>
          <w:szCs w:val="20"/>
          <w:color w:val="auto"/>
        </w:rPr>
      </w:pPr>
      <w:r>
        <w:rPr>
          <w:rFonts w:ascii="Arial" w:cs="Arial" w:eastAsia="Arial" w:hAnsi="Arial"/>
          <w:sz w:val="18"/>
          <w:szCs w:val="18"/>
          <w:color w:val="auto"/>
        </w:rPr>
        <w:t>Our ability to compete in the highly competitive pharmaceuticals industry depends upon our ability to attract and retain highly qualified managerial, scientific, medical, sales and marketing and other personnel. We are highly dependent on our management and scientific personnel, including our Chief Executive Officer, Todd Franklin Watanabe, our Chief Technical Officer, David W. Osborne, Ph.D, and our Chief Medical Officer, Patrick Burnett, M.D., Ph.D. The loss of the services of any of these individuals could impede, delay or prevent the successful development of our product pipeline, completion of our planned clinical trials, commercialization of our products or in-licensing or acquisition of new assets and could negatively impact our ability to successfully implement our business plan. If we lose the services of any of these individuals, we might not be able to find suitable replacements on a timely basis or at all, and our business could be harmed as a result. We do not maintain “key man” insurance policies on the lives of these individuals or the lives of any of our other employees.</w:t>
      </w:r>
    </w:p>
    <w:p>
      <w:pPr>
        <w:spacing w:after="0" w:line="130" w:lineRule="exact"/>
        <w:rPr>
          <w:sz w:val="20"/>
          <w:szCs w:val="20"/>
          <w:color w:val="auto"/>
        </w:rPr>
      </w:pPr>
    </w:p>
    <w:p>
      <w:pPr>
        <w:ind w:right="20" w:firstLine="643"/>
        <w:spacing w:after="0" w:line="250" w:lineRule="auto"/>
        <w:rPr>
          <w:sz w:val="20"/>
          <w:szCs w:val="20"/>
          <w:color w:val="auto"/>
        </w:rPr>
      </w:pPr>
      <w:r>
        <w:rPr>
          <w:rFonts w:ascii="Arial" w:cs="Arial" w:eastAsia="Arial" w:hAnsi="Arial"/>
          <w:sz w:val="18"/>
          <w:szCs w:val="18"/>
          <w:color w:val="auto"/>
        </w:rPr>
        <w:t>We employ all of our executive officers and key personnel on an at-will basis and their employment can be terminated by us or them at any time, for any reason and without notice. In order to retain valuable employees at our company, in addition to salary and cash incentives, we provide stock options and restricted stock units (RSUs) that vest over time. The value to employees of stock options and RSUs that vest over time will be significantly affected by movements in our stock price that are beyond our control, and may at any time be insufficient to counteract offers from other companies.</w:t>
      </w:r>
    </w:p>
    <w:p>
      <w:pPr>
        <w:spacing w:after="0" w:line="140" w:lineRule="exact"/>
        <w:rPr>
          <w:sz w:val="20"/>
          <w:szCs w:val="20"/>
          <w:color w:val="auto"/>
        </w:rPr>
      </w:pPr>
    </w:p>
    <w:p>
      <w:pPr>
        <w:ind w:firstLine="643"/>
        <w:spacing w:after="0" w:line="249" w:lineRule="auto"/>
        <w:rPr>
          <w:sz w:val="20"/>
          <w:szCs w:val="20"/>
          <w:color w:val="auto"/>
        </w:rPr>
      </w:pPr>
      <w:r>
        <w:rPr>
          <w:rFonts w:ascii="Arial" w:cs="Arial" w:eastAsia="Arial" w:hAnsi="Arial"/>
          <w:sz w:val="18"/>
          <w:szCs w:val="18"/>
          <w:color w:val="auto"/>
        </w:rPr>
        <w:t>We might not be able to attract or retain qualified management and other key personnel in the future due to the intense competition for qualified personnel among biotechnology, pharmaceutical and other businesses, particularly in the Northern Los Angeles Area where we are headquartered. We could have difficulty attracting experienced personnel to our company and may be required to expend significant financial resources in our employee recruitment and retention efforts. Many of the other pharmaceutical companies with whom we compete for qualified personnel have greater financial and other resources, different risk profiles and longer histories in the industry than we do. They also may provide more diverse opportunities and better chances for career advancement. If we are not able to attract and retain the necessary personnel to accomplish our business objectives, we may experience constraints that will harm our ability to implement our business strategy and achieve our business objectives.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60" w:firstLine="643"/>
        <w:spacing w:after="0" w:line="250" w:lineRule="auto"/>
        <w:rPr>
          <w:sz w:val="20"/>
          <w:szCs w:val="20"/>
          <w:color w:val="auto"/>
        </w:rPr>
      </w:pPr>
      <w:r>
        <w:rPr>
          <w:rFonts w:ascii="Arial" w:cs="Arial" w:eastAsia="Arial" w:hAnsi="Arial"/>
          <w:sz w:val="18"/>
          <w:szCs w:val="18"/>
          <w:color w:val="auto"/>
        </w:rPr>
        <w:t>In addition, we have scientific and clinical advisors who assist us in formulating our development and clinical strategies. These advisors are not our employees and may have commitments to, or consulting or advisory contracts with, other entities that may limit their availability to us. In addition, our advisors may have arrangements with other companies to assist those companies in developing products or technologies that may compete with ours.</w:t>
      </w:r>
    </w:p>
    <w:p>
      <w:pPr>
        <w:spacing w:after="0" w:line="106" w:lineRule="exact"/>
        <w:rPr>
          <w:sz w:val="20"/>
          <w:szCs w:val="20"/>
          <w:color w:val="auto"/>
        </w:rPr>
      </w:pPr>
    </w:p>
    <w:p>
      <w:pPr>
        <w:ind w:right="720"/>
        <w:spacing w:after="0" w:line="281"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13" w:lineRule="exact"/>
        <w:rPr>
          <w:sz w:val="20"/>
          <w:szCs w:val="20"/>
          <w:color w:val="auto"/>
        </w:rPr>
      </w:pPr>
    </w:p>
    <w:p>
      <w:pPr>
        <w:ind w:right="40" w:firstLine="643"/>
        <w:spacing w:after="0" w:line="252" w:lineRule="auto"/>
        <w:rPr>
          <w:sz w:val="20"/>
          <w:szCs w:val="20"/>
          <w:color w:val="auto"/>
        </w:rPr>
      </w:pPr>
      <w:r>
        <w:rPr>
          <w:rFonts w:ascii="Arial" w:cs="Arial" w:eastAsia="Arial" w:hAnsi="Arial"/>
          <w:sz w:val="18"/>
          <w:szCs w:val="18"/>
          <w:color w:val="auto"/>
        </w:rPr>
        <w:t>Our corporate headquarters and other facilities are located in the Northern Los Angeles Area, which in the past has experienced both severe earthquakes and wildfires. We do not carry earthquake insurance. Earthquakes, wildfires or other natural disasters could severely disrupt our operations, and have a material adverse effect on our business, results of operations, financial condition and prospects.</w:t>
      </w:r>
    </w:p>
    <w:p>
      <w:pPr>
        <w:spacing w:after="0" w:line="138" w:lineRule="exact"/>
        <w:rPr>
          <w:sz w:val="20"/>
          <w:szCs w:val="20"/>
          <w:color w:val="auto"/>
        </w:rPr>
      </w:pPr>
    </w:p>
    <w:p>
      <w:pPr>
        <w:ind w:right="60" w:firstLine="643"/>
        <w:spacing w:after="0" w:line="268" w:lineRule="auto"/>
        <w:rPr>
          <w:sz w:val="20"/>
          <w:szCs w:val="20"/>
          <w:color w:val="auto"/>
        </w:rPr>
      </w:pPr>
      <w:r>
        <w:rPr>
          <w:rFonts w:ascii="Arial" w:cs="Arial" w:eastAsia="Arial" w:hAnsi="Arial"/>
          <w:sz w:val="17"/>
          <w:szCs w:val="17"/>
          <w:color w:val="auto"/>
        </w:rPr>
        <w:t>If a natural disaster, power outage or other event occurred, including an epidemic, pandemic or contagious disease outbreak such as COVID-19 that disrupted operations, we may experience difficulties in operating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14" w:lineRule="exact"/>
        <w:rPr>
          <w:sz w:val="20"/>
          <w:szCs w:val="20"/>
          <w:color w:val="auto"/>
        </w:rPr>
      </w:pPr>
    </w:p>
    <w:p>
      <w:pPr>
        <w:ind w:right="100" w:firstLine="643"/>
        <w:spacing w:after="0" w:line="255" w:lineRule="auto"/>
        <w:rPr>
          <w:sz w:val="20"/>
          <w:szCs w:val="20"/>
          <w:color w:val="auto"/>
        </w:rPr>
      </w:pPr>
      <w:r>
        <w:rPr>
          <w:rFonts w:ascii="Arial" w:cs="Arial" w:eastAsia="Arial" w:hAnsi="Arial"/>
          <w:sz w:val="18"/>
          <w:szCs w:val="18"/>
          <w:color w:val="auto"/>
        </w:rPr>
        <w:t>Furthermore, our third-party manufacturers or suppliers are similarly vulnerable to natural disasters or other sudden, unforeseen and severe adverse events. If such an event were to affect our supply chain, it could have a material adverse effect on our business.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litigation could have a material adverse effect on our business and results of operations.</w:t>
      </w:r>
    </w:p>
    <w:p>
      <w:pPr>
        <w:spacing w:after="0" w:line="177" w:lineRule="exact"/>
        <w:rPr>
          <w:sz w:val="20"/>
          <w:szCs w:val="20"/>
          <w:color w:val="auto"/>
        </w:rPr>
      </w:pPr>
    </w:p>
    <w:p>
      <w:pPr>
        <w:ind w:firstLine="643"/>
        <w:spacing w:after="0" w:line="249" w:lineRule="auto"/>
        <w:rPr>
          <w:sz w:val="20"/>
          <w:szCs w:val="20"/>
          <w:color w:val="auto"/>
        </w:rPr>
      </w:pPr>
      <w:r>
        <w:rPr>
          <w:rFonts w:ascii="Arial" w:cs="Arial" w:eastAsia="Arial" w:hAnsi="Arial"/>
          <w:sz w:val="18"/>
          <w:szCs w:val="18"/>
          <w:color w:val="auto"/>
        </w:rPr>
        <w:t>Lawsuits and other administrative or legal proceedings, including intellectual property litigation or other legal proceedings relating to intellectual property claims, that may arise in the course of our operations can involve substantial costs, including the costs associated with investigation, litigation and possible settlement, judgment, penalty or fine. In addition, lawsuits and other legal proceedings may be time-consuming to defend or prosecute and may require a commitment of management and personnel resources that will be diverted from our normal business operations. Although we generally maintain insurance to mitigate certain costs, there can be no assurance that costs associated with lawsuits or other legal proceedings will not exceed the limits of insurance policies. Moreover, we may be unable to continue to maintain our existing insurance at a reasonable cost, if at all, or to secure additional coverage, which may result in costs associated with lawsuits and other legal proceedings being uninsured. Our business, financial condition and results of operations could be adversely affected if a judgment, settlement penalty or fine is not fully covered by insurance.</w:t>
      </w:r>
    </w:p>
    <w:p>
      <w:pPr>
        <w:spacing w:after="0" w:line="200" w:lineRule="exact"/>
        <w:rPr>
          <w:sz w:val="20"/>
          <w:szCs w:val="20"/>
          <w:color w:val="auto"/>
        </w:rPr>
      </w:pPr>
    </w:p>
    <w:p>
      <w:pPr>
        <w:spacing w:after="0" w:line="3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643"/>
        <w:spacing w:after="0" w:line="255" w:lineRule="auto"/>
        <w:rPr>
          <w:sz w:val="20"/>
          <w:szCs w:val="20"/>
          <w:color w:val="auto"/>
        </w:rPr>
      </w:pPr>
      <w:r>
        <w:rPr>
          <w:rFonts w:ascii="Arial" w:cs="Arial" w:eastAsia="Arial" w:hAnsi="Arial"/>
          <w:sz w:val="18"/>
          <w:szCs w:val="18"/>
          <w:color w:val="auto"/>
        </w:rPr>
        <w:t>There has been no material change in the planned use of proceeds from our IPO from that described in the related prospectus dated January 30, 2020, filed with the SEC pursuant to Rule 424(b)(4) under the Securities Act of 1933, as amended.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40" w:type="dxa"/>
            <w:vAlign w:val="bottom"/>
            <w:gridSpan w:val="15"/>
            <w:vMerge w:val="restart"/>
          </w:tcPr>
          <w:p>
            <w:pPr>
              <w:ind w:left="540"/>
              <w:spacing w:after="0"/>
              <w:rPr>
                <w:sz w:val="20"/>
                <w:szCs w:val="20"/>
                <w:color w:val="auto"/>
              </w:rPr>
            </w:pPr>
            <w:r>
              <w:rPr>
                <w:rFonts w:ascii="Arial" w:cs="Arial" w:eastAsia="Arial" w:hAnsi="Arial"/>
                <w:sz w:val="14"/>
                <w:szCs w:val="14"/>
                <w:b w:val="1"/>
                <w:bCs w:val="1"/>
                <w:color w:val="auto"/>
              </w:rPr>
              <w:t>Description of Document</w:t>
            </w:r>
          </w:p>
        </w:tc>
        <w:tc>
          <w:tcPr>
            <w:tcW w:w="1340" w:type="dxa"/>
            <w:vAlign w:val="bottom"/>
          </w:tcPr>
          <w:p>
            <w:pPr>
              <w:jc w:val="center"/>
              <w:ind w:right="16"/>
              <w:spacing w:after="0"/>
              <w:rPr>
                <w:sz w:val="20"/>
                <w:szCs w:val="20"/>
                <w:color w:val="auto"/>
              </w:rPr>
            </w:pPr>
            <w:r>
              <w:rPr>
                <w:rFonts w:ascii="Arial" w:cs="Arial" w:eastAsia="Arial" w:hAnsi="Arial"/>
                <w:sz w:val="14"/>
                <w:szCs w:val="14"/>
                <w:b w:val="1"/>
                <w:bCs w:val="1"/>
                <w:color w:val="auto"/>
              </w:rPr>
              <w:t>Incorporated by</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Date</w:t>
            </w:r>
          </w:p>
        </w:tc>
        <w:tc>
          <w:tcPr>
            <w:tcW w:w="88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rPr>
              <w:t>Number</w:t>
            </w:r>
          </w:p>
        </w:tc>
        <w:tc>
          <w:tcPr>
            <w:tcW w:w="1200" w:type="dxa"/>
            <w:vAlign w:val="bottom"/>
          </w:tcPr>
          <w:p>
            <w:pPr>
              <w:jc w:val="center"/>
              <w:ind w:left="18"/>
              <w:spacing w:after="0"/>
              <w:rPr>
                <w:sz w:val="20"/>
                <w:szCs w:val="20"/>
                <w:color w:val="auto"/>
              </w:rPr>
            </w:pPr>
            <w:r>
              <w:rPr>
                <w:rFonts w:ascii="Arial" w:cs="Arial" w:eastAsia="Arial" w:hAnsi="Arial"/>
                <w:sz w:val="14"/>
                <w:szCs w:val="14"/>
                <w:b w:val="1"/>
                <w:bCs w:val="1"/>
                <w:color w:val="auto"/>
              </w:rPr>
              <w:t>Filed/Furnished</w:t>
            </w:r>
          </w:p>
        </w:tc>
        <w:tc>
          <w:tcPr>
            <w:tcW w:w="0" w:type="dxa"/>
            <w:vAlign w:val="bottom"/>
          </w:tcPr>
          <w:p>
            <w:pPr>
              <w:spacing w:after="0"/>
              <w:rPr>
                <w:sz w:val="1"/>
                <w:szCs w:val="1"/>
                <w:color w:val="auto"/>
              </w:rPr>
            </w:pPr>
          </w:p>
        </w:tc>
      </w:tr>
      <w:tr>
        <w:trPr>
          <w:trHeight w:val="174"/>
        </w:trPr>
        <w:tc>
          <w:tcPr>
            <w:tcW w:w="118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40" w:type="dxa"/>
            <w:vAlign w:val="bottom"/>
            <w:gridSpan w:val="15"/>
            <w:vMerge w:val="continue"/>
          </w:tcPr>
          <w:p>
            <w:pPr>
              <w:spacing w:after="0"/>
              <w:rPr>
                <w:sz w:val="15"/>
                <w:szCs w:val="15"/>
                <w:color w:val="auto"/>
              </w:rPr>
            </w:pPr>
          </w:p>
        </w:tc>
        <w:tc>
          <w:tcPr>
            <w:tcW w:w="1340" w:type="dxa"/>
            <w:vAlign w:val="bottom"/>
          </w:tcPr>
          <w:p>
            <w:pPr>
              <w:jc w:val="center"/>
              <w:ind w:right="16"/>
              <w:spacing w:after="0"/>
              <w:rPr>
                <w:sz w:val="20"/>
                <w:szCs w:val="20"/>
                <w:color w:val="auto"/>
              </w:rPr>
            </w:pPr>
            <w:r>
              <w:rPr>
                <w:rFonts w:ascii="Arial" w:cs="Arial" w:eastAsia="Arial" w:hAnsi="Arial"/>
                <w:sz w:val="14"/>
                <w:szCs w:val="14"/>
                <w:b w:val="1"/>
                <w:bCs w:val="1"/>
                <w:color w:val="auto"/>
              </w:rPr>
              <w:t>Reference Form</w:t>
            </w:r>
          </w:p>
        </w:tc>
        <w:tc>
          <w:tcPr>
            <w:tcW w:w="98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81"/>
        </w:trPr>
        <w:tc>
          <w:tcPr>
            <w:tcW w:w="1080" w:type="dxa"/>
            <w:vAlign w:val="bottom"/>
            <w:tcBorders>
              <w:top w:val="single" w:sz="8" w:color="auto"/>
            </w:tcBorders>
          </w:tcPr>
          <w:p>
            <w:pPr>
              <w:ind w:left="20"/>
              <w:spacing w:after="0" w:line="181"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620" w:type="dxa"/>
            <w:vAlign w:val="bottom"/>
            <w:tcBorders>
              <w:top w:val="single" w:sz="8" w:color="auto"/>
            </w:tcBorders>
            <w:gridSpan w:val="17"/>
          </w:tcPr>
          <w:p>
            <w:pPr>
              <w:spacing w:after="0" w:line="181" w:lineRule="exact"/>
              <w:rPr>
                <w:rFonts w:ascii="Arial" w:cs="Arial" w:eastAsia="Arial" w:hAnsi="Arial"/>
                <w:sz w:val="18"/>
                <w:szCs w:val="18"/>
                <w:color w:val="0000FF"/>
              </w:rPr>
            </w:pPr>
            <w:hyperlink r:id="rId100">
              <w:r>
                <w:rPr>
                  <w:rFonts w:ascii="Arial" w:cs="Arial" w:eastAsia="Arial" w:hAnsi="Arial"/>
                  <w:sz w:val="18"/>
                  <w:szCs w:val="18"/>
                  <w:color w:val="0000FF"/>
                </w:rPr>
                <w:t>Restated Certificate of Incorporation.</w:t>
              </w:r>
            </w:hyperlink>
          </w:p>
        </w:tc>
        <w:tc>
          <w:tcPr>
            <w:tcW w:w="1340" w:type="dxa"/>
            <w:vAlign w:val="bottom"/>
            <w:tcBorders>
              <w:top w:val="single" w:sz="8" w:color="auto"/>
            </w:tcBorders>
          </w:tcPr>
          <w:p>
            <w:pPr>
              <w:jc w:val="center"/>
              <w:ind w:right="16"/>
              <w:spacing w:after="0" w:line="181" w:lineRule="exact"/>
              <w:rPr>
                <w:sz w:val="20"/>
                <w:szCs w:val="20"/>
                <w:color w:val="auto"/>
              </w:rPr>
            </w:pPr>
            <w:r>
              <w:rPr>
                <w:rFonts w:ascii="Arial" w:cs="Arial" w:eastAsia="Arial" w:hAnsi="Arial"/>
                <w:sz w:val="18"/>
                <w:szCs w:val="18"/>
                <w:color w:val="auto"/>
                <w:w w:val="99"/>
              </w:rPr>
              <w:t>10-Q</w:t>
            </w:r>
          </w:p>
        </w:tc>
        <w:tc>
          <w:tcPr>
            <w:tcW w:w="980" w:type="dxa"/>
            <w:vAlign w:val="bottom"/>
            <w:tcBorders>
              <w:top w:val="single" w:sz="8" w:color="auto"/>
            </w:tcBorders>
          </w:tcPr>
          <w:p>
            <w:pPr>
              <w:jc w:val="center"/>
              <w:spacing w:after="0" w:line="181" w:lineRule="exact"/>
              <w:rPr>
                <w:sz w:val="20"/>
                <w:szCs w:val="20"/>
                <w:color w:val="auto"/>
              </w:rPr>
            </w:pPr>
            <w:r>
              <w:rPr>
                <w:rFonts w:ascii="Arial" w:cs="Arial" w:eastAsia="Arial" w:hAnsi="Arial"/>
                <w:sz w:val="18"/>
                <w:szCs w:val="18"/>
                <w:color w:val="auto"/>
                <w:w w:val="96"/>
              </w:rPr>
              <w:t>5/12/20</w:t>
            </w:r>
          </w:p>
        </w:tc>
        <w:tc>
          <w:tcPr>
            <w:tcW w:w="880" w:type="dxa"/>
            <w:vAlign w:val="bottom"/>
            <w:tcBorders>
              <w:top w:val="single" w:sz="8" w:color="auto"/>
            </w:tcBorders>
          </w:tcPr>
          <w:p>
            <w:pPr>
              <w:jc w:val="center"/>
              <w:spacing w:after="0" w:line="181" w:lineRule="exact"/>
              <w:rPr>
                <w:sz w:val="20"/>
                <w:szCs w:val="20"/>
                <w:color w:val="auto"/>
              </w:rPr>
            </w:pPr>
            <w:r>
              <w:rPr>
                <w:rFonts w:ascii="Arial" w:cs="Arial" w:eastAsia="Arial" w:hAnsi="Arial"/>
                <w:sz w:val="18"/>
                <w:szCs w:val="18"/>
                <w:color w:val="auto"/>
                <w:w w:val="95"/>
              </w:rPr>
              <w:t>3.1</w:t>
            </w:r>
          </w:p>
        </w:tc>
        <w:tc>
          <w:tcPr>
            <w:tcW w:w="12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08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00" w:type="dxa"/>
            <w:vAlign w:val="bottom"/>
            <w:tcBorders>
              <w:top w:val="single" w:sz="8" w:color="0000FF"/>
            </w:tcBorders>
            <w:gridSpan w:val="4"/>
          </w:tcPr>
          <w:p>
            <w:pPr>
              <w:spacing w:after="0"/>
              <w:rPr>
                <w:rFonts w:ascii="Arial" w:cs="Arial" w:eastAsia="Arial" w:hAnsi="Arial"/>
                <w:sz w:val="18"/>
                <w:szCs w:val="18"/>
                <w:color w:val="0000FF"/>
              </w:rPr>
            </w:pPr>
            <w:hyperlink r:id="rId101">
              <w:r>
                <w:rPr>
                  <w:rFonts w:ascii="Arial" w:cs="Arial" w:eastAsia="Arial" w:hAnsi="Arial"/>
                  <w:sz w:val="18"/>
                  <w:szCs w:val="18"/>
                  <w:color w:val="0000FF"/>
                </w:rPr>
                <w:t>Restated Bylaws.</w:t>
              </w:r>
            </w:hyperlink>
          </w:p>
        </w:tc>
        <w:tc>
          <w:tcPr>
            <w:tcW w:w="2720" w:type="dxa"/>
            <w:vAlign w:val="bottom"/>
            <w:gridSpan w:val="13"/>
          </w:tcPr>
          <w:p>
            <w:pPr>
              <w:spacing w:after="0"/>
              <w:rPr>
                <w:sz w:val="18"/>
                <w:szCs w:val="18"/>
                <w:color w:val="auto"/>
              </w:rPr>
            </w:pPr>
          </w:p>
        </w:tc>
        <w:tc>
          <w:tcPr>
            <w:tcW w:w="1340" w:type="dxa"/>
            <w:vAlign w:val="bottom"/>
          </w:tcPr>
          <w:p>
            <w:pPr>
              <w:jc w:val="center"/>
              <w:ind w:right="16"/>
              <w:spacing w:after="0"/>
              <w:rPr>
                <w:sz w:val="20"/>
                <w:szCs w:val="20"/>
                <w:color w:val="auto"/>
              </w:rPr>
            </w:pPr>
            <w:r>
              <w:rPr>
                <w:rFonts w:ascii="Arial" w:cs="Arial" w:eastAsia="Arial" w:hAnsi="Arial"/>
                <w:sz w:val="18"/>
                <w:szCs w:val="18"/>
                <w:color w:val="auto"/>
                <w:w w:val="99"/>
              </w:rPr>
              <w:t>10-Q</w:t>
            </w:r>
          </w:p>
        </w:tc>
        <w:tc>
          <w:tcPr>
            <w:tcW w:w="980" w:type="dxa"/>
            <w:vAlign w:val="bottom"/>
          </w:tcPr>
          <w:p>
            <w:pPr>
              <w:jc w:val="center"/>
              <w:spacing w:after="0"/>
              <w:rPr>
                <w:sz w:val="20"/>
                <w:szCs w:val="20"/>
                <w:color w:val="auto"/>
              </w:rPr>
            </w:pPr>
            <w:r>
              <w:rPr>
                <w:rFonts w:ascii="Arial" w:cs="Arial" w:eastAsia="Arial" w:hAnsi="Arial"/>
                <w:sz w:val="18"/>
                <w:szCs w:val="18"/>
                <w:color w:val="auto"/>
                <w:w w:val="96"/>
              </w:rPr>
              <w:t>5/12/20</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08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20" w:type="dxa"/>
            <w:vAlign w:val="bottom"/>
            <w:gridSpan w:val="17"/>
          </w:tcPr>
          <w:p>
            <w:pPr>
              <w:spacing w:after="0"/>
              <w:rPr>
                <w:rFonts w:ascii="Arial" w:cs="Arial" w:eastAsia="Arial" w:hAnsi="Arial"/>
                <w:sz w:val="18"/>
                <w:szCs w:val="18"/>
                <w:color w:val="0000FF"/>
              </w:rPr>
            </w:pPr>
            <w:hyperlink r:id="rId102">
              <w:r>
                <w:rPr>
                  <w:rFonts w:ascii="Arial" w:cs="Arial" w:eastAsia="Arial" w:hAnsi="Arial"/>
                  <w:sz w:val="18"/>
                  <w:szCs w:val="18"/>
                  <w:color w:val="0000FF"/>
                </w:rPr>
                <w:t>Form of Common Stock Certificate.</w:t>
              </w:r>
            </w:hyperlink>
          </w:p>
        </w:tc>
        <w:tc>
          <w:tcPr>
            <w:tcW w:w="1340" w:type="dxa"/>
            <w:vAlign w:val="bottom"/>
          </w:tcPr>
          <w:p>
            <w:pPr>
              <w:jc w:val="center"/>
              <w:ind w:right="16"/>
              <w:spacing w:after="0"/>
              <w:rPr>
                <w:sz w:val="20"/>
                <w:szCs w:val="20"/>
                <w:color w:val="auto"/>
              </w:rPr>
            </w:pPr>
            <w:r>
              <w:rPr>
                <w:rFonts w:ascii="Arial" w:cs="Arial" w:eastAsia="Arial" w:hAnsi="Arial"/>
                <w:sz w:val="18"/>
                <w:szCs w:val="18"/>
                <w:color w:val="auto"/>
                <w:w w:val="97"/>
              </w:rPr>
              <w:t>S-1/A</w:t>
            </w:r>
          </w:p>
        </w:tc>
        <w:tc>
          <w:tcPr>
            <w:tcW w:w="980" w:type="dxa"/>
            <w:vAlign w:val="bottom"/>
          </w:tcPr>
          <w:p>
            <w:pPr>
              <w:jc w:val="center"/>
              <w:spacing w:after="0"/>
              <w:rPr>
                <w:sz w:val="20"/>
                <w:szCs w:val="20"/>
                <w:color w:val="auto"/>
              </w:rPr>
            </w:pPr>
            <w:r>
              <w:rPr>
                <w:rFonts w:ascii="Arial" w:cs="Arial" w:eastAsia="Arial" w:hAnsi="Arial"/>
                <w:sz w:val="18"/>
                <w:szCs w:val="18"/>
                <w:color w:val="auto"/>
                <w:w w:val="96"/>
              </w:rPr>
              <w:t>1/21/20</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5620" w:type="dxa"/>
            <w:vAlign w:val="bottom"/>
            <w:gridSpan w:val="17"/>
          </w:tcPr>
          <w:p>
            <w:pPr>
              <w:spacing w:after="0"/>
              <w:rPr>
                <w:rFonts w:ascii="Arial" w:cs="Arial" w:eastAsia="Arial" w:hAnsi="Arial"/>
                <w:sz w:val="18"/>
                <w:szCs w:val="18"/>
                <w:color w:val="0000FF"/>
              </w:rPr>
            </w:pPr>
            <w:hyperlink r:id="rId103">
              <w:r>
                <w:rPr>
                  <w:rFonts w:ascii="Arial" w:cs="Arial" w:eastAsia="Arial" w:hAnsi="Arial"/>
                  <w:sz w:val="18"/>
                  <w:szCs w:val="18"/>
                  <w:color w:val="0000FF"/>
                </w:rPr>
                <w:t>Amended and Restated Investors’ Rights Agreement, dated October</w:t>
              </w:r>
            </w:hyperlink>
          </w:p>
        </w:tc>
        <w:tc>
          <w:tcPr>
            <w:tcW w:w="1340" w:type="dxa"/>
            <w:vAlign w:val="bottom"/>
          </w:tcPr>
          <w:p>
            <w:pPr>
              <w:jc w:val="center"/>
              <w:ind w:right="16"/>
              <w:spacing w:after="0"/>
              <w:rPr>
                <w:sz w:val="20"/>
                <w:szCs w:val="20"/>
                <w:color w:val="auto"/>
              </w:rPr>
            </w:pPr>
            <w:r>
              <w:rPr>
                <w:rFonts w:ascii="Arial" w:cs="Arial" w:eastAsia="Arial" w:hAnsi="Arial"/>
                <w:sz w:val="18"/>
                <w:szCs w:val="18"/>
                <w:color w:val="auto"/>
                <w:w w:val="97"/>
              </w:rPr>
              <w:t>S-1/A</w:t>
            </w:r>
          </w:p>
        </w:tc>
        <w:tc>
          <w:tcPr>
            <w:tcW w:w="980" w:type="dxa"/>
            <w:vAlign w:val="bottom"/>
          </w:tcPr>
          <w:p>
            <w:pPr>
              <w:jc w:val="center"/>
              <w:spacing w:after="0"/>
              <w:rPr>
                <w:sz w:val="20"/>
                <w:szCs w:val="20"/>
                <w:color w:val="auto"/>
              </w:rPr>
            </w:pPr>
            <w:r>
              <w:rPr>
                <w:rFonts w:ascii="Arial" w:cs="Arial" w:eastAsia="Arial" w:hAnsi="Arial"/>
                <w:sz w:val="18"/>
                <w:szCs w:val="18"/>
                <w:color w:val="auto"/>
                <w:w w:val="96"/>
              </w:rPr>
              <w:t>1/21/20</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11"/>
          </w:tcPr>
          <w:p>
            <w:pPr>
              <w:spacing w:after="0" w:line="154" w:lineRule="exact"/>
              <w:rPr>
                <w:rFonts w:ascii="Arial" w:cs="Arial" w:eastAsia="Arial" w:hAnsi="Arial"/>
                <w:sz w:val="17"/>
                <w:szCs w:val="17"/>
                <w:color w:val="0000FF"/>
              </w:rPr>
            </w:pPr>
            <w:hyperlink r:id="rId103">
              <w:r>
                <w:rPr>
                  <w:rFonts w:ascii="Arial" w:cs="Arial" w:eastAsia="Arial" w:hAnsi="Arial"/>
                  <w:sz w:val="17"/>
                  <w:szCs w:val="17"/>
                  <w:color w:val="0000FF"/>
                </w:rPr>
                <w:t>8, 2019, by and among the Registrant and certain of its stockholders.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080" w:type="dxa"/>
            <w:vAlign w:val="bottom"/>
          </w:tcPr>
          <w:p>
            <w:pPr>
              <w:ind w:left="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20" w:type="dxa"/>
            <w:vAlign w:val="bottom"/>
            <w:gridSpan w:val="17"/>
          </w:tcPr>
          <w:p>
            <w:pPr>
              <w:spacing w:after="0"/>
              <w:rPr>
                <w:rFonts w:ascii="Arial" w:cs="Arial" w:eastAsia="Arial" w:hAnsi="Arial"/>
                <w:sz w:val="18"/>
                <w:szCs w:val="18"/>
                <w:color w:val="0000FF"/>
              </w:rPr>
            </w:pPr>
            <w:hyperlink r:id="rId104">
              <w:r>
                <w:rPr>
                  <w:rFonts w:ascii="Arial" w:cs="Arial" w:eastAsia="Arial" w:hAnsi="Arial"/>
                  <w:sz w:val="18"/>
                  <w:szCs w:val="18"/>
                  <w:color w:val="0000FF"/>
                </w:rPr>
                <w:t>Description of Arcutis Biotherapeutics’ Securities Registered Pursuant</w:t>
              </w:r>
            </w:hyperlink>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980" w:type="dxa"/>
            <w:vAlign w:val="bottom"/>
          </w:tcPr>
          <w:p>
            <w:pPr>
              <w:jc w:val="center"/>
              <w:spacing w:after="0"/>
              <w:rPr>
                <w:sz w:val="20"/>
                <w:szCs w:val="20"/>
                <w:color w:val="auto"/>
              </w:rPr>
            </w:pPr>
            <w:r>
              <w:rPr>
                <w:rFonts w:ascii="Arial" w:cs="Arial" w:eastAsia="Arial" w:hAnsi="Arial"/>
                <w:sz w:val="18"/>
                <w:szCs w:val="18"/>
                <w:color w:val="auto"/>
                <w:w w:val="96"/>
              </w:rPr>
              <w:t>3/19/20</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tcBorders>
              <w:top w:val="single" w:sz="8" w:color="0000FF"/>
              <w:bottom w:val="single" w:sz="8" w:color="0000FF"/>
            </w:tcBorders>
            <w:gridSpan w:val="6"/>
          </w:tcPr>
          <w:p>
            <w:pPr>
              <w:spacing w:after="0" w:line="154" w:lineRule="exact"/>
              <w:rPr>
                <w:rFonts w:ascii="Arial" w:cs="Arial" w:eastAsia="Arial" w:hAnsi="Arial"/>
                <w:sz w:val="17"/>
                <w:szCs w:val="17"/>
                <w:color w:val="0000FF"/>
              </w:rPr>
            </w:pPr>
            <w:hyperlink r:id="rId104">
              <w:r>
                <w:rPr>
                  <w:rFonts w:ascii="Arial" w:cs="Arial" w:eastAsia="Arial" w:hAnsi="Arial"/>
                  <w:sz w:val="17"/>
                  <w:szCs w:val="17"/>
                  <w:color w:val="0000FF"/>
                </w:rPr>
                <w:t>to Section 12 of the Securities Exchange Act of 1934.</w:t>
              </w:r>
            </w:hyperlink>
          </w:p>
        </w:tc>
        <w:tc>
          <w:tcPr>
            <w:tcW w:w="1300" w:type="dxa"/>
            <w:vAlign w:val="bottom"/>
            <w:tcBorders>
              <w:top w:val="single" w:sz="8" w:color="0000FF"/>
            </w:tcBorders>
            <w:gridSpan w:val="10"/>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108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20" w:type="dxa"/>
            <w:vAlign w:val="bottom"/>
            <w:gridSpan w:val="17"/>
          </w:tcPr>
          <w:p>
            <w:pPr>
              <w:spacing w:after="0"/>
              <w:rPr>
                <w:rFonts w:ascii="Arial" w:cs="Arial" w:eastAsia="Arial" w:hAnsi="Arial"/>
                <w:sz w:val="18"/>
                <w:szCs w:val="18"/>
                <w:color w:val="0000FF"/>
              </w:rPr>
            </w:pPr>
            <w:hyperlink w:anchor="page91">
              <w:r>
                <w:rPr>
                  <w:rFonts w:ascii="Arial" w:cs="Arial" w:eastAsia="Arial" w:hAnsi="Arial"/>
                  <w:sz w:val="18"/>
                  <w:szCs w:val="18"/>
                  <w:color w:val="0000FF"/>
                </w:rPr>
                <w:t>Certification of Principal Executive Officer Pursuant to Rules 13a-</w:t>
              </w:r>
            </w:hyperlink>
          </w:p>
        </w:tc>
        <w:tc>
          <w:tcPr>
            <w:tcW w:w="1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340" w:type="dxa"/>
            <w:vAlign w:val="bottom"/>
            <w:gridSpan w:val="4"/>
            <w:shd w:val="clear" w:color="auto" w:fill="0000FF"/>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40" w:type="dxa"/>
            <w:vAlign w:val="bottom"/>
            <w:tcBorders>
              <w:bottom w:val="single" w:sz="8" w:color="0000FF"/>
            </w:tcBorders>
            <w:gridSpan w:val="13"/>
          </w:tcPr>
          <w:p>
            <w:pPr>
              <w:spacing w:after="0" w:line="181" w:lineRule="exact"/>
              <w:rPr>
                <w:rFonts w:ascii="Arial" w:cs="Arial" w:eastAsia="Arial" w:hAnsi="Arial"/>
                <w:sz w:val="18"/>
                <w:szCs w:val="18"/>
                <w:color w:val="0000FF"/>
                <w:w w:val="99"/>
              </w:rPr>
            </w:pPr>
            <w:hyperlink w:anchor="page91">
              <w:r>
                <w:rPr>
                  <w:rFonts w:ascii="Arial" w:cs="Arial" w:eastAsia="Arial" w:hAnsi="Arial"/>
                  <w:sz w:val="18"/>
                  <w:szCs w:val="18"/>
                  <w:color w:val="0000FF"/>
                  <w:w w:val="99"/>
                </w:rPr>
                <w:t>14(a) and 15d-14(a) under the Securities and Exchange Act of 1934,</w:t>
              </w:r>
            </w:hyperlink>
          </w:p>
        </w:tc>
        <w:tc>
          <w:tcPr>
            <w:tcW w:w="180" w:type="dxa"/>
            <w:vAlign w:val="bottom"/>
            <w:gridSpan w:val="4"/>
          </w:tcPr>
          <w:p>
            <w:pPr>
              <w:spacing w:after="0"/>
              <w:rPr>
                <w:sz w:val="15"/>
                <w:szCs w:val="15"/>
                <w:color w:val="auto"/>
              </w:rPr>
            </w:pPr>
          </w:p>
        </w:tc>
        <w:tc>
          <w:tcPr>
            <w:tcW w:w="1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60" w:type="dxa"/>
            <w:vAlign w:val="bottom"/>
            <w:tcBorders>
              <w:bottom w:val="single" w:sz="8" w:color="0000FF"/>
            </w:tcBorders>
            <w:gridSpan w:val="8"/>
          </w:tcPr>
          <w:p>
            <w:pPr>
              <w:spacing w:after="0" w:line="181" w:lineRule="exact"/>
              <w:rPr>
                <w:rFonts w:ascii="Arial" w:cs="Arial" w:eastAsia="Arial" w:hAnsi="Arial"/>
                <w:sz w:val="18"/>
                <w:szCs w:val="18"/>
                <w:color w:val="0000FF"/>
                <w:w w:val="98"/>
              </w:rPr>
            </w:pPr>
            <w:hyperlink w:anchor="page91">
              <w:r>
                <w:rPr>
                  <w:rFonts w:ascii="Arial" w:cs="Arial" w:eastAsia="Arial" w:hAnsi="Arial"/>
                  <w:sz w:val="18"/>
                  <w:szCs w:val="18"/>
                  <w:color w:val="0000FF"/>
                  <w:w w:val="98"/>
                </w:rPr>
                <w:t>as adopted pursuant to Section 302 of the Sarbanes-Oxley Act of</w:t>
              </w:r>
            </w:hyperlink>
          </w:p>
        </w:tc>
        <w:tc>
          <w:tcPr>
            <w:tcW w:w="460" w:type="dxa"/>
            <w:vAlign w:val="bottom"/>
            <w:gridSpan w:val="9"/>
          </w:tcPr>
          <w:p>
            <w:pPr>
              <w:spacing w:after="0"/>
              <w:rPr>
                <w:sz w:val="15"/>
                <w:szCs w:val="15"/>
                <w:color w:val="auto"/>
              </w:rPr>
            </w:pPr>
          </w:p>
        </w:tc>
        <w:tc>
          <w:tcPr>
            <w:tcW w:w="1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Borders>
              <w:bottom w:val="single" w:sz="8" w:color="0000FF"/>
            </w:tcBorders>
          </w:tcPr>
          <w:p>
            <w:pPr>
              <w:spacing w:after="0" w:line="181" w:lineRule="exact"/>
              <w:rPr>
                <w:rFonts w:ascii="Arial" w:cs="Arial" w:eastAsia="Arial" w:hAnsi="Arial"/>
                <w:sz w:val="18"/>
                <w:szCs w:val="18"/>
                <w:color w:val="0000FF"/>
                <w:w w:val="93"/>
              </w:rPr>
            </w:pPr>
            <w:hyperlink w:anchor="page91">
              <w:r>
                <w:rPr>
                  <w:rFonts w:ascii="Arial" w:cs="Arial" w:eastAsia="Arial" w:hAnsi="Arial"/>
                  <w:sz w:val="18"/>
                  <w:szCs w:val="18"/>
                  <w:color w:val="0000FF"/>
                  <w:w w:val="93"/>
                </w:rPr>
                <w:t>2002.</w:t>
              </w:r>
            </w:hyperlink>
          </w:p>
        </w:tc>
        <w:tc>
          <w:tcPr>
            <w:tcW w:w="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08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20" w:type="dxa"/>
            <w:vAlign w:val="bottom"/>
            <w:gridSpan w:val="17"/>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Certification of Principal Financial Officer Pursuant to Rules 13a-14(a)</w:t>
              </w:r>
            </w:hyperlink>
          </w:p>
        </w:tc>
        <w:tc>
          <w:tcPr>
            <w:tcW w:w="1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1"/>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0" w:type="dxa"/>
            <w:vAlign w:val="bottom"/>
            <w:tcBorders>
              <w:top w:val="single" w:sz="8" w:color="0000FF"/>
              <w:bottom w:val="single" w:sz="8" w:color="0000FF"/>
            </w:tcBorders>
            <w:gridSpan w:val="9"/>
          </w:tcPr>
          <w:p>
            <w:pPr>
              <w:spacing w:after="0" w:line="181" w:lineRule="exact"/>
              <w:rPr>
                <w:rFonts w:ascii="Arial" w:cs="Arial" w:eastAsia="Arial" w:hAnsi="Arial"/>
                <w:sz w:val="18"/>
                <w:szCs w:val="18"/>
                <w:color w:val="0000FF"/>
                <w:w w:val="98"/>
              </w:rPr>
            </w:pPr>
            <w:hyperlink w:anchor="page92">
              <w:r>
                <w:rPr>
                  <w:rFonts w:ascii="Arial" w:cs="Arial" w:eastAsia="Arial" w:hAnsi="Arial"/>
                  <w:sz w:val="18"/>
                  <w:szCs w:val="18"/>
                  <w:color w:val="0000FF"/>
                  <w:w w:val="98"/>
                </w:rPr>
                <w:t>and 15d-14(a) under the Securities and Exchange Act of 1934, as</w:t>
              </w:r>
            </w:hyperlink>
          </w:p>
        </w:tc>
        <w:tc>
          <w:tcPr>
            <w:tcW w:w="300" w:type="dxa"/>
            <w:vAlign w:val="bottom"/>
            <w:tcBorders>
              <w:top w:val="single" w:sz="8" w:color="0000FF"/>
            </w:tcBorders>
            <w:gridSpan w:val="6"/>
          </w:tcPr>
          <w:p>
            <w:pPr>
              <w:spacing w:after="0"/>
              <w:rPr>
                <w:sz w:val="15"/>
                <w:szCs w:val="15"/>
                <w:color w:val="auto"/>
              </w:rPr>
            </w:pPr>
          </w:p>
        </w:tc>
        <w:tc>
          <w:tcPr>
            <w:tcW w:w="120" w:type="dxa"/>
            <w:vAlign w:val="bottom"/>
            <w:gridSpan w:val="2"/>
          </w:tcPr>
          <w:p>
            <w:pPr>
              <w:spacing w:after="0"/>
              <w:rPr>
                <w:sz w:val="15"/>
                <w:szCs w:val="15"/>
                <w:color w:val="auto"/>
              </w:rPr>
            </w:pPr>
          </w:p>
        </w:tc>
        <w:tc>
          <w:tcPr>
            <w:tcW w:w="1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20" w:type="dxa"/>
            <w:vAlign w:val="bottom"/>
            <w:tcBorders>
              <w:bottom w:val="single" w:sz="8" w:color="0000FF"/>
            </w:tcBorders>
            <w:gridSpan w:val="12"/>
          </w:tcPr>
          <w:p>
            <w:pPr>
              <w:spacing w:after="0" w:line="181" w:lineRule="exact"/>
              <w:rPr>
                <w:rFonts w:ascii="Arial" w:cs="Arial" w:eastAsia="Arial" w:hAnsi="Arial"/>
                <w:sz w:val="18"/>
                <w:szCs w:val="18"/>
                <w:color w:val="0000FF"/>
                <w:w w:val="99"/>
              </w:rPr>
            </w:pPr>
            <w:hyperlink w:anchor="page92">
              <w:r>
                <w:rPr>
                  <w:rFonts w:ascii="Arial" w:cs="Arial" w:eastAsia="Arial" w:hAnsi="Arial"/>
                  <w:sz w:val="18"/>
                  <w:szCs w:val="18"/>
                  <w:color w:val="0000FF"/>
                  <w:w w:val="99"/>
                </w:rPr>
                <w:t>adopted pursuant to Section 302 of the Sarbanes-Oxley Act of 2002.</w:t>
              </w:r>
            </w:hyperlink>
          </w:p>
        </w:tc>
        <w:tc>
          <w:tcPr>
            <w:tcW w:w="200" w:type="dxa"/>
            <w:vAlign w:val="bottom"/>
            <w:gridSpan w:val="5"/>
          </w:tcPr>
          <w:p>
            <w:pPr>
              <w:spacing w:after="0"/>
              <w:rPr>
                <w:sz w:val="15"/>
                <w:szCs w:val="15"/>
                <w:color w:val="auto"/>
              </w:rPr>
            </w:pPr>
          </w:p>
        </w:tc>
        <w:tc>
          <w:tcPr>
            <w:tcW w:w="1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08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40" w:type="dxa"/>
            <w:vAlign w:val="bottom"/>
            <w:tcBorders>
              <w:bottom w:val="single" w:sz="8" w:color="0000FF"/>
            </w:tcBorders>
            <w:gridSpan w:val="7"/>
          </w:tcPr>
          <w:p>
            <w:pPr>
              <w:spacing w:after="0"/>
              <w:rPr>
                <w:rFonts w:ascii="Arial" w:cs="Arial" w:eastAsia="Arial" w:hAnsi="Arial"/>
                <w:sz w:val="18"/>
                <w:szCs w:val="18"/>
                <w:color w:val="0000FF"/>
                <w:w w:val="98"/>
              </w:rPr>
            </w:pPr>
            <w:hyperlink w:anchor="page93">
              <w:r>
                <w:rPr>
                  <w:rFonts w:ascii="Arial" w:cs="Arial" w:eastAsia="Arial" w:hAnsi="Arial"/>
                  <w:sz w:val="18"/>
                  <w:szCs w:val="18"/>
                  <w:color w:val="0000FF"/>
                  <w:w w:val="98"/>
                </w:rPr>
                <w:t>Certification of Principal Executive Officer and Principal Financial</w:t>
              </w:r>
            </w:hyperlink>
          </w:p>
        </w:tc>
        <w:tc>
          <w:tcPr>
            <w:tcW w:w="480" w:type="dxa"/>
            <w:vAlign w:val="bottom"/>
            <w:gridSpan w:val="10"/>
          </w:tcPr>
          <w:p>
            <w:pPr>
              <w:spacing w:after="0"/>
              <w:rPr>
                <w:sz w:val="20"/>
                <w:szCs w:val="20"/>
                <w:color w:val="auto"/>
              </w:rPr>
            </w:pPr>
          </w:p>
        </w:tc>
        <w:tc>
          <w:tcPr>
            <w:tcW w:w="1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1"/>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20" w:type="dxa"/>
            <w:vAlign w:val="bottom"/>
            <w:gridSpan w:val="17"/>
          </w:tcPr>
          <w:p>
            <w:pPr>
              <w:spacing w:after="0" w:line="181" w:lineRule="exact"/>
              <w:rPr>
                <w:rFonts w:ascii="Arial" w:cs="Arial" w:eastAsia="Arial" w:hAnsi="Arial"/>
                <w:sz w:val="18"/>
                <w:szCs w:val="18"/>
                <w:color w:val="0000FF"/>
              </w:rPr>
            </w:pPr>
            <w:hyperlink w:anchor="page93">
              <w:r>
                <w:rPr>
                  <w:rFonts w:ascii="Arial" w:cs="Arial" w:eastAsia="Arial" w:hAnsi="Arial"/>
                  <w:sz w:val="18"/>
                  <w:szCs w:val="18"/>
                  <w:color w:val="0000FF"/>
                </w:rPr>
                <w:t>Officer Pursuant to 18 U.S.C. Section 1350, as adopted pursuant to</w:t>
              </w:r>
            </w:hyperlink>
          </w:p>
        </w:tc>
        <w:tc>
          <w:tcPr>
            <w:tcW w:w="1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80" w:type="dxa"/>
            <w:vAlign w:val="bottom"/>
            <w:tcBorders>
              <w:top w:val="single" w:sz="8" w:color="0000FF"/>
              <w:bottom w:val="single" w:sz="8" w:color="0000FF"/>
            </w:tcBorders>
            <w:gridSpan w:val="5"/>
          </w:tcPr>
          <w:p>
            <w:pPr>
              <w:spacing w:after="0" w:line="181" w:lineRule="exact"/>
              <w:rPr>
                <w:rFonts w:ascii="Arial" w:cs="Arial" w:eastAsia="Arial" w:hAnsi="Arial"/>
                <w:sz w:val="18"/>
                <w:szCs w:val="18"/>
                <w:color w:val="0000FF"/>
                <w:w w:val="98"/>
              </w:rPr>
            </w:pPr>
            <w:hyperlink w:anchor="page93">
              <w:r>
                <w:rPr>
                  <w:rFonts w:ascii="Arial" w:cs="Arial" w:eastAsia="Arial" w:hAnsi="Arial"/>
                  <w:sz w:val="18"/>
                  <w:szCs w:val="18"/>
                  <w:color w:val="0000FF"/>
                  <w:w w:val="98"/>
                </w:rPr>
                <w:t>Section 906 of the Sarbanes-Oxley Act of 2002.</w:t>
              </w:r>
            </w:hyperlink>
          </w:p>
        </w:tc>
        <w:tc>
          <w:tcPr>
            <w:tcW w:w="1540" w:type="dxa"/>
            <w:vAlign w:val="bottom"/>
            <w:tcBorders>
              <w:top w:val="single" w:sz="8" w:color="0000FF"/>
            </w:tcBorders>
            <w:gridSpan w:val="5"/>
          </w:tcPr>
          <w:p>
            <w:pPr>
              <w:spacing w:after="0"/>
              <w:rPr>
                <w:sz w:val="15"/>
                <w:szCs w:val="15"/>
                <w:color w:val="auto"/>
              </w:rPr>
            </w:pPr>
          </w:p>
        </w:tc>
        <w:tc>
          <w:tcPr>
            <w:tcW w:w="300" w:type="dxa"/>
            <w:vAlign w:val="bottom"/>
            <w:gridSpan w:val="7"/>
          </w:tcPr>
          <w:p>
            <w:pPr>
              <w:spacing w:after="0"/>
              <w:rPr>
                <w:sz w:val="15"/>
                <w:szCs w:val="15"/>
                <w:color w:val="auto"/>
              </w:rPr>
            </w:pPr>
          </w:p>
        </w:tc>
        <w:tc>
          <w:tcPr>
            <w:tcW w:w="1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sectPr>
          <w:pgSz w:w="11900" w:h="16838" w:orient="portrait"/>
          <w:cols w:equalWidth="0" w:num="1">
            <w:col w:w="11240"/>
          </w:cols>
          <w:pgMar w:left="320" w:top="125" w:right="339" w:bottom="1440" w:gutter="0" w:footer="0" w:header="0"/>
        </w:sectPr>
      </w:pPr>
    </w:p>
    <w:tbl>
      <w:tblPr>
        <w:tblLayout w:type="fixed"/>
        <w:tblInd w:w="20" w:type="dxa"/>
        <w:tblCellMar>
          <w:top w:w="0" w:type="dxa"/>
          <w:left w:w="0" w:type="dxa"/>
          <w:bottom w:w="0" w:type="dxa"/>
          <w:right w:w="0" w:type="dxa"/>
        </w:tblCellMar>
      </w:tblPr>
      <w:tr>
        <w:trPr>
          <w:trHeight w:val="214"/>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5580" w:type="dxa"/>
            <w:vAlign w:val="bottom"/>
          </w:tcPr>
          <w:p>
            <w:pPr>
              <w:ind w:left="220"/>
              <w:spacing w:after="0"/>
              <w:rPr>
                <w:sz w:val="20"/>
                <w:szCs w:val="20"/>
                <w:color w:val="auto"/>
              </w:rPr>
            </w:pPr>
            <w:r>
              <w:rPr>
                <w:rFonts w:ascii="Arial" w:cs="Arial" w:eastAsia="Arial" w:hAnsi="Arial"/>
                <w:sz w:val="18"/>
                <w:szCs w:val="18"/>
                <w:color w:val="auto"/>
              </w:rPr>
              <w:t>Inline XBRL Instance Document - The instance document does not</w:t>
            </w:r>
          </w:p>
        </w:tc>
      </w:tr>
      <w:tr>
        <w:trPr>
          <w:trHeight w:val="201"/>
        </w:trPr>
        <w:tc>
          <w:tcPr>
            <w:tcW w:w="960" w:type="dxa"/>
            <w:vAlign w:val="bottom"/>
          </w:tcPr>
          <w:p>
            <w:pPr>
              <w:spacing w:after="0"/>
              <w:rPr>
                <w:sz w:val="17"/>
                <w:szCs w:val="17"/>
                <w:color w:val="auto"/>
              </w:rPr>
            </w:pPr>
          </w:p>
        </w:tc>
        <w:tc>
          <w:tcPr>
            <w:tcW w:w="5580" w:type="dxa"/>
            <w:vAlign w:val="bottom"/>
          </w:tcPr>
          <w:p>
            <w:pPr>
              <w:ind w:left="220"/>
              <w:spacing w:after="0" w:line="201" w:lineRule="exact"/>
              <w:rPr>
                <w:sz w:val="20"/>
                <w:szCs w:val="20"/>
                <w:color w:val="auto"/>
              </w:rPr>
            </w:pPr>
            <w:r>
              <w:rPr>
                <w:rFonts w:ascii="Arial" w:cs="Arial" w:eastAsia="Arial" w:hAnsi="Arial"/>
                <w:sz w:val="18"/>
                <w:szCs w:val="18"/>
                <w:color w:val="auto"/>
              </w:rPr>
              <w:t>appear in the interactive data file because its XBRL tags are</w:t>
            </w:r>
          </w:p>
        </w:tc>
      </w:tr>
      <w:tr>
        <w:trPr>
          <w:trHeight w:val="214"/>
        </w:trPr>
        <w:tc>
          <w:tcPr>
            <w:tcW w:w="960" w:type="dxa"/>
            <w:vAlign w:val="bottom"/>
          </w:tcPr>
          <w:p>
            <w:pPr>
              <w:spacing w:after="0"/>
              <w:rPr>
                <w:sz w:val="18"/>
                <w:szCs w:val="18"/>
                <w:color w:val="auto"/>
              </w:rPr>
            </w:pPr>
          </w:p>
        </w:tc>
        <w:tc>
          <w:tcPr>
            <w:tcW w:w="5580" w:type="dxa"/>
            <w:vAlign w:val="bottom"/>
          </w:tcPr>
          <w:p>
            <w:pPr>
              <w:ind w:left="220"/>
              <w:spacing w:after="0"/>
              <w:rPr>
                <w:sz w:val="20"/>
                <w:szCs w:val="20"/>
                <w:color w:val="auto"/>
              </w:rPr>
            </w:pPr>
            <w:r>
              <w:rPr>
                <w:rFonts w:ascii="Arial" w:cs="Arial" w:eastAsia="Arial" w:hAnsi="Arial"/>
                <w:sz w:val="18"/>
                <w:szCs w:val="18"/>
                <w:color w:val="auto"/>
              </w:rPr>
              <w:t>embedded within the inline XBRL document.</w:t>
            </w:r>
          </w:p>
        </w:tc>
      </w:tr>
      <w:tr>
        <w:trPr>
          <w:trHeight w:val="254"/>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5580" w:type="dxa"/>
            <w:vAlign w:val="bottom"/>
          </w:tcPr>
          <w:p>
            <w:pPr>
              <w:ind w:left="220"/>
              <w:spacing w:after="0"/>
              <w:rPr>
                <w:sz w:val="20"/>
                <w:szCs w:val="20"/>
                <w:color w:val="auto"/>
              </w:rPr>
            </w:pPr>
            <w:r>
              <w:rPr>
                <w:rFonts w:ascii="Arial" w:cs="Arial" w:eastAsia="Arial" w:hAnsi="Arial"/>
                <w:sz w:val="18"/>
                <w:szCs w:val="18"/>
                <w:color w:val="auto"/>
              </w:rPr>
              <w:t>Inline XBRL Taxonomy Extension Schema Document.</w:t>
            </w:r>
          </w:p>
        </w:tc>
      </w:tr>
      <w:tr>
        <w:trPr>
          <w:trHeight w:val="254"/>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5580" w:type="dxa"/>
            <w:vAlign w:val="bottom"/>
          </w:tcPr>
          <w:p>
            <w:pPr>
              <w:ind w:left="2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54"/>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5580" w:type="dxa"/>
            <w:vAlign w:val="bottom"/>
          </w:tcPr>
          <w:p>
            <w:pPr>
              <w:ind w:left="2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54"/>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5580" w:type="dxa"/>
            <w:vAlign w:val="bottom"/>
          </w:tcPr>
          <w:p>
            <w:pPr>
              <w:ind w:left="2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54"/>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5580" w:type="dxa"/>
            <w:vAlign w:val="bottom"/>
          </w:tcPr>
          <w:p>
            <w:pPr>
              <w:ind w:left="220"/>
              <w:spacing w:after="0"/>
              <w:rPr>
                <w:sz w:val="20"/>
                <w:szCs w:val="20"/>
                <w:color w:val="auto"/>
              </w:rPr>
            </w:pPr>
            <w:r>
              <w:rPr>
                <w:rFonts w:ascii="Arial" w:cs="Arial" w:eastAsia="Arial" w:hAnsi="Arial"/>
                <w:sz w:val="18"/>
                <w:szCs w:val="18"/>
                <w:color w:val="auto"/>
                <w:w w:val="98"/>
              </w:rPr>
              <w:t>Inline XBRL Taxonomy Extension Presentation Linkbase Document.</w:t>
            </w:r>
          </w:p>
        </w:tc>
      </w:tr>
    </w:tbl>
    <w:p>
      <w:pPr>
        <w:spacing w:after="0" w:line="41" w:lineRule="exact"/>
        <w:rPr>
          <w:sz w:val="20"/>
          <w:szCs w:val="20"/>
          <w:color w:val="auto"/>
        </w:rPr>
      </w:pPr>
    </w:p>
    <w:p>
      <w:pPr>
        <w:ind w:left="1200" w:right="3660" w:hanging="1175"/>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7" w:lineRule="exact"/>
        <w:rPr>
          <w:sz w:val="20"/>
          <w:szCs w:val="20"/>
          <w:color w:val="auto"/>
        </w:rPr>
      </w:pPr>
    </w:p>
    <w:p>
      <w:pPr>
        <w:ind w:left="300" w:hanging="293"/>
        <w:spacing w:after="0"/>
        <w:tabs>
          <w:tab w:leader="none" w:pos="3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Registrant has omitted portions of the exhibit as permitted under Item 601(b)(10) of Regulation S-K.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875" w:lineRule="exact"/>
        <w:rPr>
          <w:sz w:val="20"/>
          <w:szCs w:val="20"/>
          <w:color w:val="auto"/>
        </w:rPr>
      </w:pPr>
    </w:p>
    <w:p>
      <w:pPr>
        <w:sectPr>
          <w:pgSz w:w="11900" w:h="16838" w:orient="portrait"/>
          <w:cols w:equalWidth="0" w:num="2">
            <w:col w:w="9880" w:space="720"/>
            <w:col w:w="640"/>
          </w:cols>
          <w:pgMar w:left="320" w:top="125" w:right="339" w:bottom="1440" w:gutter="0" w:footer="0" w:header="0"/>
          <w:type w:val="continuous"/>
        </w:sectPr>
      </w:pPr>
    </w:p>
    <w:p>
      <w:pPr>
        <w:ind w:left="640" w:hanging="633"/>
        <w:spacing w:after="0" w:line="250" w:lineRule="auto"/>
        <w:tabs>
          <w:tab w:leader="none" w:pos="26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certifications attached as Exhibit 32.1 that accompany this Quarterly Report on Form 10-Q are not deemed filed with the SEC and are not to be incorporated by reference into any filing of Arcutis Biopharmaceuticals, Inc. under the Securities Act of 1933, as amended, or the Securities Exchange Act of 1934, as amended, whether made before or after the date of this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9" w:name="page90"/>
    <w:bookmarkEnd w:id="89"/>
    <w:p>
      <w:pPr>
        <w:jc w:val="center"/>
        <w:ind w:left="640"/>
        <w:spacing w:after="0"/>
        <w:rPr>
          <w:sz w:val="20"/>
          <w:szCs w:val="20"/>
          <w:color w:val="auto"/>
        </w:rPr>
      </w:pPr>
      <w:r>
        <w:rPr>
          <w:rFonts w:ascii="Arial" w:cs="Arial" w:eastAsia="Arial" w:hAnsi="Arial"/>
          <w:sz w:val="18"/>
          <w:szCs w:val="18"/>
          <w:b w:val="1"/>
          <w:bCs w:val="1"/>
          <w:color w:val="auto"/>
        </w:rPr>
        <w:t>SIGNATURES</w:t>
      </w:r>
    </w:p>
    <w:p>
      <w:pPr>
        <w:spacing w:after="0" w:line="163" w:lineRule="exact"/>
        <w:rPr>
          <w:sz w:val="20"/>
          <w:szCs w:val="20"/>
          <w:color w:val="auto"/>
        </w:rPr>
      </w:pPr>
    </w:p>
    <w:p>
      <w:pPr>
        <w:ind w:right="80" w:firstLine="643"/>
        <w:spacing w:after="0" w:line="255"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Quarterly Report on Form 10-Q to be signed on its behalf by the undersigned, thereunto duly authorized.</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ARCUTIS BIOTHERAPEUTICS, INC.</w:t>
      </w:r>
    </w:p>
    <w:p>
      <w:pPr>
        <w:spacing w:after="0" w:line="310" w:lineRule="exact"/>
        <w:rPr>
          <w:sz w:val="20"/>
          <w:szCs w:val="20"/>
          <w:color w:val="auto"/>
        </w:rPr>
      </w:pPr>
    </w:p>
    <w:p>
      <w:pPr>
        <w:ind w:left="660"/>
        <w:spacing w:after="0"/>
        <w:tabs>
          <w:tab w:leader="none" w:pos="1760" w:val="left"/>
          <w:tab w:leader="none" w:pos="6520" w:val="left"/>
          <w:tab w:leader="none" w:pos="7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05,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Todd Franklin Watanabe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4323715</wp:posOffset>
            </wp:positionH>
            <wp:positionV relativeFrom="paragraph">
              <wp:posOffset>5080</wp:posOffset>
            </wp:positionV>
            <wp:extent cx="277177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2771775" cy="8255"/>
                    </a:xfrm>
                    <a:prstGeom prst="rect">
                      <a:avLst/>
                    </a:prstGeom>
                    <a:noFill/>
                  </pic:spPr>
                </pic:pic>
              </a:graphicData>
            </a:graphic>
          </wp:anchor>
        </w:drawing>
      </w:r>
    </w:p>
    <w:p>
      <w:pPr>
        <w:ind w:left="7460"/>
        <w:spacing w:after="0"/>
        <w:rPr>
          <w:sz w:val="20"/>
          <w:szCs w:val="20"/>
          <w:color w:val="auto"/>
        </w:rPr>
      </w:pPr>
      <w:r>
        <w:rPr>
          <w:rFonts w:ascii="Arial" w:cs="Arial" w:eastAsia="Arial" w:hAnsi="Arial"/>
          <w:sz w:val="18"/>
          <w:szCs w:val="18"/>
          <w:color w:val="auto"/>
        </w:rPr>
        <w:t>Todd Franklin Watanabe</w:t>
      </w:r>
    </w:p>
    <w:p>
      <w:pPr>
        <w:ind w:left="7460"/>
        <w:spacing w:after="0" w:line="201" w:lineRule="auto"/>
        <w:rPr>
          <w:sz w:val="20"/>
          <w:szCs w:val="20"/>
          <w:color w:val="auto"/>
        </w:rPr>
      </w:pPr>
      <w:r>
        <w:rPr>
          <w:rFonts w:ascii="Arial" w:cs="Arial" w:eastAsia="Arial" w:hAnsi="Arial"/>
          <w:sz w:val="18"/>
          <w:szCs w:val="18"/>
          <w:i w:val="1"/>
          <w:iCs w:val="1"/>
          <w:color w:val="auto"/>
        </w:rPr>
        <w:t>President, Chief Executive Officer and</w:t>
      </w:r>
    </w:p>
    <w:p>
      <w:pPr>
        <w:ind w:left="6820"/>
        <w:spacing w:after="0" w:line="202" w:lineRule="auto"/>
        <w:rPr>
          <w:sz w:val="20"/>
          <w:szCs w:val="20"/>
          <w:color w:val="auto"/>
        </w:rPr>
      </w:pPr>
      <w:r>
        <w:rPr>
          <w:rFonts w:ascii="Arial" w:cs="Arial" w:eastAsia="Arial" w:hAnsi="Arial"/>
          <w:sz w:val="18"/>
          <w:szCs w:val="18"/>
          <w:i w:val="1"/>
          <w:iCs w:val="1"/>
          <w:color w:val="auto"/>
        </w:rPr>
        <w:t>Director</w:t>
      </w:r>
    </w:p>
    <w:p>
      <w:pPr>
        <w:spacing w:after="0" w:line="1" w:lineRule="exact"/>
        <w:rPr>
          <w:sz w:val="20"/>
          <w:szCs w:val="20"/>
          <w:color w:val="auto"/>
        </w:rPr>
      </w:pPr>
    </w:p>
    <w:p>
      <w:pPr>
        <w:ind w:left="746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29" w:lineRule="exact"/>
        <w:rPr>
          <w:sz w:val="20"/>
          <w:szCs w:val="20"/>
          <w:color w:val="auto"/>
        </w:rPr>
      </w:pPr>
    </w:p>
    <w:p>
      <w:pPr>
        <w:ind w:left="660"/>
        <w:spacing w:after="0"/>
        <w:tabs>
          <w:tab w:leader="none" w:pos="1760" w:val="left"/>
          <w:tab w:leader="none" w:pos="6520" w:val="left"/>
          <w:tab w:leader="none" w:pos="7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05,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Scott L. Burrows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4323715</wp:posOffset>
            </wp:positionH>
            <wp:positionV relativeFrom="paragraph">
              <wp:posOffset>5080</wp:posOffset>
            </wp:positionV>
            <wp:extent cx="277177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2771775" cy="8255"/>
                    </a:xfrm>
                    <a:prstGeom prst="rect">
                      <a:avLst/>
                    </a:prstGeom>
                    <a:noFill/>
                  </pic:spPr>
                </pic:pic>
              </a:graphicData>
            </a:graphic>
          </wp:anchor>
        </w:drawing>
      </w:r>
    </w:p>
    <w:p>
      <w:pPr>
        <w:ind w:left="7460"/>
        <w:spacing w:after="0"/>
        <w:rPr>
          <w:sz w:val="20"/>
          <w:szCs w:val="20"/>
          <w:color w:val="auto"/>
        </w:rPr>
      </w:pPr>
      <w:r>
        <w:rPr>
          <w:rFonts w:ascii="Arial" w:cs="Arial" w:eastAsia="Arial" w:hAnsi="Arial"/>
          <w:sz w:val="18"/>
          <w:szCs w:val="18"/>
          <w:color w:val="auto"/>
        </w:rPr>
        <w:t>Scott L. Burrows</w:t>
      </w:r>
    </w:p>
    <w:p>
      <w:pPr>
        <w:ind w:left="7460"/>
        <w:spacing w:after="0" w:line="201" w:lineRule="auto"/>
        <w:rPr>
          <w:sz w:val="20"/>
          <w:szCs w:val="20"/>
          <w:color w:val="auto"/>
        </w:rPr>
      </w:pPr>
      <w:r>
        <w:rPr>
          <w:rFonts w:ascii="Arial" w:cs="Arial" w:eastAsia="Arial" w:hAnsi="Arial"/>
          <w:sz w:val="18"/>
          <w:szCs w:val="18"/>
          <w:i w:val="1"/>
          <w:iCs w:val="1"/>
          <w:color w:val="auto"/>
        </w:rPr>
        <w:t>Chief Financial Officer</w:t>
      </w:r>
    </w:p>
    <w:p>
      <w:pPr>
        <w:spacing w:after="0" w:line="1" w:lineRule="exact"/>
        <w:rPr>
          <w:sz w:val="20"/>
          <w:szCs w:val="20"/>
          <w:color w:val="auto"/>
        </w:rPr>
      </w:pPr>
    </w:p>
    <w:p>
      <w:pPr>
        <w:ind w:left="7460"/>
        <w:spacing w:after="0"/>
        <w:rPr>
          <w:sz w:val="20"/>
          <w:szCs w:val="20"/>
          <w:color w:val="auto"/>
        </w:rPr>
      </w:pPr>
      <w:r>
        <w:rPr>
          <w:rFonts w:ascii="Arial" w:cs="Arial" w:eastAsia="Arial" w:hAnsi="Arial"/>
          <w:sz w:val="17"/>
          <w:szCs w:val="17"/>
          <w:i w:val="1"/>
          <w:iCs w:val="1"/>
          <w:color w:val="auto"/>
        </w:rPr>
        <w:t>(Principal Financial and Accounting Officer)</w:t>
      </w:r>
    </w:p>
    <w:p>
      <w:pPr>
        <w:sectPr>
          <w:pgSz w:w="11900" w:h="16838" w:orient="portrait"/>
          <w:cols w:equalWidth="0" w:num="1">
            <w:col w:w="10900"/>
          </w:cols>
          <w:pgMar w:left="320" w:top="1027" w:right="67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I, Todd Franklin Watanabe, certify that:</w:t>
      </w:r>
    </w:p>
    <w:p>
      <w:pPr>
        <w:spacing w:after="0" w:line="248" w:lineRule="exact"/>
        <w:rPr>
          <w:sz w:val="20"/>
          <w:szCs w:val="20"/>
          <w:color w:val="auto"/>
        </w:rPr>
      </w:pPr>
    </w:p>
    <w:p>
      <w:pPr>
        <w:ind w:left="320" w:hanging="313"/>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Arcutis Biotherapeutics, Inc;</w:t>
      </w:r>
    </w:p>
    <w:p>
      <w:pPr>
        <w:spacing w:after="0" w:line="154" w:lineRule="exact"/>
        <w:rPr>
          <w:rFonts w:ascii="Arial" w:cs="Arial" w:eastAsia="Arial" w:hAnsi="Arial"/>
          <w:sz w:val="18"/>
          <w:szCs w:val="18"/>
          <w:color w:val="auto"/>
        </w:rPr>
      </w:pPr>
    </w:p>
    <w:p>
      <w:pPr>
        <w:ind w:left="320" w:right="40" w:hanging="313"/>
        <w:spacing w:after="0" w:line="335" w:lineRule="auto"/>
        <w:tabs>
          <w:tab w:leader="none" w:pos="3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6"/>
          <w:szCs w:val="16"/>
          <w:color w:val="auto"/>
        </w:rPr>
      </w:pPr>
    </w:p>
    <w:p>
      <w:pPr>
        <w:ind w:left="320" w:right="500" w:hanging="313"/>
        <w:spacing w:after="0" w:line="301" w:lineRule="auto"/>
        <w:tabs>
          <w:tab w:leader="none" w:pos="3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7"/>
          <w:szCs w:val="17"/>
          <w:color w:val="auto"/>
        </w:rPr>
      </w:pPr>
    </w:p>
    <w:p>
      <w:pPr>
        <w:ind w:left="320" w:right="740" w:hanging="313"/>
        <w:spacing w:after="0" w:line="271" w:lineRule="auto"/>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08" w:lineRule="exact"/>
        <w:rPr>
          <w:rFonts w:ascii="Arial" w:cs="Arial" w:eastAsia="Arial" w:hAnsi="Arial"/>
          <w:sz w:val="18"/>
          <w:szCs w:val="18"/>
          <w:color w:val="auto"/>
        </w:rPr>
      </w:pPr>
    </w:p>
    <w:p>
      <w:pPr>
        <w:ind w:left="1300" w:hanging="329"/>
        <w:spacing w:after="0" w:line="260" w:lineRule="auto"/>
        <w:tabs>
          <w:tab w:leader="none" w:pos="1297" w:val="left"/>
        </w:tabs>
        <w:numPr>
          <w:ilvl w:val="2"/>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03" w:lineRule="exact"/>
        <w:rPr>
          <w:rFonts w:ascii="Arial" w:cs="Arial" w:eastAsia="Arial" w:hAnsi="Arial"/>
          <w:sz w:val="18"/>
          <w:szCs w:val="18"/>
          <w:color w:val="auto"/>
        </w:rPr>
      </w:pPr>
    </w:p>
    <w:p>
      <w:pPr>
        <w:jc w:val="both"/>
        <w:ind w:left="1300" w:right="300" w:hanging="329"/>
        <w:spacing w:after="0" w:line="373" w:lineRule="auto"/>
        <w:tabs>
          <w:tab w:leader="none" w:pos="1294" w:val="left"/>
        </w:tabs>
        <w:numPr>
          <w:ilvl w:val="2"/>
          <w:numId w:val="4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Arial" w:cs="Arial" w:eastAsia="Arial" w:hAnsi="Arial"/>
          <w:sz w:val="15"/>
          <w:szCs w:val="15"/>
          <w:color w:val="auto"/>
        </w:rPr>
      </w:pPr>
    </w:p>
    <w:p>
      <w:pPr>
        <w:ind w:left="1300" w:right="20" w:hanging="329"/>
        <w:spacing w:after="0" w:line="260" w:lineRule="auto"/>
        <w:tabs>
          <w:tab w:leader="none" w:pos="1297" w:val="left"/>
        </w:tabs>
        <w:numPr>
          <w:ilvl w:val="2"/>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Arial" w:cs="Arial" w:eastAsia="Arial" w:hAnsi="Arial"/>
          <w:sz w:val="18"/>
          <w:szCs w:val="18"/>
          <w:color w:val="auto"/>
        </w:rPr>
      </w:pPr>
    </w:p>
    <w:p>
      <w:pPr>
        <w:ind w:left="1300" w:right="20" w:hanging="329"/>
        <w:spacing w:after="0" w:line="260" w:lineRule="auto"/>
        <w:tabs>
          <w:tab w:leader="none" w:pos="1294" w:val="left"/>
        </w:tabs>
        <w:numPr>
          <w:ilvl w:val="2"/>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3" w:lineRule="exact"/>
        <w:rPr>
          <w:rFonts w:ascii="Arial" w:cs="Arial" w:eastAsia="Arial" w:hAnsi="Arial"/>
          <w:sz w:val="18"/>
          <w:szCs w:val="18"/>
          <w:color w:val="auto"/>
        </w:rPr>
      </w:pPr>
    </w:p>
    <w:p>
      <w:pPr>
        <w:ind w:left="640" w:right="120" w:hanging="312"/>
        <w:spacing w:after="0" w:line="301" w:lineRule="auto"/>
        <w:tabs>
          <w:tab w:leader="none" w:pos="640" w:val="left"/>
        </w:tabs>
        <w:numPr>
          <w:ilvl w:val="1"/>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rFonts w:ascii="Arial" w:cs="Arial" w:eastAsia="Arial" w:hAnsi="Arial"/>
          <w:sz w:val="17"/>
          <w:szCs w:val="17"/>
          <w:color w:val="auto"/>
        </w:rPr>
      </w:pPr>
    </w:p>
    <w:p>
      <w:pPr>
        <w:ind w:left="1300" w:right="540" w:hanging="329"/>
        <w:spacing w:after="0" w:line="335" w:lineRule="auto"/>
        <w:tabs>
          <w:tab w:leader="none" w:pos="1297" w:val="left"/>
        </w:tabs>
        <w:numPr>
          <w:ilvl w:val="2"/>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6"/>
          <w:szCs w:val="16"/>
          <w:color w:val="auto"/>
        </w:rPr>
      </w:pPr>
    </w:p>
    <w:p>
      <w:pPr>
        <w:ind w:left="1300" w:right="260" w:hanging="329"/>
        <w:spacing w:after="0" w:line="271" w:lineRule="auto"/>
        <w:tabs>
          <w:tab w:leader="none" w:pos="1294" w:val="left"/>
        </w:tabs>
        <w:numPr>
          <w:ilvl w:val="2"/>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660"/>
        <w:spacing w:after="0"/>
        <w:tabs>
          <w:tab w:leader="none" w:pos="5020" w:val="left"/>
          <w:tab w:leader="none" w:pos="6480" w:val="left"/>
        </w:tabs>
        <w:rPr>
          <w:sz w:val="20"/>
          <w:szCs w:val="20"/>
          <w:color w:val="auto"/>
        </w:rPr>
      </w:pPr>
      <w:r>
        <w:rPr>
          <w:rFonts w:ascii="Arial" w:cs="Arial" w:eastAsia="Arial" w:hAnsi="Arial"/>
          <w:sz w:val="18"/>
          <w:szCs w:val="18"/>
          <w:color w:val="auto"/>
        </w:rPr>
        <w:t>Date: August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Todd Franklin Watanabe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3380105</wp:posOffset>
            </wp:positionH>
            <wp:positionV relativeFrom="paragraph">
              <wp:posOffset>30480</wp:posOffset>
            </wp:positionV>
            <wp:extent cx="274637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2746375" cy="8255"/>
                    </a:xfrm>
                    <a:prstGeom prst="rect">
                      <a:avLst/>
                    </a:prstGeom>
                    <a:noFill/>
                  </pic:spPr>
                </pic:pic>
              </a:graphicData>
            </a:graphic>
          </wp:anchor>
        </w:drawing>
      </w:r>
    </w:p>
    <w:p>
      <w:pPr>
        <w:spacing w:after="0" w:line="50" w:lineRule="exact"/>
        <w:rPr>
          <w:sz w:val="20"/>
          <w:szCs w:val="20"/>
          <w:color w:val="auto"/>
        </w:rPr>
      </w:pPr>
    </w:p>
    <w:p>
      <w:pPr>
        <w:jc w:val="center"/>
        <w:ind w:left="3700"/>
        <w:spacing w:after="0"/>
        <w:rPr>
          <w:sz w:val="20"/>
          <w:szCs w:val="20"/>
          <w:color w:val="auto"/>
        </w:rPr>
      </w:pPr>
      <w:r>
        <w:rPr>
          <w:rFonts w:ascii="Arial" w:cs="Arial" w:eastAsia="Arial" w:hAnsi="Arial"/>
          <w:sz w:val="18"/>
          <w:szCs w:val="18"/>
          <w:b w:val="1"/>
          <w:bCs w:val="1"/>
          <w:color w:val="auto"/>
        </w:rPr>
        <w:t>Todd Franklin Watanabe</w:t>
      </w:r>
    </w:p>
    <w:p>
      <w:pPr>
        <w:spacing w:after="0" w:line="24" w:lineRule="exact"/>
        <w:rPr>
          <w:sz w:val="20"/>
          <w:szCs w:val="20"/>
          <w:color w:val="auto"/>
        </w:rPr>
      </w:pPr>
    </w:p>
    <w:p>
      <w:pPr>
        <w:jc w:val="center"/>
        <w:ind w:left="370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7" w:lineRule="exact"/>
        <w:rPr>
          <w:sz w:val="20"/>
          <w:szCs w:val="20"/>
          <w:color w:val="auto"/>
        </w:rPr>
      </w:pPr>
    </w:p>
    <w:p>
      <w:pPr>
        <w:jc w:val="center"/>
        <w:ind w:left="370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085"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I, Scott L. Burrows, certify that:</w:t>
      </w:r>
    </w:p>
    <w:p>
      <w:pPr>
        <w:spacing w:after="0" w:line="248" w:lineRule="exact"/>
        <w:rPr>
          <w:sz w:val="20"/>
          <w:szCs w:val="20"/>
          <w:color w:val="auto"/>
        </w:rPr>
      </w:pPr>
    </w:p>
    <w:p>
      <w:pPr>
        <w:ind w:left="320" w:hanging="313"/>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Arcutis Biotherapeutics, Inc.;</w:t>
      </w:r>
    </w:p>
    <w:p>
      <w:pPr>
        <w:spacing w:after="0" w:line="154" w:lineRule="exact"/>
        <w:rPr>
          <w:rFonts w:ascii="Arial" w:cs="Arial" w:eastAsia="Arial" w:hAnsi="Arial"/>
          <w:sz w:val="18"/>
          <w:szCs w:val="18"/>
          <w:color w:val="auto"/>
        </w:rPr>
      </w:pPr>
    </w:p>
    <w:p>
      <w:pPr>
        <w:ind w:left="320" w:right="40" w:hanging="313"/>
        <w:spacing w:after="0" w:line="335" w:lineRule="auto"/>
        <w:tabs>
          <w:tab w:leader="none" w:pos="3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6"/>
          <w:szCs w:val="16"/>
          <w:color w:val="auto"/>
        </w:rPr>
      </w:pPr>
    </w:p>
    <w:p>
      <w:pPr>
        <w:ind w:left="320" w:right="500" w:hanging="313"/>
        <w:spacing w:after="0" w:line="301" w:lineRule="auto"/>
        <w:tabs>
          <w:tab w:leader="none" w:pos="3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7"/>
          <w:szCs w:val="17"/>
          <w:color w:val="auto"/>
        </w:rPr>
      </w:pPr>
    </w:p>
    <w:p>
      <w:pPr>
        <w:ind w:left="320" w:right="740" w:hanging="313"/>
        <w:spacing w:after="0" w:line="271" w:lineRule="auto"/>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08" w:lineRule="exact"/>
        <w:rPr>
          <w:rFonts w:ascii="Arial" w:cs="Arial" w:eastAsia="Arial" w:hAnsi="Arial"/>
          <w:sz w:val="18"/>
          <w:szCs w:val="18"/>
          <w:color w:val="auto"/>
        </w:rPr>
      </w:pPr>
    </w:p>
    <w:p>
      <w:pPr>
        <w:ind w:left="1300" w:hanging="329"/>
        <w:spacing w:after="0" w:line="260" w:lineRule="auto"/>
        <w:tabs>
          <w:tab w:leader="none" w:pos="1297" w:val="left"/>
        </w:tabs>
        <w:numPr>
          <w:ilvl w:val="2"/>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03" w:lineRule="exact"/>
        <w:rPr>
          <w:rFonts w:ascii="Arial" w:cs="Arial" w:eastAsia="Arial" w:hAnsi="Arial"/>
          <w:sz w:val="18"/>
          <w:szCs w:val="18"/>
          <w:color w:val="auto"/>
        </w:rPr>
      </w:pPr>
    </w:p>
    <w:p>
      <w:pPr>
        <w:jc w:val="both"/>
        <w:ind w:left="1300" w:right="300" w:hanging="329"/>
        <w:spacing w:after="0" w:line="373" w:lineRule="auto"/>
        <w:tabs>
          <w:tab w:leader="none" w:pos="1294" w:val="left"/>
        </w:tabs>
        <w:numPr>
          <w:ilvl w:val="2"/>
          <w:numId w:val="4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Arial" w:cs="Arial" w:eastAsia="Arial" w:hAnsi="Arial"/>
          <w:sz w:val="15"/>
          <w:szCs w:val="15"/>
          <w:color w:val="auto"/>
        </w:rPr>
      </w:pPr>
    </w:p>
    <w:p>
      <w:pPr>
        <w:ind w:left="1300" w:right="20" w:hanging="329"/>
        <w:spacing w:after="0" w:line="260" w:lineRule="auto"/>
        <w:tabs>
          <w:tab w:leader="none" w:pos="1297" w:val="left"/>
        </w:tabs>
        <w:numPr>
          <w:ilvl w:val="2"/>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Arial" w:cs="Arial" w:eastAsia="Arial" w:hAnsi="Arial"/>
          <w:sz w:val="18"/>
          <w:szCs w:val="18"/>
          <w:color w:val="auto"/>
        </w:rPr>
      </w:pPr>
    </w:p>
    <w:p>
      <w:pPr>
        <w:ind w:left="1300" w:right="20" w:hanging="329"/>
        <w:spacing w:after="0" w:line="260" w:lineRule="auto"/>
        <w:tabs>
          <w:tab w:leader="none" w:pos="1294" w:val="left"/>
        </w:tabs>
        <w:numPr>
          <w:ilvl w:val="2"/>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3" w:lineRule="exact"/>
        <w:rPr>
          <w:rFonts w:ascii="Arial" w:cs="Arial" w:eastAsia="Arial" w:hAnsi="Arial"/>
          <w:sz w:val="18"/>
          <w:szCs w:val="18"/>
          <w:color w:val="auto"/>
        </w:rPr>
      </w:pPr>
    </w:p>
    <w:p>
      <w:pPr>
        <w:ind w:left="640" w:right="120" w:hanging="312"/>
        <w:spacing w:after="0" w:line="301" w:lineRule="auto"/>
        <w:tabs>
          <w:tab w:leader="none" w:pos="640" w:val="left"/>
        </w:tabs>
        <w:numPr>
          <w:ilvl w:val="1"/>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rFonts w:ascii="Arial" w:cs="Arial" w:eastAsia="Arial" w:hAnsi="Arial"/>
          <w:sz w:val="17"/>
          <w:szCs w:val="17"/>
          <w:color w:val="auto"/>
        </w:rPr>
      </w:pPr>
    </w:p>
    <w:p>
      <w:pPr>
        <w:ind w:left="1300" w:right="540" w:hanging="329"/>
        <w:spacing w:after="0" w:line="335" w:lineRule="auto"/>
        <w:tabs>
          <w:tab w:leader="none" w:pos="1297" w:val="left"/>
        </w:tabs>
        <w:numPr>
          <w:ilvl w:val="2"/>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6"/>
          <w:szCs w:val="16"/>
          <w:color w:val="auto"/>
        </w:rPr>
      </w:pPr>
    </w:p>
    <w:p>
      <w:pPr>
        <w:ind w:left="1300" w:right="260" w:hanging="329"/>
        <w:spacing w:after="0" w:line="271" w:lineRule="auto"/>
        <w:tabs>
          <w:tab w:leader="none" w:pos="1294" w:val="left"/>
        </w:tabs>
        <w:numPr>
          <w:ilvl w:val="2"/>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660"/>
        <w:spacing w:after="0"/>
        <w:tabs>
          <w:tab w:leader="none" w:pos="5020" w:val="left"/>
          <w:tab w:leader="none" w:pos="6740" w:val="left"/>
        </w:tabs>
        <w:rPr>
          <w:sz w:val="20"/>
          <w:szCs w:val="20"/>
          <w:color w:val="auto"/>
        </w:rPr>
      </w:pPr>
      <w:r>
        <w:rPr>
          <w:rFonts w:ascii="Arial" w:cs="Arial" w:eastAsia="Arial" w:hAnsi="Arial"/>
          <w:sz w:val="18"/>
          <w:szCs w:val="18"/>
          <w:color w:val="auto"/>
        </w:rPr>
        <w:t>Date: August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L. Burrows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3380105</wp:posOffset>
            </wp:positionH>
            <wp:positionV relativeFrom="paragraph">
              <wp:posOffset>30480</wp:posOffset>
            </wp:positionV>
            <wp:extent cx="274637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2746375" cy="8255"/>
                    </a:xfrm>
                    <a:prstGeom prst="rect">
                      <a:avLst/>
                    </a:prstGeom>
                    <a:noFill/>
                  </pic:spPr>
                </pic:pic>
              </a:graphicData>
            </a:graphic>
          </wp:anchor>
        </w:drawing>
      </w:r>
    </w:p>
    <w:p>
      <w:pPr>
        <w:spacing w:after="0" w:line="50" w:lineRule="exact"/>
        <w:rPr>
          <w:sz w:val="20"/>
          <w:szCs w:val="20"/>
          <w:color w:val="auto"/>
        </w:rPr>
      </w:pPr>
    </w:p>
    <w:p>
      <w:pPr>
        <w:jc w:val="center"/>
        <w:ind w:left="3700"/>
        <w:spacing w:after="0"/>
        <w:rPr>
          <w:sz w:val="20"/>
          <w:szCs w:val="20"/>
          <w:color w:val="auto"/>
        </w:rPr>
      </w:pPr>
      <w:r>
        <w:rPr>
          <w:rFonts w:ascii="Arial" w:cs="Arial" w:eastAsia="Arial" w:hAnsi="Arial"/>
          <w:sz w:val="18"/>
          <w:szCs w:val="18"/>
          <w:b w:val="1"/>
          <w:bCs w:val="1"/>
          <w:color w:val="auto"/>
        </w:rPr>
        <w:t>Scott L. Burrows</w:t>
      </w:r>
    </w:p>
    <w:p>
      <w:pPr>
        <w:spacing w:after="0" w:line="24" w:lineRule="exact"/>
        <w:rPr>
          <w:sz w:val="20"/>
          <w:szCs w:val="20"/>
          <w:color w:val="auto"/>
        </w:rPr>
      </w:pPr>
    </w:p>
    <w:p>
      <w:pPr>
        <w:jc w:val="center"/>
        <w:ind w:left="3700"/>
        <w:spacing w:after="0"/>
        <w:rPr>
          <w:sz w:val="20"/>
          <w:szCs w:val="20"/>
          <w:color w:val="auto"/>
        </w:rPr>
      </w:pPr>
      <w:r>
        <w:rPr>
          <w:rFonts w:ascii="Arial" w:cs="Arial" w:eastAsia="Arial" w:hAnsi="Arial"/>
          <w:sz w:val="18"/>
          <w:szCs w:val="18"/>
          <w:b w:val="1"/>
          <w:bCs w:val="1"/>
          <w:color w:val="auto"/>
        </w:rPr>
        <w:t>Chief Financial Officer</w:t>
      </w:r>
    </w:p>
    <w:p>
      <w:pPr>
        <w:spacing w:after="0" w:line="7" w:lineRule="exact"/>
        <w:rPr>
          <w:sz w:val="20"/>
          <w:szCs w:val="20"/>
          <w:color w:val="auto"/>
        </w:rPr>
      </w:pPr>
    </w:p>
    <w:p>
      <w:pPr>
        <w:jc w:val="center"/>
        <w:ind w:left="3700"/>
        <w:spacing w:after="0"/>
        <w:rPr>
          <w:sz w:val="20"/>
          <w:szCs w:val="20"/>
          <w:color w:val="auto"/>
        </w:rPr>
      </w:pPr>
      <w:r>
        <w:rPr>
          <w:rFonts w:ascii="Arial" w:cs="Arial" w:eastAsia="Arial" w:hAnsi="Arial"/>
          <w:sz w:val="18"/>
          <w:szCs w:val="18"/>
          <w:b w:val="1"/>
          <w:bCs w:val="1"/>
          <w:color w:val="auto"/>
        </w:rPr>
        <w:t>(Principal Accounting and Financial Officer)</w:t>
      </w:r>
    </w:p>
    <w:p>
      <w:pPr>
        <w:sectPr>
          <w:pgSz w:w="11900" w:h="16838" w:orient="portrait"/>
          <w:cols w:equalWidth="0" w:num="1">
            <w:col w:w="11240"/>
          </w:cols>
          <w:pgMar w:left="320" w:top="1085" w:right="339" w:bottom="1440" w:gutter="0" w:footer="0" w:header="0"/>
        </w:sectPr>
      </w:pPr>
    </w:p>
    <w:bookmarkStart w:id="92" w:name="page93"/>
    <w:bookmarkEnd w:id="92"/>
    <w:p>
      <w:pPr>
        <w:spacing w:after="0" w:line="28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4"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7"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 w:firstLine="643"/>
        <w:spacing w:after="0" w:line="256" w:lineRule="auto"/>
        <w:rPr>
          <w:sz w:val="20"/>
          <w:szCs w:val="20"/>
          <w:color w:val="auto"/>
        </w:rPr>
      </w:pPr>
      <w:r>
        <w:rPr>
          <w:rFonts w:ascii="Arial" w:cs="Arial" w:eastAsia="Arial" w:hAnsi="Arial"/>
          <w:sz w:val="18"/>
          <w:szCs w:val="18"/>
          <w:color w:val="auto"/>
        </w:rPr>
        <w:t>In connection with the Quarterly Report of Arcutis Biotherapeutics, Inc. (the “Company”) on Form 10-Q for the period ended June 30, 2021, as filed with the Securities and Exchange Commission on the date hereof (the “Report”), Todd Franklin Watanabe, Chief Executive Officer of the Company, and Scott L. Burrows, Chief Financial Officer of the Company, respectively, do each hereby certify, pursuant to 18 U.S.C. Section 1350, as adopted pursuant to Section 906 of the Sarbanes-Oxley Act of 2002, that:</w:t>
      </w:r>
    </w:p>
    <w:p>
      <w:pPr>
        <w:spacing w:after="0" w:line="188" w:lineRule="exact"/>
        <w:rPr>
          <w:sz w:val="20"/>
          <w:szCs w:val="20"/>
          <w:color w:val="auto"/>
        </w:rPr>
      </w:pPr>
    </w:p>
    <w:p>
      <w:pPr>
        <w:ind w:left="1280" w:hanging="309"/>
        <w:spacing w:after="0"/>
        <w:tabs>
          <w:tab w:leader="none" w:pos="1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1" w:lineRule="exact"/>
        <w:rPr>
          <w:rFonts w:ascii="Arial" w:cs="Arial" w:eastAsia="Arial" w:hAnsi="Arial"/>
          <w:sz w:val="18"/>
          <w:szCs w:val="18"/>
          <w:color w:val="auto"/>
        </w:rPr>
      </w:pPr>
    </w:p>
    <w:p>
      <w:pPr>
        <w:ind w:left="640" w:right="360" w:firstLine="331"/>
        <w:spacing w:after="0" w:line="271" w:lineRule="auto"/>
        <w:tabs>
          <w:tab w:leader="none" w:pos="1276"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60"/>
        <w:spacing w:after="0"/>
        <w:tabs>
          <w:tab w:leader="none" w:pos="5740" w:val="left"/>
          <w:tab w:leader="none" w:pos="7520" w:val="left"/>
        </w:tabs>
        <w:rPr>
          <w:sz w:val="20"/>
          <w:szCs w:val="20"/>
          <w:color w:val="auto"/>
        </w:rPr>
      </w:pPr>
      <w:r>
        <w:rPr>
          <w:rFonts w:ascii="Arial" w:cs="Arial" w:eastAsia="Arial" w:hAnsi="Arial"/>
          <w:sz w:val="18"/>
          <w:szCs w:val="18"/>
          <w:color w:val="auto"/>
        </w:rPr>
        <w:t>Date: August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Todd Franklin Watanabe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3830320</wp:posOffset>
            </wp:positionH>
            <wp:positionV relativeFrom="paragraph">
              <wp:posOffset>30480</wp:posOffset>
            </wp:positionV>
            <wp:extent cx="31711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3171190" cy="8255"/>
                    </a:xfrm>
                    <a:prstGeom prst="rect">
                      <a:avLst/>
                    </a:prstGeom>
                    <a:noFill/>
                  </pic:spPr>
                </pic:pic>
              </a:graphicData>
            </a:graphic>
          </wp:anchor>
        </w:drawing>
      </w:r>
    </w:p>
    <w:p>
      <w:pPr>
        <w:spacing w:after="0" w:line="50" w:lineRule="exact"/>
        <w:rPr>
          <w:sz w:val="20"/>
          <w:szCs w:val="20"/>
          <w:color w:val="auto"/>
        </w:rPr>
      </w:pPr>
    </w:p>
    <w:p>
      <w:pPr>
        <w:jc w:val="center"/>
        <w:ind w:left="5800"/>
        <w:spacing w:after="0"/>
        <w:rPr>
          <w:sz w:val="20"/>
          <w:szCs w:val="20"/>
          <w:color w:val="auto"/>
        </w:rPr>
      </w:pPr>
      <w:r>
        <w:rPr>
          <w:rFonts w:ascii="Arial" w:cs="Arial" w:eastAsia="Arial" w:hAnsi="Arial"/>
          <w:sz w:val="18"/>
          <w:szCs w:val="18"/>
          <w:b w:val="1"/>
          <w:bCs w:val="1"/>
          <w:color w:val="auto"/>
        </w:rPr>
        <w:t>Todd Franklin Watanabe</w:t>
      </w:r>
    </w:p>
    <w:p>
      <w:pPr>
        <w:spacing w:after="0" w:line="24" w:lineRule="exact"/>
        <w:rPr>
          <w:sz w:val="20"/>
          <w:szCs w:val="20"/>
          <w:color w:val="auto"/>
        </w:rPr>
      </w:pPr>
    </w:p>
    <w:p>
      <w:pPr>
        <w:jc w:val="center"/>
        <w:ind w:left="580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7" w:lineRule="exact"/>
        <w:rPr>
          <w:sz w:val="20"/>
          <w:szCs w:val="20"/>
          <w:color w:val="auto"/>
        </w:rPr>
      </w:pPr>
    </w:p>
    <w:p>
      <w:pPr>
        <w:jc w:val="center"/>
        <w:ind w:left="5800"/>
        <w:spacing w:after="0"/>
        <w:rPr>
          <w:sz w:val="20"/>
          <w:szCs w:val="20"/>
          <w:color w:val="auto"/>
        </w:rPr>
      </w:pPr>
      <w:r>
        <w:rPr>
          <w:rFonts w:ascii="Arial" w:cs="Arial" w:eastAsia="Arial" w:hAnsi="Arial"/>
          <w:sz w:val="18"/>
          <w:szCs w:val="18"/>
          <w:b w:val="1"/>
          <w:bCs w:val="1"/>
          <w:color w:val="auto"/>
        </w:rPr>
        <w:t>(Principal Executive Officer)</w:t>
      </w:r>
    </w:p>
    <w:p>
      <w:pPr>
        <w:spacing w:after="0" w:line="48" w:lineRule="exact"/>
        <w:rPr>
          <w:sz w:val="20"/>
          <w:szCs w:val="20"/>
          <w:color w:val="auto"/>
        </w:rPr>
      </w:pPr>
    </w:p>
    <w:p>
      <w:pPr>
        <w:ind w:left="660"/>
        <w:spacing w:after="0"/>
        <w:tabs>
          <w:tab w:leader="none" w:pos="5740" w:val="left"/>
          <w:tab w:leader="none" w:pos="7800" w:val="left"/>
        </w:tabs>
        <w:rPr>
          <w:sz w:val="20"/>
          <w:szCs w:val="20"/>
          <w:color w:val="auto"/>
        </w:rPr>
      </w:pPr>
      <w:r>
        <w:rPr>
          <w:rFonts w:ascii="Arial" w:cs="Arial" w:eastAsia="Arial" w:hAnsi="Arial"/>
          <w:sz w:val="18"/>
          <w:szCs w:val="18"/>
          <w:color w:val="auto"/>
        </w:rPr>
        <w:t>Date: August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L. Burrows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3830320</wp:posOffset>
            </wp:positionH>
            <wp:positionV relativeFrom="paragraph">
              <wp:posOffset>30480</wp:posOffset>
            </wp:positionV>
            <wp:extent cx="31711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3171190" cy="8255"/>
                    </a:xfrm>
                    <a:prstGeom prst="rect">
                      <a:avLst/>
                    </a:prstGeom>
                    <a:noFill/>
                  </pic:spPr>
                </pic:pic>
              </a:graphicData>
            </a:graphic>
          </wp:anchor>
        </w:drawing>
      </w:r>
    </w:p>
    <w:p>
      <w:pPr>
        <w:spacing w:after="0" w:line="50" w:lineRule="exact"/>
        <w:rPr>
          <w:sz w:val="20"/>
          <w:szCs w:val="20"/>
          <w:color w:val="auto"/>
        </w:rPr>
      </w:pPr>
    </w:p>
    <w:p>
      <w:pPr>
        <w:jc w:val="center"/>
        <w:ind w:left="5800"/>
        <w:spacing w:after="0"/>
        <w:rPr>
          <w:sz w:val="20"/>
          <w:szCs w:val="20"/>
          <w:color w:val="auto"/>
        </w:rPr>
      </w:pPr>
      <w:r>
        <w:rPr>
          <w:rFonts w:ascii="Arial" w:cs="Arial" w:eastAsia="Arial" w:hAnsi="Arial"/>
          <w:sz w:val="18"/>
          <w:szCs w:val="18"/>
          <w:b w:val="1"/>
          <w:bCs w:val="1"/>
          <w:color w:val="auto"/>
        </w:rPr>
        <w:t>Scott L. Burrows</w:t>
      </w:r>
    </w:p>
    <w:p>
      <w:pPr>
        <w:spacing w:after="0" w:line="24" w:lineRule="exact"/>
        <w:rPr>
          <w:sz w:val="20"/>
          <w:szCs w:val="20"/>
          <w:color w:val="auto"/>
        </w:rPr>
      </w:pPr>
    </w:p>
    <w:p>
      <w:pPr>
        <w:jc w:val="center"/>
        <w:ind w:left="5800"/>
        <w:spacing w:after="0"/>
        <w:rPr>
          <w:sz w:val="20"/>
          <w:szCs w:val="20"/>
          <w:color w:val="auto"/>
        </w:rPr>
      </w:pPr>
      <w:r>
        <w:rPr>
          <w:rFonts w:ascii="Arial" w:cs="Arial" w:eastAsia="Arial" w:hAnsi="Arial"/>
          <w:sz w:val="18"/>
          <w:szCs w:val="18"/>
          <w:b w:val="1"/>
          <w:bCs w:val="1"/>
          <w:color w:val="auto"/>
        </w:rPr>
        <w:t>Chief Financial Officer</w:t>
      </w:r>
    </w:p>
    <w:p>
      <w:pPr>
        <w:spacing w:after="0" w:line="7" w:lineRule="exact"/>
        <w:rPr>
          <w:sz w:val="20"/>
          <w:szCs w:val="20"/>
          <w:color w:val="auto"/>
        </w:rPr>
      </w:pPr>
    </w:p>
    <w:p>
      <w:pPr>
        <w:jc w:val="center"/>
        <w:ind w:left="5800"/>
        <w:spacing w:after="0"/>
        <w:rPr>
          <w:sz w:val="20"/>
          <w:szCs w:val="20"/>
          <w:color w:val="auto"/>
        </w:rPr>
      </w:pPr>
      <w:r>
        <w:rPr>
          <w:rFonts w:ascii="Arial" w:cs="Arial" w:eastAsia="Arial" w:hAnsi="Arial"/>
          <w:sz w:val="18"/>
          <w:szCs w:val="18"/>
          <w:b w:val="1"/>
          <w:bCs w:val="1"/>
          <w:color w:val="auto"/>
        </w:rPr>
        <w:t>(Principal Accounting and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1)"/>
      <w:numFmt w:val="decimal"/>
      <w:start w:val="1"/>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1."/>
      <w:numFmt w:val="decimal"/>
      <w:start w:val="8"/>
    </w:lvl>
  </w:abstractNum>
  <w:abstractNum w:abstractNumId="8">
    <w:nsid w:val="189A769B"/>
    <w:multiLevelType w:val="hybridMultilevel"/>
    <w:lvl w:ilvl="0">
      <w:lvlJc w:val="left"/>
      <w:lvlText w:val="(%1)"/>
      <w:numFmt w:val="decimal"/>
      <w:start w:val="1"/>
    </w:lvl>
  </w:abstractNum>
  <w:abstractNum w:abstractNumId="9">
    <w:nsid w:val="54E49EB4"/>
    <w:multiLevelType w:val="hybridMultilevel"/>
    <w:lvl w:ilvl="0">
      <w:lvlJc w:val="left"/>
      <w:lvlText w:val="(%1)"/>
      <w:numFmt w:val="lowerRoman"/>
      <w:start w:val="5"/>
    </w:lvl>
  </w:abstractNum>
  <w:abstractNum w:abstractNumId="10">
    <w:nsid w:val="71F32454"/>
    <w:multiLevelType w:val="hybridMultilevel"/>
    <w:lvl w:ilvl="0">
      <w:lvlJc w:val="left"/>
      <w:lvlText w:val="(%1)"/>
      <w:numFmt w:val="decimal"/>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1"/>
      <w:numFmt w:val="decimal"/>
      <w:start w:val="104"/>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42">
    <w:nsid w:val="1D4ED43B"/>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00" Type="http://schemas.openxmlformats.org/officeDocument/2006/relationships/hyperlink" Target="http://www.sec.gov/Archives/edgar/data/1787306/000178730620000010/exhibit31postipocertif.htm" TargetMode="External"/><Relationship Id="rId101" Type="http://schemas.openxmlformats.org/officeDocument/2006/relationships/hyperlink" Target="http://www.sec.gov/Archives/edgar/data/1787306/000178730620000010/exhibit32postipobylaws.htm" TargetMode="External"/><Relationship Id="rId102" Type="http://schemas.openxmlformats.org/officeDocument/2006/relationships/hyperlink" Target="http://www.sec.gov/Archives/edgar/data/1787306/000119312520010664/d784371dex41.htm" TargetMode="External"/><Relationship Id="rId103" Type="http://schemas.openxmlformats.org/officeDocument/2006/relationships/hyperlink" Target="http://www.sec.gov/Archives/edgar/data/1787306/000119312520001990/d784371dex42.htm" TargetMode="External"/><Relationship Id="rId104" Type="http://schemas.openxmlformats.org/officeDocument/2006/relationships/hyperlink" Target="http://www.sec.gov/Archives/edgar/data/1787306/000178730620000005/ex43descriptionofregi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2021-08-05T16:08:53Z</dcterms:created>
  <dcterms:modified xsi:type="dcterms:W3CDTF">2021-08-05T16:08:53Z</dcterms:modified>
</cp:coreProperties>
</file>