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60"/>
        <w:spacing w:after="0" w:line="290" w:lineRule="auto"/>
        <w:rPr>
          <w:sz w:val="20"/>
          <w:szCs w:val="20"/>
          <w:color w:val="auto"/>
        </w:rPr>
      </w:pPr>
      <w:r>
        <w:rPr>
          <w:rFonts w:ascii="Arial" w:cs="Arial" w:eastAsia="Arial" w:hAnsi="Arial"/>
          <w:sz w:val="14"/>
          <w:szCs w:val="14"/>
          <w:b w:val="1"/>
          <w:bCs w:val="1"/>
          <w:color w:val="EE2724"/>
        </w:rPr>
        <w:t>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333-252612</w:t>
      </w:r>
    </w:p>
    <w:p>
      <w:pPr>
        <w:spacing w:after="0" w:line="94"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EE2724"/>
        </w:rPr>
        <w:t>SUBJECT TO COMPLETION, DATED OCTOBER 19, 2023</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February 1, 2021)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97790</wp:posOffset>
            </wp:positionV>
            <wp:extent cx="21774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Pre-Funded Warrants to Purchase Shares of Common Stock</w:t>
      </w:r>
    </w:p>
    <w:p>
      <w:pPr>
        <w:spacing w:after="0" w:line="180"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We are offering $100,000,000 of shares of our common stock and, in lieu of common stock to certain investors that so choose, pre-funded warrants to purchase shares of our common stock. The purchase price of each pre-funded warrant will equal the price per share at which shares of our common stock are being sold to the public in this offering, minus $0.0001 multiplied by the number of shares subject to the warrant, and the exercise price of each pre-funded warrant will equal $0.0001 per share. This prospectus supplement also relates to the offering of the shares of our common stock issuable upon the exercise of such pre-funded warrants.</w:t>
      </w:r>
    </w:p>
    <w:p>
      <w:pPr>
        <w:spacing w:after="0" w:line="13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Nasdaq Global Select Market under the symbol “ARQT.” On October 18, 2023, the last reported sale price of our common stock on the Nasdaq Global Select Market was $3.23 per share. At an assumed public offering price of $3.23 per share, we would offer 30,959,752 shares in this offering.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13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Investing in our securities involves a high degree of risk. Please read “Risk Factors” beginning on page </w:t>
      </w:r>
      <w:r>
        <w:rPr>
          <w:rFonts w:ascii="Arial" w:cs="Arial" w:eastAsia="Arial" w:hAnsi="Arial"/>
          <w:sz w:val="18"/>
          <w:szCs w:val="18"/>
          <w:b w:val="1"/>
          <w:bCs w:val="1"/>
          <w:u w:val="single" w:color="auto"/>
          <w:color w:val="0000FF"/>
        </w:rPr>
        <w:t>S-8</w:t>
      </w:r>
      <w:r>
        <w:rPr>
          <w:rFonts w:ascii="Arial" w:cs="Arial" w:eastAsia="Arial" w:hAnsi="Arial"/>
          <w:sz w:val="18"/>
          <w:szCs w:val="18"/>
          <w:b w:val="1"/>
          <w:bCs w:val="1"/>
          <w:color w:val="auto"/>
        </w:rPr>
        <w:t xml:space="preserve"> of this prospectus supplement, on page </w:t>
      </w:r>
      <w:r>
        <w:rPr>
          <w:rFonts w:ascii="Arial" w:cs="Arial" w:eastAsia="Arial" w:hAnsi="Arial"/>
          <w:sz w:val="18"/>
          <w:szCs w:val="18"/>
          <w:b w:val="1"/>
          <w:bCs w:val="1"/>
          <w:u w:val="single" w:color="auto"/>
          <w:color w:val="0000FF"/>
        </w:rPr>
        <w:t>5</w:t>
      </w:r>
      <w:r>
        <w:rPr>
          <w:rFonts w:ascii="Arial" w:cs="Arial" w:eastAsia="Arial" w:hAnsi="Arial"/>
          <w:sz w:val="18"/>
          <w:szCs w:val="18"/>
          <w:b w:val="1"/>
          <w:bCs w:val="1"/>
          <w:color w:val="auto"/>
        </w:rPr>
        <w:t xml:space="preserve"> of the accompanying prospectus and the documents incorporated by reference into this prospectus supplement and the accompanying prospectus before investing in our securities.</w:t>
      </w:r>
    </w:p>
    <w:p>
      <w:pPr>
        <w:sectPr>
          <w:pgSz w:w="11900" w:h="16838" w:orient="portrait"/>
          <w:cols w:equalWidth="0" w:num="1">
            <w:col w:w="11240"/>
          </w:cols>
          <w:pgMar w:left="320" w:top="1044" w:right="339" w:bottom="1440" w:gutter="0" w:footer="0" w:header="0"/>
        </w:sectPr>
      </w:pPr>
    </w:p>
    <w:p>
      <w:pPr>
        <w:spacing w:after="0" w:line="185" w:lineRule="exact"/>
        <w:rPr>
          <w:sz w:val="24"/>
          <w:szCs w:val="24"/>
          <w:color w:val="auto"/>
        </w:rPr>
      </w:pPr>
    </w:p>
    <w:p>
      <w:pPr>
        <w:ind w:left="7000"/>
        <w:spacing w:after="0"/>
        <w:rPr>
          <w:sz w:val="20"/>
          <w:szCs w:val="20"/>
          <w:color w:val="auto"/>
        </w:rPr>
      </w:pPr>
      <w:r>
        <w:rPr>
          <w:rFonts w:ascii="Arial" w:cs="Arial" w:eastAsia="Arial" w:hAnsi="Arial"/>
          <w:sz w:val="12"/>
          <w:szCs w:val="12"/>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4137025</wp:posOffset>
            </wp:positionH>
            <wp:positionV relativeFrom="paragraph">
              <wp:posOffset>55245</wp:posOffset>
            </wp:positionV>
            <wp:extent cx="9944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20"/>
        <w:spacing w:after="0"/>
        <w:rPr>
          <w:sz w:val="20"/>
          <w:szCs w:val="20"/>
          <w:color w:val="auto"/>
        </w:rPr>
      </w:pPr>
      <w:r>
        <w:rPr>
          <w:rFonts w:ascii="Arial" w:cs="Arial" w:eastAsia="Arial" w:hAnsi="Arial"/>
          <w:sz w:val="13"/>
          <w:szCs w:val="13"/>
          <w:b w:val="1"/>
          <w:bCs w:val="1"/>
          <w:color w:val="auto"/>
        </w:rPr>
        <w:t>Per Pre-Funded</w:t>
      </w:r>
    </w:p>
    <w:p>
      <w:pPr>
        <w:spacing w:after="0" w:line="37"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-129540</wp:posOffset>
            </wp:positionH>
            <wp:positionV relativeFrom="paragraph">
              <wp:posOffset>34290</wp:posOffset>
            </wp:positionV>
            <wp:extent cx="891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-396875</wp:posOffset>
            </wp:positionH>
            <wp:positionV relativeFrom="paragraph">
              <wp:posOffset>48260</wp:posOffset>
            </wp:positionV>
            <wp:extent cx="994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3">
            <w:col w:w="7660" w:space="720"/>
            <w:col w:w="1200" w:space="720"/>
            <w:col w:w="940"/>
          </w:cols>
          <w:pgMar w:left="320" w:top="1044"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Public offering price</w:t>
            </w:r>
          </w:p>
        </w:tc>
        <w:tc>
          <w:tcPr>
            <w:tcW w:w="25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84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25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25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4840" w:type="dxa"/>
            <w:vAlign w:val="bottom"/>
          </w:tcPr>
          <w:p>
            <w:pPr>
              <w:spacing w:after="0"/>
              <w:rPr>
                <w:sz w:val="20"/>
                <w:szCs w:val="20"/>
                <w:color w:val="auto"/>
              </w:rPr>
            </w:pPr>
            <w:r>
              <w:rPr>
                <w:rFonts w:ascii="Arial" w:cs="Arial" w:eastAsia="Arial" w:hAnsi="Arial"/>
                <w:sz w:val="14"/>
                <w:szCs w:val="14"/>
                <w:color w:val="auto"/>
              </w:rPr>
              <w:t>__________________</w:t>
            </w:r>
          </w:p>
        </w:tc>
        <w:tc>
          <w:tcPr>
            <w:tcW w:w="2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“Underwriters” for additional disclosure regarding the underwriting discounts and commissions and estimated offering expenses.</w:t>
      </w:r>
    </w:p>
    <w:p>
      <w:pPr>
        <w:spacing w:after="0" w:line="16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$15,000,000 of shares of our common stock at the public offering price set forth above, less underwriting discounts and commissions.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against payment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14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106045</wp:posOffset>
            </wp:positionV>
            <wp:extent cx="19716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94" w:lineRule="exact"/>
        <w:rPr>
          <w:sz w:val="24"/>
          <w:szCs w:val="24"/>
          <w:color w:val="auto"/>
        </w:rPr>
      </w:pPr>
    </w:p>
    <w:p>
      <w:pPr>
        <w:ind w:left="20"/>
        <w:spacing w:after="0"/>
        <w:tabs>
          <w:tab w:leader="none" w:pos="5020" w:val="left"/>
          <w:tab w:leader="none" w:pos="8720" w:val="left"/>
        </w:tabs>
        <w:rPr>
          <w:sz w:val="20"/>
          <w:szCs w:val="20"/>
          <w:color w:val="auto"/>
        </w:rPr>
      </w:pP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TD Cowen</w:t>
      </w:r>
      <w:r>
        <w:rPr>
          <w:sz w:val="20"/>
          <w:szCs w:val="20"/>
          <w:color w:val="auto"/>
        </w:rPr>
        <w:tab/>
      </w:r>
      <w:r>
        <w:rPr>
          <w:rFonts w:ascii="Arial" w:cs="Arial" w:eastAsia="Arial" w:hAnsi="Arial"/>
          <w:sz w:val="22"/>
          <w:szCs w:val="22"/>
          <w:b w:val="1"/>
          <w:bCs w:val="1"/>
          <w:color w:val="auto"/>
        </w:rPr>
        <w:t>Guggenheim Securities</w:t>
      </w:r>
    </w:p>
    <w:p>
      <w:pPr>
        <w:spacing w:after="0" w:line="190"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 2023</w:t>
      </w:r>
    </w:p>
    <w:p>
      <w:pPr>
        <w:sectPr>
          <w:pgSz w:w="11900" w:h="16838" w:orient="portrait"/>
          <w:cols w:equalWidth="0" w:num="1">
            <w:col w:w="11240"/>
          </w:cols>
          <w:pgMar w:left="320" w:top="1044" w:right="339" w:bottom="1440" w:gutter="0" w:footer="0" w:header="0"/>
          <w:type w:val="continuous"/>
        </w:sectPr>
      </w:pPr>
    </w:p>
    <w:bookmarkStart w:id="1" w:name="page2"/>
    <w:bookmarkEnd w:id="1"/>
    <w:p>
      <w:pPr>
        <w:spacing w:after="0" w:line="14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ABOUT THIS 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OFFERING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23" w:lineRule="exact"/>
        <w:rPr>
          <w:sz w:val="20"/>
          <w:szCs w:val="20"/>
          <w:color w:val="auto"/>
        </w:rPr>
      </w:pPr>
    </w:p>
    <w:p>
      <w:pPr>
        <w:ind w:right="4600"/>
        <w:spacing w:after="0" w:line="266" w:lineRule="auto"/>
        <w:rPr>
          <w:sz w:val="20"/>
          <w:szCs w:val="20"/>
          <w:color w:val="auto"/>
        </w:rPr>
      </w:pPr>
      <w:r>
        <w:rPr>
          <w:rFonts w:ascii="Arial" w:cs="Arial" w:eastAsia="Arial" w:hAnsi="Arial"/>
          <w:sz w:val="18"/>
          <w:szCs w:val="18"/>
          <w:u w:val="single" w:color="auto"/>
          <w:color w:val="0000FF"/>
        </w:rPr>
        <w:t>SPECIAL NOTE REGARDING FORWARD-LOOKING STATEMENTS USE OF PROCEEDS</w:t>
      </w:r>
    </w:p>
    <w:p>
      <w:pPr>
        <w:spacing w:after="0"/>
        <w:rPr>
          <w:sz w:val="20"/>
          <w:szCs w:val="20"/>
          <w:color w:val="auto"/>
        </w:rPr>
      </w:pPr>
      <w:r>
        <w:rPr>
          <w:rFonts w:ascii="Arial" w:cs="Arial" w:eastAsia="Arial" w:hAnsi="Arial"/>
          <w:sz w:val="18"/>
          <w:szCs w:val="18"/>
          <w:u w:val="single" w:color="auto"/>
          <w:color w:val="0000FF"/>
        </w:rPr>
        <w:t>DESCRIPTION OF PRE-FUNDED WARRANTS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DIVIDEND POLICY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DILUTION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MATERIAL U.S. FEDERAL INCOME TAX CONSEQUENCES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LEGAL MATTERS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EXPERTS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WHERE YOU CAN FIND MORE INFORMATION; INCORPORATION BY REFERENCE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ABOUT THIS PROSPECTUS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WHERE YOU CAN FIND MORE INFORMATION; INCORPORATION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USE OF PROCEEDS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DESCRIPTION OF CAPITAL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DESCRIPTION OF DEBT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DESCRIPTION OF OTHER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GLOBAL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SELLING SECURITYHOLDERS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PLAN OF DISTRIBUTION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LEGAL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28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39370</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S-ii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S-6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S-8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S-35</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39370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1</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4</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6</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FF"/>
        </w:rPr>
        <w:t>7</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19</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20</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24</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25</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26</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FF"/>
        </w:rPr>
        <w:t>26</w:t>
      </w:r>
    </w:p>
    <w:p>
      <w:pPr>
        <w:sectPr>
          <w:pgSz w:w="11900" w:h="16838" w:orient="portrait"/>
          <w:cols w:equalWidth="0" w:num="2">
            <w:col w:w="9940" w:space="720"/>
            <w:col w:w="340"/>
          </w:cols>
          <w:pgMar w:left="340" w:top="1440" w:right="55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in any free writing prospectus we may provide to you in connection with this offering. Neither we nor the underwriters have authorized any other person to provide you with any information that is different. If anyone provides you with different or inconsistent information, you should not rely on it. We are offering to sell, and seeking offers to buy, our securities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securities.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prospectus supplement, unless the context otherwise indicates, the terms “Arcutis Biotherapeutics,” “Arcutis,” the “Company,” “we,” “our” and “us” or similar terms refer to Arcutis Biotherapeutics, Inc.</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supplement and the accompanying prospectus include trademarks, service marks and trade names owned by us or other companies. All trademarks, service marks and trade names included or incorporated by reference into this prospectus supplement or the accompanying prospectus are the property of their respective owners. Solely for convenience, trademarks and trade names referred to in this prospectus supplement or the accompanying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7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or incorporated by reference into this prospectus supplement or the accompanying prospectus. This summary is not complete and does not contain all of the information that you should consider in making your investment decision. Before investing in our securities, you should carefully read the entire prospectus supplement and the prospectus and the documents incorporated by reference in this prospectus supplement carefully, including “Risk Factors,” “Management’s Discussion and Analysis of Our Financial Condition and Results of Operations,” and our financial statements and related notes incorporated by reference in this prospectus supplement.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early commercial-stage biopharmaceutical company focused on developing and commercializing treatments for dermatological diseases with high unmet medical needs. Our current portfolio is comprised of highly differentiated topical and systemic treatments with significant potential to treat immune-mediated dermatological diseases and conditions. We believe we have built the industry's leading platform for dermatologic product development and commercialization. Our strategy is to focus on validated biological targets, and to use our drug development platform and deep dermatology expertise to develop differentiated products that have the potential to address the major shortcomings of existing therapies in our targeted indications. We believe this strategy uniquely positions us to rapidly advance our goal of bridging the treatment innovation gap in dermatology, while maximizing our probability of technical success and financial resources.</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launched our lead product, ZORYVE® (roflumilast) cream 0.3%, in August 2022 after obtaining our original U.S. Food and Drug Administration (“FDA”) approval for the treatment of plaque psoriasis, including psoriasis in the intertriginous areas (</w:t>
      </w:r>
      <w:r>
        <w:rPr>
          <w:rFonts w:ascii="Arial" w:cs="Arial" w:eastAsia="Arial" w:hAnsi="Arial"/>
          <w:sz w:val="16"/>
          <w:szCs w:val="16"/>
          <w:i w:val="1"/>
          <w:iCs w:val="1"/>
          <w:color w:val="auto"/>
        </w:rPr>
        <w:t>e.g.</w:t>
      </w:r>
      <w:r>
        <w:rPr>
          <w:rFonts w:ascii="Arial" w:cs="Arial" w:eastAsia="Arial" w:hAnsi="Arial"/>
          <w:sz w:val="16"/>
          <w:szCs w:val="16"/>
          <w:color w:val="auto"/>
        </w:rPr>
        <w:t>, groin or axillae), in individuals 12 years of age or older. ZORYVE is approved for once-daily treatment of mild, moderate, and severe plaque psoriasis with no limitations on location or duration of use. In October 2023, we received FDA approval for an expanded indication in plaque psoriasis down to 6 years of age. We are currently working with the FDA to potentially further expand this indication in plaque psoriasis down to 2 years of age. In April 2023, we had our first commercial launch outside of the United States following Health Canada approval of ZORYVE for the treatment of plaque psoriasis in individuals 12 years or age or older. ZORYVE is a once-daily topical formulation of roflumilast, a highly potent and selective phosphodiesterase-4 (“PDE4”) inhibitor. PDE4 is an established biological target in dermatology, with multiple PDE4 inhibitors approved by the FDA for the treatment of dermatological conditions.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made significant progress in driving access and coverage of ZORYVE since launch. Weekly prescriptions have continued to increase since launch, with approximately 100,000 prescriptions written as of September 30, 2023. We believe this growth is due to our ability to drive prescriber awareness and use, patient engagement and positive experience with ZORYVE, and our efforts to establish broad, high-quality access for ZORYVE. We estimate that more than 8,500 unique prescribers have prescribed ZORYVE since launch. We believe there is an increasing preference among dermatologists to prescribe ZORYVE as a topical treatment of plaque psoriasis, and transitions from topical corticosteroids have been a significant source of new prescriptions for ZORYVE since launch. With respect to commercial payers, we have engaged multiple key insurers and estimate that insurance coverage for ZORYVE is available to approximately 130 million commercially covered lives in the United States, with more than 90% of such lives covered without prior authorizations.</w:t>
      </w:r>
    </w:p>
    <w:p>
      <w:pPr>
        <w:spacing w:after="0" w:line="1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approval of ZORYVE for plaque psoriasis, we are also developing roflumilast cream for the treatment of atopic dermatitis. In atopic dermatitis, we have successfully completed three pivotal Phase 3 clinical trials: INTEGUMENT-1 and -2 enrolled subjects 6 years of age or older and INTEGUMENT-PED enrolled subjects between the ages of 2 and 5 years. We also initiated INTEGUMENT-OLE, an open label extension study of the long-term safety of roflumilast cream 0.15% in individuals 6 years of age or older and roflumilast cream 0.05% in subjects between the ages 2 and 5 years. In the fourth quarter of 2022, we announced positive topline data from both INTEGUMENT-1 and -2 in atopic dermatitis, and in September 2023 we announced positive topline data from INTEGUMENT-PED and positive interim results from INTEGUMENT-OLE. In September 2023, we submitted an supplemental new drug application (“sNDA”) for topical roflumilast 0.15% for the treatment of mild-to-moderate atopic dermatitis in individuals 6 years of age or older, creating potential for FDA action as early as the third quarter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9900"/>
          </w:cols>
          <w:pgMar w:left="1000" w:top="1440" w:right="99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2024. Based on the positive results from the INTEGUMENT-PED study in September 2023, we expect to submit a subsequent sNDA for children ages 2 to 5 years of age following the potential initial approval of roflumilast cream 0.15% for treatment of mild-to-moderate atopic dermatitis in individuals 6 years of age or older.</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developing a topical foam formulation of roflumilast and have successfully completed pivotal Phase 3 clinical trials in both seborrheic dermatitis and scalp and body psoriasis. In seborrheic dermatitis, the FDA accepted our New Drug Application (“NDA”) for the treatment of moderate-to-severe seborrheic dermatitis in April 2023 with a target action date of December 16, 2023. If approved, we would expect to launch roflumilast foam for the treatment of seborrheic dermatitis in the first quarter of 2024. In scalp and body psoriasis, we announced positive topline data in September 2022 and we expect the data to be a sufficient basis for an sNDA submission in the first quarter of 2024, following the potential approval of roflumilast foam for treatment of seborrheic dermatitis.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Beyond topical roflumilast, we are developing ARQ-255, a deep-penetrating topical formulation of ivarmacitinib, a potent and highly selective topical Janus kinase type 1 (“JAK1”) inhibitor, designed to preferentially deliver the drug deep into the hair follicle, the site of inflammation in alopecia areata, in order to potentially develop the first topical treatment for this disease. In December 2022, we announced that the first subject had been enrolled in a Phase 1b study evaluating ARQ-255 for the treatment of alopecia areata. The first subject in the alopecia areata cohort enrolled in the second quarter of 2023.</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acquired Ducentis BioTherapeutics LTD (“Ducentis”) and its lead asset, DS-234 (now ARQ-234), a fusion protein that is a potent and highly selective checkpoint agonist of the CD200 Receptor (CD200R). Currently in the preclinical stage, we plan to develop ARQ-234 in atopic dermatitis, where we believe it could be a potentially highly complementary biologic treatment option to roflumilast cream in that indication, if approved. ARQ-234 could potentially be used to treat other inflammatory conditions as well.</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Dermatological diseases such as psoriasis, atopic dermatitis, seborrheic dermatitis, hand eczema, alopecia areata, and vitiligo affect hundreds of millions of people worldwide each year, impacting their quality of life, and physical, functional, and emotional well-being. There are many approved treatments for these conditions, but a large opportunity remains due to issues with existing treatments. Topical treatments are used for nearly all patients, but existing topicals are limited by one or more of the following: modest response rates, side effects, patient adherence, application site restrictions, and limits on duration of therapy. Topical corticosteroids (“TCS”) are commonly used as the first-line therapy for the treatment of inflammatory skin conditions such as psoriasis, atopic dermatitis, and seborrheic dermatitis. While many patients see improvements, long-term TCS treatment carries the risk of a variety of significant side effects. As a result, TCS are typically used intermittently for brief periods, which can lead to disease flares when patients stop TCS therapy. In psoriasis, vitamin D analogs are also used, but have lower response rates than TCS and are frequently irritating. Topical tapinarof was approved in May 2022 for the treatment of adults with plaque psoriasis, but this non-steroidal agent also carries significant application site reactions. In atopic dermatitis, topical calcineurin inhibitors (“TCIs”) and crisaborole, a topical non-steroidal PDE4 inhibitor, are used, but have lower response rates than TCS and are associated with application site burning. TCIs also have a boxed warning for cancer risk. Topical ruxolitinib was approved for the treatment of atopic dermatitis in September 2021, but carries an extensive boxed warning for numerous severe side effects, and is limited to short-term, intermittent use after failure of other treatments. In seborrheic dermatitis, in addition to TCS, topical antifungals are commonly used, but have limited efficacy.</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Biologic and systemic therapies are also available for some diseases, but are typically indicated for a small percentage of the affected population. Biologics for psoriasis have shown impressive response rates but are only indicated for the minority of patients with moderate-to-severe forms of disease, are expensive, and often face reimbursement and access restrictions. Treatment with oral systemic therapies such as methotrexate and apremilast has also been limited given modest symptomatic improvement and the frequency of adverse events. Additionally, many patients on biologic and systemic therapies still require adjunctive topical therapy to treat residual symptoms. In atopic dermatitis, biologic and systemic therapy continues to evolve, and we see opportunity to continue to advance the standard of care for patients with moderate-to-severe disease, for example with regard to response rates and dosing frequency.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9900"/>
          </w:cols>
          <w:pgMar w:left="1000" w:top="1440" w:right="99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Given the limitations associated with existing treatments, we believe patients with inflammatory skin conditions and their dermatologists are dissatisfied with their current treatment options. We believe that there is a significant opportunity to leverage developments in other fields of medicine, particularly inflammation and immunology, to address the significant need for effective chronic treatments in immuno-dermatology. Our initial development and commercial focus is to address patients’ significant need for innovative topical treatments that directly target molecular mediators of disease, have the potential to show significant symptomatic improvement, maintain a low risk of toxicity or side effects, and are suitable for chronic use on all areas of the body. Based on market research and our internal estimates, we estimate there is an overall patient market of approximately 13.1 million patients in the United States that are treated with topical therapies for psoriasis, atopic dermatitis, and seborrheic dermatitis inside (approximately 6.8 million) and outside (approximately 6.3 million) of dermatology offices. Of the patients that are treated inside dermatology offices, we estimate that approximately 2.9 million of these patients are addressable or accessible with Medicare and Medicaid coverage and that approximately 3.9 million patients across psoriasis (approximately 1.3 million), atopic dermatitis (approximately 1.4 million), and seborrheic dermatitis (approximately 1.2 million) are addressable through commercial channels. Patients that are treated outside of dermatology offices are addressable through other physicians, including pediatricians, allergists, and primary care physicians.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Portfolio and Pipeline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our product portfolio and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of Expanded Indication for ZORYVE for Children Ages 6 to 11</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6, 2023, we announced FDA approval of our sNDA to expand the indication of ZORYVE (roflumilast) cream 0.3% for the treatment of plaque psoriasis, including psoriasis in intertriginous areas (</w:t>
      </w:r>
      <w:r>
        <w:rPr>
          <w:rFonts w:ascii="Arial" w:cs="Arial" w:eastAsia="Arial" w:hAnsi="Arial"/>
          <w:sz w:val="18"/>
          <w:szCs w:val="18"/>
          <w:i w:val="1"/>
          <w:iCs w:val="1"/>
          <w:color w:val="auto"/>
        </w:rPr>
        <w:t>e.g.</w:t>
      </w:r>
      <w:r>
        <w:rPr>
          <w:rFonts w:ascii="Arial" w:cs="Arial" w:eastAsia="Arial" w:hAnsi="Arial"/>
          <w:sz w:val="18"/>
          <w:szCs w:val="18"/>
          <w:color w:val="auto"/>
        </w:rPr>
        <w:t>, groin or axillae), to children ages 6 to 11 years of age. Following this approval, ZORYVE is indicated for use in patients 6 years of age and older.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Topline Results from INTEGUMENT-PED 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2023, we announced positive topline data from our “INterventional Trial EvaluatinG roflUMilast cream for the treatmENt goal of aTopic dermatitis in PEDiatric patients” (INTEGUMENT-PED) trial. This pivotal trial investigated roflumilast cream 0.05% as a potential treatment for children 2 to 5 years of age with mild to moderate atopic dermatitis. The trial was a Phase 3, randomized, parallel group, double-blind, vehicle-controlled trial in which subjects ages 2 to 5 with mild to moderate atopic dermatitis involving 3% or greater body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surface area received four weeks of (i) roflumilast cream 0.05% once daily or (ii) vehicle once daily. A total of 652 children were enrolled in INTEGUMENT-PED.</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Results from the four-week treatment period demonstrated statistically significant improvements compared to matching vehicle. The primary endpoint was the percentage of patients achieving Investigator Global Assessment (“IGA”) success, which was defined as a validated Investigator Global Assessment – Atopic Dermatitis (“vIGA-AD”) score of "clear" or "almost clear" plus a 2-grade improvement from baseline at week four. In the trial, 25.4% of patients treated with roflumilast cream 0.05% achieved IGA success, compared to 10.7% of patients treated with vehicle (p &lt; 0.0001), with significant improvements observed as early as week one.</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Roflumilast cream 0.05% also demonstrated statistically significant improvements compared to vehicle on key secondary endpoints, which included 75% reduction in Eczema Area and Severity Index (“EASI-75”), the percentage of patients achieving IGA success at weeks one and two, and the percentage of patients achieving a vIDA-AD score of “clear” or “almost clear” at weeks one and two, with significant improvements observed for these endpoints as early as week one. In the trial, 39.4% of patients treated with roflumilast cream 0.05% achieved EASI 75 at week four, compared to 20.6% of patients treated with vehicle (p &lt; 0.0001). In addition, 21.2% of patients achieved IGA success at week two, compared to 6.8% of patients treated with vehicle (p &lt; 0.0001), and 9.4% of patients achieved IGA success at week one, compared to 0.9% of patients treated with vehicle (p &lt; 0.0001). In the trial, 35.3% of patients treated with roflumilast cream 0.05% with an itch score of at least four at baseline achieved a four-point reduction in itch score compared to baseline, as measured by the Worst Itch-Numerical Rating Scale (WI-NRS), compared to 18.0% of patients treated with vehicle (p = 0.0002).</w:t>
      </w:r>
    </w:p>
    <w:p>
      <w:pPr>
        <w:spacing w:after="0" w:line="11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Roflumilast cream 0.05% was well-tolerated, with rates of treatment-emergent adverse events ("TEAEs") low across the active treatment and vehicle arms. Overall, adverse events were uncommon, with no adverse event occurring in more than 4.1% of subjects in the trial. The only adverse event occurring in &gt;3% of subjects in either arm was upper respiratory tract infection, and the most frequent adverse events (&gt;2%) included upper respiratory tract infection, pyrexia, diarrhea, vomiting, and, in the vehicle arm only, atopic dermatitis.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Of the patients treated with roflumilast cream 0.05% in the trial, 410 (93.8% of patients) completed the full four weeks, and there were few discontinuations due to adverse events in both the roflumilast cream 0.05% group and vehicle group. Five patients treated with roflumilast cream 0.05% (1.1% of patients treated with roflumilast cream 0.05%) and four patients in the vehicle group (1.9% of patients treated with vehicle) discontinued the trial due to an adverse event. There were no treatment-related serious adverse events.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INTEGUMENT-OLE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7, 2023, we announced positive interim results regarding subjects 6 years of age and older with atopic dermatitis from our “INterventional Trial EvaluatinG roflUMilast cream for the treatmENt of aTopic dermatitis Open Label Extension” (INTEGUMENT-OLE) study. INTEGUMENT OLE is a Phase 3, multicenter, open-label extension study of the long-term safety of roflumilast cream 0.15% in subjects 6 years of age and older with atopic dermatitis and roflumilast cream 0.05% in subjects 2 to 5 with atopic dermatitis. Individuals that completed INTEGUMENT-1 and -2 were eligible to enroll for either 24 or 52 weeks of additional treatment, representing 28 or 56 weeks of treatment in aggregate. A total of 657 subjects enrolled in INTEGUMENT-OLE.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4 weeks of treatment, subjects who achieved a vIGA-AD score of “clear” transitioned to twice weekly maintenance dosing, after which any subjects who reached a vIGA-AD score of “mild” would resume once-daily dosing. Subjects could also resume one-daily dosing if signs or symptoms were not adequately controlled with maintenance dosing despite maintaining a vIGA-AD score of “almost clear.” More than two-thirds of participants who transitioned to maintenance dosing remained on the twice weekly maintenance dosing schedule for more than half of their time in the trial.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the study was to assess the long-term safety based on the occurrence of adverse events and serious adverse events. Results from the study demonstrated long-term safety and a tolerability profile consistent with data from our INTEGUMENT-1 and -2 trials, with no new safety signals observed up to 56 weeks of treatment. Rates of TEAEs were generally consistent with INTEGUMENT-1 and -2, with 241 subjects (36.7% of subjects) experiencing any TEAE and 31 subjects (4.7% of subjects) experiencing treatment-related TEAEs. No adverse event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occurred in more than 4.6% of subjects. The only adverse events occurring in &gt;2% of subjects included COVID-19, upper respiratory tract infection, nasopharyngitis and headache, and 21 subjects (3.2% of subjects) discontinued the study due to adverse events. There were eight subjects (1.2% of subjects) with serious adverse events and no treatment-related serious adverse events.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Roflumilast cream 0.15% also performed well on secondary endpoints, including IGA success, which was defined as a vIGA-AD score of "clear" or "almost clear" plus a 2-grade improvement from baseline in INTEGUMENT-1 or -2, and EASI-75. For example, 46.1% and 51.0% of patients treated with roflumilast cream 0.15% achieved IGA success in week 28 and 56, respectively, compared to 41.5% and</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44.6%, respectively, of patients treated with vehicle. In addition, 61.5% and 66.2% of patients treated with roflumilast cream 0.15% achieved EASI-75 at week 28 and 56, respectively, compared to 60.9% and 64.6%, respectively, of patients treated with vehicle. We believe these results demonstrate the durability of treatment and the potential for improvement in patient symptoms over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Third Quarter Results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have not finalized our full financial results as of and for the quarter ended September 30, 2023, we expect to report that for the three months ended September 30, 2023, we generated total revenues of approximately $38.1 million, which comprised net product revenue of approximately $8.1 million and other revenue of $30.0 million. Net product revenue was driven by demand growth for ZORYVE and sequential improvement in gross-to-net revenue compared to the prior quarter. Gross-to-net percentage for the three months ended September 30, 2023 was in the low 70 percent range. Other revenue comprised an upfront payment of $30.0 million under our License Agreement entered into with Hangzhou Zhongmei Huadong Pharmaceutical Co., Ltd., a wholly owned subsidiary of Huadong Medicine Co., Ltd., on August 10, 2023. In addition, we expect to report that we had approximately $228.1 million of cash, cash equivalents, restricted cash and marketable securities as of September 30, 2023. During the quarter, we continued our selective pursuit of partners to commercialize products in the United States outside of dermatology offices, including in the primary care setting, and to develop and commercialize products in Japan and other territories outside of the United States, Greater China and Southeast Asia. In addition, we implemented steps to drive efficiencies and enhance our financial flexibility, including headcount reductions, to align with our previously announced pipeline reprioritization. We continue to evaluate and explore opportunities for further efficiencies and cost savings.</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These amounts are preliminary, have not been audited and are subject to change pending completion of our unaudited financial statements for the quarter ended September 30, 2023. Additional information and disclosures would be required for a more complete understanding of our financial position and results of operations as of and for the quarter ended September 30, 2023.</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independent registered public accounting firm has not audited, reviewed, compiled, or applied agreed-upon procedures with respect to the preliminary financial data. Accordingly, our independent registered public accounting firm does not express an opinion or any other form of assurance with respect thereto. It is possible that we or our independent registered public accounting firm may identify items that require us to make adjustments to the financial information set forth above. We expect to complete our unaudited consolidated financial statements as of an for the quarter ended September 30, 2023 subsequent to the completion of this offering. Accordingly, undue reliance should not be placed on these preliminary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were formed under the laws of the State of Delaware in June 2016 under the name Arcutis, Inc. and changed our name to Arcutis Biotherapeutics, Inc. in October 2019. Our principal executive offices are located at 3027 Townsgate Road, Suite 300, Westlake Village, California 91361, and our telephone number is (805) 418-5006. Our website address is www.arcutis.com. The information contained on, or that can be accessed through, our website is not incorporated by reference into this prospectus supplement and should not be considered a part of this prospectus supplement.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70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17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500" w:type="dxa"/>
            <w:vAlign w:val="bottom"/>
            <w:gridSpan w:val="2"/>
          </w:tcPr>
          <w:p>
            <w:pPr>
              <w:ind w:left="520"/>
              <w:spacing w:after="0"/>
              <w:rPr>
                <w:sz w:val="20"/>
                <w:szCs w:val="20"/>
                <w:color w:val="auto"/>
              </w:rPr>
            </w:pPr>
            <w:r>
              <w:rPr>
                <w:rFonts w:ascii="Arial" w:cs="Arial" w:eastAsia="Arial" w:hAnsi="Arial"/>
                <w:sz w:val="18"/>
                <w:szCs w:val="18"/>
                <w:b w:val="1"/>
                <w:bCs w:val="1"/>
                <w:color w:val="auto"/>
              </w:rPr>
              <w:t>THE OFFERING</w:t>
            </w:r>
          </w:p>
        </w:tc>
        <w:tc>
          <w:tcPr>
            <w:tcW w:w="2620" w:type="dxa"/>
            <w:vAlign w:val="bottom"/>
          </w:tcPr>
          <w:p>
            <w:pPr>
              <w:spacing w:after="0"/>
              <w:rPr>
                <w:sz w:val="20"/>
                <w:szCs w:val="20"/>
                <w:color w:val="auto"/>
              </w:rPr>
            </w:pP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9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9"/>
              </w:rPr>
              <w:t>shares of our common stock (or</w:t>
            </w:r>
          </w:p>
        </w:tc>
        <w:tc>
          <w:tcPr>
            <w:tcW w:w="2620" w:type="dxa"/>
            <w:vAlign w:val="bottom"/>
          </w:tcPr>
          <w:p>
            <w:pPr>
              <w:ind w:left="240"/>
              <w:spacing w:after="0"/>
              <w:rPr>
                <w:sz w:val="20"/>
                <w:szCs w:val="20"/>
                <w:color w:val="auto"/>
              </w:rPr>
            </w:pPr>
            <w:r>
              <w:rPr>
                <w:rFonts w:ascii="Arial" w:cs="Arial" w:eastAsia="Arial" w:hAnsi="Arial"/>
                <w:sz w:val="18"/>
                <w:szCs w:val="18"/>
                <w:color w:val="auto"/>
                <w:w w:val="98"/>
              </w:rPr>
              <w:t>shares of our common stock if</w:t>
            </w:r>
          </w:p>
        </w:tc>
      </w:tr>
      <w:tr>
        <w:trPr>
          <w:trHeight w:val="230"/>
        </w:trPr>
        <w:tc>
          <w:tcPr>
            <w:tcW w:w="3720" w:type="dxa"/>
            <w:vAlign w:val="bottom"/>
          </w:tcPr>
          <w:p>
            <w:pPr>
              <w:spacing w:after="0"/>
              <w:rPr>
                <w:sz w:val="20"/>
                <w:szCs w:val="20"/>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the underwriters exercise in full their option to purchase additional shares)</w:t>
            </w:r>
          </w:p>
        </w:tc>
      </w:tr>
      <w:tr>
        <w:trPr>
          <w:trHeight w:val="256"/>
        </w:trPr>
        <w:tc>
          <w:tcPr>
            <w:tcW w:w="3720" w:type="dxa"/>
            <w:vAlign w:val="bottom"/>
          </w:tcPr>
          <w:p>
            <w:pPr>
              <w:spacing w:after="0"/>
              <w:rPr>
                <w:sz w:val="20"/>
                <w:szCs w:val="20"/>
                <w:color w:val="auto"/>
              </w:rPr>
            </w:pPr>
            <w:r>
              <w:rPr>
                <w:rFonts w:ascii="Arial" w:cs="Arial" w:eastAsia="Arial" w:hAnsi="Arial"/>
                <w:sz w:val="18"/>
                <w:szCs w:val="18"/>
                <w:color w:val="auto"/>
              </w:rPr>
              <w:t>Pre-funded warrants offered by us</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4"/>
              </w:rPr>
              <w:t>We are also offering, in lieu of common stock to certain investors that so choose,</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89"/>
              </w:rPr>
              <w:t>pre-funded warrants to purchase shares of our common stock. The purchase price of</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2"/>
              </w:rPr>
              <w:t>each pre-funded warrant will equal the price per share at which shares of common</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3"/>
              </w:rPr>
              <w:t>stock are being sold to the public in this offering, minus $0.0001, multiplied by the</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1"/>
              </w:rPr>
              <w:t>number of shares subject to the warrant, and the exercise price of each pre-funded</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3"/>
              </w:rPr>
              <w:t>warrant will equal $0.0001 per share. Each pre-funded warrant will be exercisable</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0"/>
              </w:rPr>
              <w:t>from the date of issuance until the date the warrant is exercised in full, subject to an</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4"/>
              </w:rPr>
              <w:t>ownership limitation. See “Description of Pre-Funded Warrants.” This prospectus</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89"/>
              </w:rPr>
              <w:t>supplement also relates to the offering of the shares of common stock issuable upon</w:t>
            </w:r>
          </w:p>
        </w:tc>
      </w:tr>
      <w:tr>
        <w:trPr>
          <w:trHeight w:val="230"/>
        </w:trPr>
        <w:tc>
          <w:tcPr>
            <w:tcW w:w="3720" w:type="dxa"/>
            <w:vAlign w:val="bottom"/>
          </w:tcPr>
          <w:p>
            <w:pPr>
              <w:spacing w:after="0"/>
              <w:rPr>
                <w:sz w:val="20"/>
                <w:szCs w:val="20"/>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the exercise of such pre-funded warrants.</w:t>
            </w:r>
          </w:p>
        </w:tc>
        <w:tc>
          <w:tcPr>
            <w:tcW w:w="2620" w:type="dxa"/>
            <w:vAlign w:val="bottom"/>
          </w:tcPr>
          <w:p>
            <w:pPr>
              <w:spacing w:after="0"/>
              <w:rPr>
                <w:sz w:val="20"/>
                <w:szCs w:val="20"/>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18"/>
                <w:szCs w:val="18"/>
                <w:color w:val="auto"/>
                <w:w w:val="91"/>
              </w:rPr>
              <w:t>Common stock to be outstanding after this offering</w:t>
            </w:r>
          </w:p>
        </w:tc>
        <w:tc>
          <w:tcPr>
            <w:tcW w:w="9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3"/>
              </w:rPr>
              <w:t>shares of our common stock, assuming all of the pre-funded warrants</w:t>
            </w:r>
          </w:p>
        </w:tc>
      </w:tr>
      <w:tr>
        <w:trPr>
          <w:trHeight w:val="216"/>
        </w:trPr>
        <w:tc>
          <w:tcPr>
            <w:tcW w:w="3720" w:type="dxa"/>
            <w:vAlign w:val="bottom"/>
          </w:tcPr>
          <w:p>
            <w:pPr>
              <w:spacing w:after="0"/>
              <w:rPr>
                <w:sz w:val="18"/>
                <w:szCs w:val="18"/>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issued in this offering are exercised (or</w:t>
            </w:r>
          </w:p>
        </w:tc>
        <w:tc>
          <w:tcPr>
            <w:tcW w:w="2620" w:type="dxa"/>
            <w:vAlign w:val="bottom"/>
          </w:tcPr>
          <w:p>
            <w:pPr>
              <w:ind w:left="320"/>
              <w:spacing w:after="0"/>
              <w:rPr>
                <w:sz w:val="20"/>
                <w:szCs w:val="20"/>
                <w:color w:val="auto"/>
              </w:rPr>
            </w:pPr>
            <w:r>
              <w:rPr>
                <w:rFonts w:ascii="Arial" w:cs="Arial" w:eastAsia="Arial" w:hAnsi="Arial"/>
                <w:sz w:val="18"/>
                <w:szCs w:val="18"/>
                <w:color w:val="auto"/>
              </w:rPr>
              <w:t>shares if the underwriters</w:t>
            </w:r>
          </w:p>
        </w:tc>
      </w:tr>
      <w:tr>
        <w:trPr>
          <w:trHeight w:val="230"/>
        </w:trPr>
        <w:tc>
          <w:tcPr>
            <w:tcW w:w="3720" w:type="dxa"/>
            <w:vAlign w:val="bottom"/>
          </w:tcPr>
          <w:p>
            <w:pPr>
              <w:spacing w:after="0"/>
              <w:rPr>
                <w:sz w:val="20"/>
                <w:szCs w:val="20"/>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exercise in full their option to purchase additional shares)</w:t>
            </w:r>
          </w:p>
        </w:tc>
      </w:tr>
      <w:tr>
        <w:trPr>
          <w:trHeight w:val="310"/>
        </w:trPr>
        <w:tc>
          <w:tcPr>
            <w:tcW w:w="372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16"/>
        </w:trPr>
        <w:tc>
          <w:tcPr>
            <w:tcW w:w="372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additional</w:t>
            </w:r>
          </w:p>
        </w:tc>
        <w:tc>
          <w:tcPr>
            <w:tcW w:w="5160" w:type="dxa"/>
            <w:vAlign w:val="bottom"/>
            <w:gridSpan w:val="2"/>
          </w:tcPr>
          <w:p>
            <w:pPr>
              <w:ind w:left="860"/>
              <w:spacing w:after="0"/>
              <w:rPr>
                <w:sz w:val="20"/>
                <w:szCs w:val="20"/>
                <w:color w:val="auto"/>
              </w:rPr>
            </w:pPr>
            <w:r>
              <w:rPr>
                <w:rFonts w:ascii="Arial" w:cs="Arial" w:eastAsia="Arial" w:hAnsi="Arial"/>
                <w:sz w:val="18"/>
                <w:szCs w:val="18"/>
                <w:color w:val="auto"/>
                <w:w w:val="92"/>
              </w:rPr>
              <w:t>shares of our common stock. This option is exercisable, in</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whole or in part, for a period of 30 days from the date of this prospectus</w:t>
            </w:r>
          </w:p>
        </w:tc>
      </w:tr>
      <w:tr>
        <w:trPr>
          <w:trHeight w:val="230"/>
        </w:trPr>
        <w:tc>
          <w:tcPr>
            <w:tcW w:w="372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89"/>
              </w:rPr>
              <w:t>supplement.</w:t>
            </w:r>
          </w:p>
        </w:tc>
        <w:tc>
          <w:tcPr>
            <w:tcW w:w="25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10"/>
        </w:trPr>
        <w:tc>
          <w:tcPr>
            <w:tcW w:w="3720" w:type="dxa"/>
            <w:vAlign w:val="bottom"/>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1"/>
              </w:rPr>
              <w:t>We currently intend to use the net proceeds from this offering to fund the continued</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3"/>
              </w:rPr>
              <w:t>development, approval and commercialization of our multiple programs, including</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2"/>
              </w:rPr>
              <w:t>for our potential launches in seborrheic dermatitis and atopic dermatitis and further</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1"/>
              </w:rPr>
              <w:t>patient expansion within psoriasis, with the remainder for working capital and other</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1"/>
              </w:rPr>
              <w:t>general corporate purposes. We may also use a portion of the net proceeds for the</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acquisition of, or investment in, complementary businesses, products or</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0"/>
              </w:rPr>
              <w:t>technologies, however, we have not entered into any agreements that would dictate</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89"/>
              </w:rPr>
              <w:t>the use of any of the net proceeds for any specific acquisitions or investments at this</w:t>
            </w:r>
          </w:p>
        </w:tc>
      </w:tr>
      <w:tr>
        <w:trPr>
          <w:trHeight w:val="230"/>
        </w:trPr>
        <w:tc>
          <w:tcPr>
            <w:tcW w:w="3720" w:type="dxa"/>
            <w:vAlign w:val="bottom"/>
          </w:tcPr>
          <w:p>
            <w:pPr>
              <w:spacing w:after="0"/>
              <w:rPr>
                <w:sz w:val="20"/>
                <w:szCs w:val="20"/>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time. See “Use of Proceeds.”</w:t>
            </w:r>
          </w:p>
        </w:tc>
        <w:tc>
          <w:tcPr>
            <w:tcW w:w="2620" w:type="dxa"/>
            <w:vAlign w:val="bottom"/>
          </w:tcPr>
          <w:p>
            <w:pPr>
              <w:spacing w:after="0"/>
              <w:rPr>
                <w:sz w:val="20"/>
                <w:szCs w:val="20"/>
                <w:color w:val="auto"/>
              </w:rPr>
            </w:pPr>
          </w:p>
        </w:tc>
      </w:tr>
      <w:tr>
        <w:trPr>
          <w:trHeight w:val="310"/>
        </w:trPr>
        <w:tc>
          <w:tcPr>
            <w:tcW w:w="3720" w:type="dxa"/>
            <w:vAlign w:val="bottom"/>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Investing in our securities involves a high degree of risk. See the</w:t>
            </w:r>
          </w:p>
        </w:tc>
      </w:tr>
      <w:tr>
        <w:trPr>
          <w:trHeight w:val="203"/>
        </w:trPr>
        <w:tc>
          <w:tcPr>
            <w:tcW w:w="3720" w:type="dxa"/>
            <w:vAlign w:val="bottom"/>
          </w:tcPr>
          <w:p>
            <w:pPr>
              <w:spacing w:after="0"/>
              <w:rPr>
                <w:sz w:val="17"/>
                <w:szCs w:val="17"/>
                <w:color w:val="auto"/>
              </w:rPr>
            </w:pPr>
          </w:p>
        </w:tc>
        <w:tc>
          <w:tcPr>
            <w:tcW w:w="61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“Risk Factors” section of this prospectus supplement and in the documents</w:t>
            </w:r>
          </w:p>
        </w:tc>
      </w:tr>
      <w:tr>
        <w:trPr>
          <w:trHeight w:val="230"/>
        </w:trPr>
        <w:tc>
          <w:tcPr>
            <w:tcW w:w="3720" w:type="dxa"/>
            <w:vAlign w:val="bottom"/>
          </w:tcPr>
          <w:p>
            <w:pPr>
              <w:spacing w:after="0"/>
              <w:rPr>
                <w:sz w:val="20"/>
                <w:szCs w:val="20"/>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rPr>
              <w:t>incorporated by reference in this prospectus supplement.</w:t>
            </w:r>
          </w:p>
        </w:tc>
      </w:tr>
      <w:tr>
        <w:trPr>
          <w:trHeight w:val="296"/>
        </w:trPr>
        <w:tc>
          <w:tcPr>
            <w:tcW w:w="37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4"/>
              </w:rPr>
              <w:t>“ARQT.” We do not intend to list the pre-funded warrants on The Nasdaq Global</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7"/>
              </w:rPr>
              <w:t>Select Market, any other national securities exchange or any other recognized</w:t>
            </w:r>
          </w:p>
        </w:tc>
      </w:tr>
      <w:tr>
        <w:trPr>
          <w:trHeight w:val="216"/>
        </w:trPr>
        <w:tc>
          <w:tcPr>
            <w:tcW w:w="3720" w:type="dxa"/>
            <w:vAlign w:val="bottom"/>
          </w:tcPr>
          <w:p>
            <w:pPr>
              <w:spacing w:after="0"/>
              <w:rPr>
                <w:sz w:val="18"/>
                <w:szCs w:val="18"/>
                <w:color w:val="auto"/>
              </w:rPr>
            </w:pPr>
          </w:p>
        </w:tc>
        <w:tc>
          <w:tcPr>
            <w:tcW w:w="6120" w:type="dxa"/>
            <w:vAlign w:val="bottom"/>
            <w:gridSpan w:val="3"/>
          </w:tcPr>
          <w:p>
            <w:pPr>
              <w:ind w:left="60"/>
              <w:spacing w:after="0"/>
              <w:rPr>
                <w:sz w:val="20"/>
                <w:szCs w:val="20"/>
                <w:color w:val="auto"/>
              </w:rPr>
            </w:pPr>
            <w:r>
              <w:rPr>
                <w:rFonts w:ascii="Arial" w:cs="Arial" w:eastAsia="Arial" w:hAnsi="Arial"/>
                <w:sz w:val="18"/>
                <w:szCs w:val="18"/>
                <w:color w:val="auto"/>
                <w:w w:val="94"/>
              </w:rPr>
              <w:t>trading system. Without an active market, the liquidity of the pre-funded warrants</w:t>
            </w:r>
          </w:p>
        </w:tc>
      </w:tr>
      <w:tr>
        <w:trPr>
          <w:trHeight w:val="230"/>
        </w:trPr>
        <w:tc>
          <w:tcPr>
            <w:tcW w:w="3720" w:type="dxa"/>
            <w:vAlign w:val="bottom"/>
          </w:tcPr>
          <w:p>
            <w:pPr>
              <w:spacing w:after="0"/>
              <w:rPr>
                <w:sz w:val="20"/>
                <w:szCs w:val="20"/>
                <w:color w:val="auto"/>
              </w:rPr>
            </w:pP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will be limited.</w:t>
            </w:r>
          </w:p>
        </w:tc>
        <w:tc>
          <w:tcPr>
            <w:tcW w:w="2620" w:type="dxa"/>
            <w:vAlign w:val="bottom"/>
          </w:tcPr>
          <w:p>
            <w:pPr>
              <w:spacing w:after="0"/>
              <w:rPr>
                <w:sz w:val="20"/>
                <w:szCs w:val="20"/>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61,630,018 shares of our common stock outstanding as of June 30, 2023, and excludes:</w:t>
      </w:r>
    </w:p>
    <w:p>
      <w:pPr>
        <w:spacing w:after="0" w:line="116" w:lineRule="exact"/>
        <w:rPr>
          <w:sz w:val="20"/>
          <w:szCs w:val="20"/>
          <w:color w:val="auto"/>
        </w:rPr>
      </w:pPr>
    </w:p>
    <w:p>
      <w:pPr>
        <w:ind w:left="6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8,257,763 shares of common stock issuable upon the exercise of options outstanding as of June 30, 2023, with a weighted-average exercise price of $19.26 per share;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250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25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2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2,912,694 shares of common stock issuable upon the vesting and settlement of restricted stock units, or RSUs, outstanding as of June 30, 2023;</w:t>
      </w:r>
    </w:p>
    <w:p>
      <w:pPr>
        <w:spacing w:after="0" w:line="102"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423,000 shares of common stock issuable upon the exercise of options outstanding that were granted after June 30, 2023, with a weighed-average exercise price of $6.59 per share;</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291,950 shares of common stock issuable upon the vesting and settlement of RSUs that were granted after June 30, 2023;</w:t>
      </w:r>
    </w:p>
    <w:p>
      <w:pPr>
        <w:spacing w:after="0" w:line="155" w:lineRule="exact"/>
        <w:rPr>
          <w:rFonts w:ascii="Arial" w:cs="Arial" w:eastAsia="Arial" w:hAnsi="Arial"/>
          <w:sz w:val="17"/>
          <w:szCs w:val="17"/>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7,416 shares of unvested common stock subject to repurchase by us as of June 30, 2023;</w:t>
      </w:r>
    </w:p>
    <w:p>
      <w:pPr>
        <w:spacing w:after="0" w:line="157"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1,289,068 shares of common stock that were reserved for future issuance as of June 30, 2023 under our 2020 Equity Incentive Plan, or the 2020 Plan, as well as any automatic increases in the number of shares of our common stock reserved for future issuance under the 2020 Plan;</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1,524,787 shares of common stock that were reserved for future issuance as of June 30, 2023 under our 2020 Employee Stock Purchase Plan, or ESPP, as well as any automatic increases in the number of shares of our common stock reserved for future issuance under the ESPP; and</w:t>
      </w:r>
    </w:p>
    <w:p>
      <w:pPr>
        <w:spacing w:after="0" w:line="102"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1,320,260 shares of common stock that were reserved for future issuance as of June 30, 2023 under our 2022 Employment Inducement Incentive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171"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repurchase by us of any shares of unvested common stock subject to repurchase;</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of outstanding options or settlement of outstanding RSUs;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and</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pre-funded warrants issued in this offering are exercised.</w:t>
      </w:r>
    </w:p>
    <w:p>
      <w:pPr>
        <w:spacing w:after="0" w:line="15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Up to $100.0 million of shares of our common stock may be sold from time to time under a sales agreement (the ‘‘Sales Agreement’’) for our ‘‘at-the-market’’ program that we entered into on May 6, 2021 with Cowen and Company, LLC. As of June 30, 2023, we have sold 882,353 shares under the "at-the-market’’ program for $17.00 per share and received $14.5 million in net proceeds. Subject to limited exceptions, we have agreed not to make any sales under the Sales Agreement until the expiration or waiver of the 90-day lock-up period applicable to us. For more information, see the section titled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9900"/>
          </w:cols>
          <w:pgMar w:left="1000" w:top="1440" w:right="999" w:bottom="1440" w:gutter="0" w:footer="0" w:header="0"/>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You should consider carefully the risks described below and discussed under the section captioned “Risk Factors” contained in our Annual Report on Form 10-K for the year ended December 31, 2022 and our Quarterly Report on Form 10-Q for the period ended June 30, 2023, as updated by our subsequent filings under the Securities Exchange Act of 1934, as amended, or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that the stock price of our common stock (and common stock underlying the pre-funded warrants) may be volatile or may decline and you may not be able to resell your shares at or above the offering price.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and common stock underlying the pre-funded warrants purchased in this offering, may fluctuate significantly in response to numerous factors, many of which are beyond our control, including:</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daily trading volume resulting in the lack of a liquid market;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and uptake of ZORYVE;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future clinical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landscape, including the commercial success of products competing with ZORYVE;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sales activities, as well as product development activities;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foreign countries;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Securities and Exchange Commission (“SEC”), and announcements relating to acquisitions, strategic transactions, licenses, joint ventures, capital commitments, intellectual property, litigation or other disputes impacting us or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sentiment and the actions and campaigns of activist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our business, operations and financial condition;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securities in this offering, you will incur immediate and substantial dilution in the book value of your shares.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you purchase shares of our common stock or pre-funded warrants in this offering, you will incur immediate and substantial dilution in the as adjusted net tangible book value of your common stock or the shares of common stock underlying the pre-funded warrants purchased in this offering because the price that you pay will be substantially greater than the net tangible book value per share of the shares you acquire. To the extent we raise additional capital by issuing equity securities, including pursuant to the Sales Agreement, our stockholders will experience substantial additional dilution. For a further description of the dilution that you will experience immediately after this offering, see the section of this prospectus supplement titled “Dilution.”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have broad discretion over the use of proceeds from this offering, including for any of the purposes described in the section titled “Use of proceeds,” as well as our existing cash, cash equivalents, restricted cash, and marketable securities, and you will be relying on the judgment of our management regarding such application.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We may not apply the net proceeds or our existing cash, cash equivalents, restricted cash, and marketable securities in ways that ultimately increase the value of your investment. If we do not invest or apply the net proceeds from this offering or our existing cash, cash equivalents, restricted cash, and marketable securities in ways that enhance stockholder value, we may fail to achieve expected business and financial results, which could cause our stock price to decline. We may also use a portion of the net proceeds for the acquisition of, or investment in, complementary businesses, products or technologies, however, we have not entered into any agreements that would dictate the use of any of the net proceeds for any specific acquisitions or investments at this time. Pending the use, we plan to invest the net proceeds from this offering in short- and intermediate-term, interest-bearing obligations, investment-grade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certificates of deposit or direct or guaranteed obligations of the U.S. government. These investments may not yield a favorable return to our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securities in the public market, or the perception that such sales could occur, could cause our stock price to fall.</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the pre-funded warrants will have no rights as common stockholders until such holders exercise their pre-funded warrants and acquire our common stock.</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holders of the pre-funded warrants exercise their pre-funded warrants and acquire shares of our common stock, such holders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holders or beneficial owners of our common stock may not be permitted to exercise the pre-funded warrants that they hold.</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receive any meaningful amount of additional funds upon the exercise of the pre-funded warrants.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regarding future events and our future results that are based on our current expectations, estimates, forecasts and projections as well as the current beliefs and assumptions of our management, including about our business, our financial condition, our results of operations, our operating requirements and utilization of our capital resources, and the industry and environment in which we operate. Statements that include words such as “believe,” “may,” “will,” “estimate,” “continue,” “anticipate,” “would,” “could,” “should,” “intend” and “expect,” variations of these words, and similar expressions, are intended to identify forward-looking statements. 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Conditions and Results of Operations” in our Annual Report on Form 10-K for the year ended December 31, 2022, and in our Quarterly Report on Form 10-Q for the period ended March 31, 2023 incorporated by reference herein, and in other reports we file with the SEC. While forward-looking statements are based on the reasonable expectations of our management at the time that they are made, you should not rely on them. We undertake no obligation to revise or update publicly any forward-looking statements for any reason,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estimate that the net proceeds from this offering, after deducting estimated underwriting discounts and commissions and offering expenses, will be</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approximately $ million (or approximately $ million if the underwriters exercise in full their option to purchase additional shares). We will receive nominal proceeds, if any, from any exercise of pre-funded warrants.</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currently intend to use the net proceeds from this offering, together with our existing cash, cash equivalents, restricted cash, and marketable securities, to fund the continued development, approval and commercialization of our multiple programs, including for our potential launches in seborrheic dermatitis and atopic dermatitis and further patient expansion within psoriasis, with the remainder for working capital and other general corporate purposes.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our current operating plan and commercial launch projections, we estimate that our current cash, cash equivalents, restricted cash, and marketable securities, together with the impact of potential license, partnership and collaboration agreements and the estimated net proceeds from this offering, would be sufficient to fund our projected operating requirements into approximately mid 2025. In addition, we recently implemented steps to drive efficiencies and enhance our financial flexibility, including headcount reductions, to align with our previously announced pipeline reprioritization. We continue to evaluate and explore opportunities for further efficiencies and cost savings, which could further improve our ability to fund our projected operating requirements.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expected use of the net proceeds from the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product development efforts, cash generated from future operations and actual expenses to operate our business. We may also use a portion of the net proceeds for the acquisition of, or investment in, complementary businesses, products or technologies, however, we have not entered into any agreements that would dictate the use of any of the net proceeds for any specific acquisitions or investments at this time.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and timing of our actual expenditures will depend on numerous factors, including the factors described under “Risk Factors” in this prospectus supplement, the accompanying prospectus and in the documents incorporated by reference herein and therein, as well as the amount of cash used in our operations. We may find it necessary or advisable to use the net proceeds for other purposes, and we will have broad discretion in the application of the net proceeds.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PRE-FUNDED WARRANTS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pre-funded warrants will be issued as individual warrant agreements to investors. The form of pre-funded warrant will be filed as an exhibit to a Current Report on Form 8-K that we expect to file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pre-funded warrants expire on the date the warrant is exercised in full.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pre-funded warrants are exercisable at any time on or after their original issuance. The pre-funded warrants are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Limitations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exercise price per whole share of our common stock purchasable upon the exercise of the pre-funded warrants is $0.0001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mechanic described above upon the consummation of such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as a Stockholder</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subject to compliance with contractual restrictions and covenants in the agreements governing our current and future indebtedness. For example, our Loan Agreement imposes certain restrictions on our ability to pay dividends and make other distributions 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invest in our common stock or pre-funded warrants in this offering, your interest will be diluted to the extent of the difference between the public offering price per share of our common stock or pre-funded warrant and the as adjusted net tangible book value per share of our common stock after this offering.</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historical net tangible book value as of June 30, 2023 was $73.7 million, or $1.20 per share. We calculate net tangible book value per share by dividing the net tangible book value (our tangible assets less our total liabilities) by the 61,630,018 shares of common stock outstanding as of June 30, 2023. Dilution in net tangible book value per share represents the difference between the amount per share paid by purchasers of common stock in this offering and the net tangible book value per share of our common stock immediately after this offering.</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After giving effect to the sale by us of shares of our common stock in this offering at the public offering price of $ per share, and pre-funded warrants to purchase shares of common stock at the public offering price of $ per pre-funded warrant (which equals the public offering price of the</w:t>
      </w:r>
    </w:p>
    <w:p>
      <w:pPr>
        <w:spacing w:after="0" w:line="281" w:lineRule="auto"/>
        <w:rPr>
          <w:sz w:val="20"/>
          <w:szCs w:val="20"/>
          <w:color w:val="auto"/>
        </w:rPr>
      </w:pPr>
      <w:r>
        <w:rPr>
          <w:rFonts w:ascii="Arial" w:cs="Arial" w:eastAsia="Arial" w:hAnsi="Arial"/>
          <w:sz w:val="16"/>
          <w:szCs w:val="16"/>
          <w:color w:val="auto"/>
        </w:rPr>
        <w:t>common stock less the $0.0001 per share exercise price of each such pre-funded warrant), assuming the exercise of the pre-funded warrants, and after deducting estimated underwriting discounts and commissions and offering expenses and excluding the proceeds, if any, from the exercise of the pre-funded</w:t>
      </w:r>
    </w:p>
    <w:tbl>
      <w:tblPr>
        <w:tblLayout w:type="fixed"/>
        <w:tblInd w:w="0" w:type="dxa"/>
        <w:tblCellMar>
          <w:top w:w="0" w:type="dxa"/>
          <w:left w:w="0" w:type="dxa"/>
          <w:bottom w:w="0" w:type="dxa"/>
          <w:right w:w="0" w:type="dxa"/>
        </w:tblCellMar>
      </w:tblPr>
      <w:tr>
        <w:trPr>
          <w:trHeight w:val="203"/>
        </w:trPr>
        <w:tc>
          <w:tcPr>
            <w:tcW w:w="9120" w:type="dxa"/>
            <w:vAlign w:val="bottom"/>
            <w:gridSpan w:val="4"/>
          </w:tcPr>
          <w:p>
            <w:pPr>
              <w:spacing w:after="0" w:line="203" w:lineRule="exact"/>
              <w:rPr>
                <w:sz w:val="20"/>
                <w:szCs w:val="20"/>
                <w:color w:val="auto"/>
              </w:rPr>
            </w:pPr>
            <w:r>
              <w:rPr>
                <w:rFonts w:ascii="Arial" w:cs="Arial" w:eastAsia="Arial" w:hAnsi="Arial"/>
                <w:sz w:val="18"/>
                <w:szCs w:val="18"/>
                <w:color w:val="auto"/>
                <w:w w:val="94"/>
              </w:rPr>
              <w:t>warrants issued pursuant to this offering, our as adjusted net tangible book value as of June 30, 2023 would have been $</w:t>
            </w:r>
          </w:p>
        </w:tc>
        <w:tc>
          <w:tcPr>
            <w:tcW w:w="540" w:type="dxa"/>
            <w:vAlign w:val="bottom"/>
            <w:gridSpan w:val="3"/>
          </w:tcPr>
          <w:p>
            <w:pPr>
              <w:ind w:left="160"/>
              <w:spacing w:after="0" w:line="203" w:lineRule="exact"/>
              <w:rPr>
                <w:sz w:val="20"/>
                <w:szCs w:val="20"/>
                <w:color w:val="auto"/>
              </w:rPr>
            </w:pPr>
            <w:r>
              <w:rPr>
                <w:rFonts w:ascii="Arial" w:cs="Arial" w:eastAsia="Arial" w:hAnsi="Arial"/>
                <w:sz w:val="18"/>
                <w:szCs w:val="18"/>
                <w:color w:val="auto"/>
                <w:w w:val="87"/>
              </w:rPr>
              <w:t>, or $</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per share. This</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represents an immediate increase in net tangible book value of $</w:t>
            </w:r>
          </w:p>
        </w:tc>
        <w:tc>
          <w:tcPr>
            <w:tcW w:w="6380" w:type="dxa"/>
            <w:vAlign w:val="bottom"/>
            <w:gridSpan w:val="6"/>
          </w:tcPr>
          <w:p>
            <w:pPr>
              <w:jc w:val="right"/>
              <w:spacing w:after="0"/>
              <w:rPr>
                <w:sz w:val="20"/>
                <w:szCs w:val="20"/>
                <w:color w:val="auto"/>
              </w:rPr>
            </w:pPr>
            <w:r>
              <w:rPr>
                <w:rFonts w:ascii="Arial" w:cs="Arial" w:eastAsia="Arial" w:hAnsi="Arial"/>
                <w:sz w:val="18"/>
                <w:szCs w:val="18"/>
                <w:color w:val="auto"/>
                <w:w w:val="94"/>
              </w:rPr>
              <w:t>per share to our existing stockholders and an immediate dilution in net tangible book</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value of $</w:t>
            </w:r>
          </w:p>
        </w:tc>
        <w:tc>
          <w:tcPr>
            <w:tcW w:w="81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per share to new investors participating in this offering. The following table illustrates this per share dilution.</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89"/>
        </w:trPr>
        <w:tc>
          <w:tcPr>
            <w:tcW w:w="4860" w:type="dxa"/>
            <w:vAlign w:val="bottom"/>
            <w:gridSpan w:val="2"/>
          </w:tcPr>
          <w:p>
            <w:pPr>
              <w:spacing w:after="0"/>
              <w:rPr>
                <w:sz w:val="16"/>
                <w:szCs w:val="16"/>
                <w:color w:val="auto"/>
              </w:rPr>
            </w:pP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Public offering price per share</w:t>
            </w:r>
          </w:p>
        </w:tc>
        <w:tc>
          <w:tcPr>
            <w:tcW w:w="3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r>
      <w:tr>
        <w:trPr>
          <w:trHeight w:val="270"/>
        </w:trPr>
        <w:tc>
          <w:tcPr>
            <w:tcW w:w="4860" w:type="dxa"/>
            <w:vAlign w:val="bottom"/>
            <w:gridSpan w:val="2"/>
          </w:tcPr>
          <w:p>
            <w:pPr>
              <w:ind w:left="180"/>
              <w:spacing w:after="0"/>
              <w:rPr>
                <w:sz w:val="20"/>
                <w:szCs w:val="20"/>
                <w:color w:val="auto"/>
              </w:rPr>
            </w:pPr>
            <w:r>
              <w:rPr>
                <w:rFonts w:ascii="Arial" w:cs="Arial" w:eastAsia="Arial" w:hAnsi="Arial"/>
                <w:sz w:val="18"/>
                <w:szCs w:val="18"/>
                <w:color w:val="auto"/>
                <w:w w:val="96"/>
              </w:rPr>
              <w:t>Historical net tangible book value per share at June 30, 2023</w:t>
            </w:r>
          </w:p>
        </w:tc>
        <w:tc>
          <w:tcPr>
            <w:tcW w:w="4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91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Increase in historical net tangible book value attributable to new investors in this offering</w:t>
            </w: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w w:val="95"/>
              </w:rPr>
              <w:t>As adjusted net tangible book value per share after this offering</w:t>
            </w:r>
          </w:p>
        </w:tc>
        <w:tc>
          <w:tcPr>
            <w:tcW w:w="3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
        </w:trPr>
        <w:tc>
          <w:tcPr>
            <w:tcW w:w="4860" w:type="dxa"/>
            <w:vAlign w:val="bottom"/>
            <w:tcBorders>
              <w:bottom w:val="single" w:sz="8" w:color="CCEEFF"/>
            </w:tcBorders>
            <w:gridSpan w:val="2"/>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Dilution per share to investors participating in this offering</w:t>
            </w:r>
          </w:p>
        </w:tc>
        <w:tc>
          <w:tcPr>
            <w:tcW w:w="3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Assuming the pre-funded warrants were immediately and fully exercised, this would result in an as adjusted net tangible book value per share,after giving</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effect to this offering and warrant exercise,of $ , or $ per share. This represents an increase in net tangible book value of $ per share to existing stockholders and dilution in net tangible book value per share of $ to new investors participating in this offering.</w:t>
      </w:r>
    </w:p>
    <w:p>
      <w:pPr>
        <w:spacing w:after="0" w:line="131" w:lineRule="exact"/>
        <w:rPr>
          <w:sz w:val="20"/>
          <w:szCs w:val="20"/>
          <w:color w:val="auto"/>
        </w:rPr>
      </w:pPr>
    </w:p>
    <w:p>
      <w:pPr>
        <w:spacing w:after="0"/>
        <w:tabs>
          <w:tab w:leader="none" w:pos="5300" w:val="left"/>
          <w:tab w:leader="none" w:pos="10980" w:val="left"/>
        </w:tabs>
        <w:rPr>
          <w:sz w:val="20"/>
          <w:szCs w:val="20"/>
          <w:color w:val="auto"/>
        </w:rPr>
      </w:pPr>
      <w:r>
        <w:rPr>
          <w:rFonts w:ascii="Arial" w:cs="Arial" w:eastAsia="Arial" w:hAnsi="Arial"/>
          <w:sz w:val="18"/>
          <w:szCs w:val="18"/>
          <w:color w:val="auto"/>
        </w:rPr>
        <w:t>If the underwriters exercise in full their option to purchase up to</w:t>
      </w:r>
      <w:r>
        <w:rPr>
          <w:sz w:val="20"/>
          <w:szCs w:val="20"/>
          <w:color w:val="auto"/>
        </w:rPr>
        <w:tab/>
      </w:r>
      <w:r>
        <w:rPr>
          <w:rFonts w:ascii="Arial" w:cs="Arial" w:eastAsia="Arial" w:hAnsi="Arial"/>
          <w:sz w:val="18"/>
          <w:szCs w:val="18"/>
          <w:color w:val="auto"/>
        </w:rPr>
        <w:t>additional shares of our common stock at the public offering price of $</w:t>
      </w:r>
      <w:r>
        <w:rPr>
          <w:sz w:val="20"/>
          <w:szCs w:val="20"/>
          <w:color w:val="auto"/>
        </w:rPr>
        <w:tab/>
      </w:r>
      <w:r>
        <w:rPr>
          <w:rFonts w:ascii="Arial" w:cs="Arial" w:eastAsia="Arial" w:hAnsi="Arial"/>
          <w:sz w:val="16"/>
          <w:szCs w:val="16"/>
          <w:color w:val="auto"/>
        </w:rPr>
        <w:t>per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share, and after deducting estimated underwriting discounts and commissions and offering expenses, our as adjusted net tangible book value would be</w:t>
      </w:r>
    </w:p>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 per share, and the dilution in net tangible book value per share to new investors purchasing shares of common stock in this offering would be $ per share.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table and calculations (other than the historical net tangible book value calculation) are based on 61,630,018 shares of our common stock outstanding as of June 30, 2023 and exclude:</w:t>
      </w:r>
    </w:p>
    <w:p>
      <w:pPr>
        <w:spacing w:after="0" w:line="116" w:lineRule="exact"/>
        <w:rPr>
          <w:sz w:val="20"/>
          <w:szCs w:val="20"/>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8,257,763 shares of common stock issuable upon the exercise of options outstanding as of June 30, 2023, with a weighted-average exercise price of $19.26 per share;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2,912,694 shares of common stock issuable upon the vesting and settlement of restricted stock units, or RSUs, outstanding as of June 30, 2023;</w:t>
      </w:r>
    </w:p>
    <w:p>
      <w:pPr>
        <w:spacing w:after="0" w:line="18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423,000 shares of common stock issuable upon the exercise of options outstanding that were granted after June 30, 2023, with a weighted-average exercise price of $6.59 per share;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291,950 shares of common stock issuable upon the vesting and settlement of RSUs that were granted after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7,416 shares of unvested common stock subject to repurchase by us as of June 30, 2023;</w:t>
      </w:r>
    </w:p>
    <w:p>
      <w:pPr>
        <w:spacing w:after="0" w:line="15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1,289,068 shares of common stock that were reserved for future issuance as of June 30, 2023 under our 2020 Equity Incentive Plan, or the 2020 Plan, as well as any automatic increases in the number of shares of our common stock reserved for future issuance under the 2020 Plan;</w:t>
      </w:r>
    </w:p>
    <w:p>
      <w:pPr>
        <w:spacing w:after="0" w:line="4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1,524,787 shares of common stock that were reserved for future issuance as of June 30, 2023 under our ESPP, as well as any automatic increases in the number of shares of our common stock reserved for future issuance under the ESPP;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1,320,260 shares of common stock that were reserved for future issuance as of June 30, 2023 under our 2022 Employment Inducement Incentive Plan.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of the purchase, ownership and disposition of the shares of common stock and pre-funded warrants, which we refer to collectively as the “Securities,”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discussion is limited to holders that hold the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unearned income Medicare contribution tax. In addition, it does not address consequences relevant to holders subject to particular rules, including, without limitation:</w:t>
      </w:r>
    </w:p>
    <w:p>
      <w:pPr>
        <w:spacing w:after="0" w:line="1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the Securities as part of a hedge, straddle or other risk reduction strategy or as part of a conversion transaction or other integrated investment;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the Securities under the constructive sale provisions of the Code;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persons for whom our stock and pre-funded warrants constitutes “qualified small business stock” within the meaning of Section 1202 of the Code;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or receive the Securities pursuant to the exercise of any employee stock option or otherwise as compensation;</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 (as defined in the Code);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Treatment of Pre-funded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not free from doubt, a pre-funded warrant should be treated as a share of our common stock for U.S. federal income tax purposes, and a holder of pre-funded warrants should generally be taxed in the same manner as a holder of common stock, as described below. Accordingly, no gain or loss should be recognized (other than with respect to cash paid in lieu of a fractional share) upon the exercise of a pre-funded warrant (except in the case of a cashless exercise, the treatment of which for U.S. federal income tax purposes is not clear) and, upon exercise, the holding period of a pre-funded warrant should carry over to the share of common stock received. Similarly, the tax basis of the pre-funded warrant should carry over to the share of common stock received upon exercise, increased by the exercise price of $0.0001. The discussion below assumes the characterization described above is respected for U.S. federal income tax purposes. Holders should consult their tax advisors regarding the risks associated with the acquisition of pre-funded warrants pursuant to this offering (including alternative characterizations).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 U.S. Holder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this discussion, a “U.S. holder” is any beneficial owner of the Securities that, for U.S. federal income tax purposes, is or is treated as any of the following:</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 for U.S. federal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anticipate paying any cash dividends on our common stock in the foreseeable future. However, if we do make distributions on our common stock, such distributions of cash or property on our common stock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common stock, but not below zero. Any excess will be treated as capital gain and will be treated as described below in the section relating to the sale or disposition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Common Stock or Pre-funded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sale, exchange or other taxable disposition of the common stock or pre-funded warrants, a U.S. holder generally will recognize capital gain or loss equal to the difference between (i) the amount of cash and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value of any property received upon the sale, exchange or other taxable disposition and (ii) such U.S. holder’s adjusted tax basis in the common stock or pre-funded warrant. Such capital gain or loss will be long- term capital gain or loss if the U.S. holder’s holding period in such common stock or pre-funded warrant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Dividends on Pre-funded Warrants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holder of a pre-funded warrant may, in some circumstances, be deemed to have received a distribution subject to U.S. federal income tax as a result of an adjustment or the non-occurrence of an adjustment to the exercise price or number of shares of common stock issuable upon exercise of the pre-funded warrant. U.S. holders should consult their tax advisors regarding the proper treatment of any adjustments to the pre-funded warrants.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U.S. holder may be subject to information reporting and backup withholding when such holder receives payments on the common stock or pre-funded warrants (including constructive dividends) or receives proceeds from the sale or other taxable disposition of common stock or pre-funded warrants. Certain U.S. holders are exempt from backup withholding, including corporations and certain tax-exempt organizations. A U.S. holder will be subject to backup withholding if such holder is not otherwise exempt and such holder:</w:t>
      </w:r>
    </w:p>
    <w:p>
      <w:pPr>
        <w:spacing w:after="0" w:line="13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fails to furnish the holder’s taxpayer identification number, which for an individual is ordinarily his or her social security number;</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 fails to certify under penalties of perjury that the holder has furnished a correct taxpayer identification number and that the IRS has not notified the holder that the holder is subject to backup withholding.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the Securities that is neither a U.S. holder nor an entity treated as a partnership for U.S. federal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anticipate paying any cash dividends on our common stock in the foreseeable future. However, if we do make distributions on our common stock, such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in the section relating to the sale or disposition of our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paid to a non-U.S. holder of our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Non-U.S. holders will be entitled to a reduction in or an exemption from withholding on dividends as a result of either (a) an applicable income tax treaty or (b) the non-U.S. holder holding our common stock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Pre-funded Warrants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non-U.S. holder generally will not be subject to U.S. federal income tax on the exercise of pre-funded warrants into shares of common stock. However, if a cashless exercise of pre-funded warrants results in a taxable exchange, as described in “</w:t>
      </w:r>
      <w:r>
        <w:rPr>
          <w:rFonts w:ascii="Arial" w:cs="Arial" w:eastAsia="Arial" w:hAnsi="Arial"/>
          <w:sz w:val="18"/>
          <w:szCs w:val="18"/>
          <w:i w:val="1"/>
          <w:iCs w:val="1"/>
          <w:color w:val="auto"/>
        </w:rPr>
        <w:t>-Treatment of Pre-funded Warrants</w:t>
      </w:r>
      <w:r>
        <w:rPr>
          <w:rFonts w:ascii="Arial" w:cs="Arial" w:eastAsia="Arial" w:hAnsi="Arial"/>
          <w:sz w:val="18"/>
          <w:szCs w:val="18"/>
          <w:color w:val="auto"/>
        </w:rPr>
        <w:t>”, the rules described below under “-</w:t>
      </w:r>
      <w:r>
        <w:rPr>
          <w:rFonts w:ascii="Arial" w:cs="Arial" w:eastAsia="Arial" w:hAnsi="Arial"/>
          <w:sz w:val="18"/>
          <w:szCs w:val="18"/>
          <w:i w:val="1"/>
          <w:iCs w:val="1"/>
          <w:color w:val="auto"/>
        </w:rPr>
        <w:t>Sale or Other Disposition of Common Stock or Pre-funded Warrants</w:t>
      </w:r>
      <w:r>
        <w:rPr>
          <w:rFonts w:ascii="Arial" w:cs="Arial" w:eastAsia="Arial" w:hAnsi="Arial"/>
          <w:sz w:val="18"/>
          <w:szCs w:val="18"/>
          <w:color w:val="auto"/>
        </w:rPr>
        <w:t>” would apply.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Common Stock or Pre-funded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discussions below on backup withholding and foreign accounts, a non-U.S. holder will not be subject to U.S. federal income tax on any gain realized upon the sale or other disposition of our common stock or pre-funded warrants unless:</w:t>
      </w:r>
    </w:p>
    <w:p>
      <w:pPr>
        <w:spacing w:after="0" w:line="116" w:lineRule="exact"/>
        <w:rPr>
          <w:sz w:val="20"/>
          <w:szCs w:val="20"/>
          <w:color w:val="auto"/>
        </w:rPr>
      </w:pPr>
    </w:p>
    <w:p>
      <w:pPr>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5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or pre-funded warrants constitute U.S. real property interests (“USRPIs”), by reason of our status as a U.S. real property holding corporation (“USRPHC”), for U.S. federal income tax purposes.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 described in the first bullet point above will generally be subject to U.S. federal income tax on a net income basis at the regular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considered a resident of the United States) provided the non-U.S. holder has timely filed U.S. federal income tax returns with respect to such losses.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w:t>
      </w:r>
    </w:p>
    <w:p>
      <w:pPr>
        <w:spacing w:after="0" w:line="111"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i w:val="1"/>
          <w:iCs w:val="1"/>
          <w:color w:val="auto"/>
        </w:rPr>
        <w:t>Constructive Dividends on Pre-funded Warrants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holder of pre-funded warrants can be treated as receiving deemed payment of a taxable dividend under certain circumstances as a result of an adjustment or the non-occurrence of an adjustment to the exercise price or number of shares of common stock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to the pre-funded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non-U.S. holder will not be subject to backup withholding with respect to distributions on our common stock or pre-funded warrants we make to the non-U.S. holder (including constructive dividends with respect to pre-funded warrants), provided the applicable withholding agent does not have actual knowledge or reason to know such holder is a United States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and pre-funded warrants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Information reporting and backup withholding may apply to the proceeds of a sale or other taxable disposition of our common stock or pre-funded warrants within the United States, and information reporting may (although backup withholding generally will not) apply to the proceeds of a sale or other taxable disposition of our common stock or pre-funded warrants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common stock or pre-funded warrants conducted through a non-U.S. office of a non-U.S. broker generally will not be subject to backup withholding or information reporting.</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Withholding taxes may be imposed under the Foreign Account Tax Compliance Act (“FATCA”) on certain types of payments made to non-U.S. financial institutions and certain other non-U.S. entities. Specifically, a 30% withholding tax may be imposed on dividends (including deemed dividends) paid on our common stock or pre-funded warrants, or (subject to the proposed Treasury Regulations discussed below) gross proceeds from the sale or other disposition of our common stock or pre-funded warrants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(including deemed dividends).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our common stock or pre-funded warrants on or after January 1, 2019, proposed Treasury Regulations eliminate FATCA withholding on payments of gross proceeds entirely. Taxpayers generally may rely on these proposed Treasury Regulations until final Treasury Regulations are issued.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Prospective investors should consult their tax advisors regarding the potential application of these withholding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supplement, the underwriters named below, for whom Morgan Stanley &amp; Co. LLC, Cowen and Company, LLC and Guggenheim Securities, LLC are acting as representatives, have severally agreed to purchase, and we have agreed to sell to them, severally, the number of shares of our common stock and pre-funded warrants indicated below:</w:t>
      </w:r>
    </w:p>
    <w:p>
      <w:pPr>
        <w:sectPr>
          <w:pgSz w:w="11900" w:h="16838" w:orient="portrait"/>
          <w:cols w:equalWidth="0" w:num="1">
            <w:col w:w="11240"/>
          </w:cols>
          <w:pgMar w:left="320" w:top="1440" w:right="339" w:bottom="1440" w:gutter="0" w:footer="0" w:header="0"/>
        </w:sect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55245</wp:posOffset>
            </wp:positionV>
            <wp:extent cx="710628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Number of Pre-Funded</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Warrants</w:t>
      </w:r>
    </w:p>
    <w:p>
      <w:pPr>
        <w:spacing w:after="0" w:line="80" w:lineRule="exact"/>
        <w:rPr>
          <w:sz w:val="20"/>
          <w:szCs w:val="20"/>
          <w:color w:val="auto"/>
        </w:rPr>
      </w:pPr>
    </w:p>
    <w:p>
      <w:pPr>
        <w:sectPr>
          <w:pgSz w:w="11900" w:h="16838" w:orient="portrait"/>
          <w:cols w:equalWidth="0" w:num="3">
            <w:col w:w="7520" w:space="720"/>
            <w:col w:w="1120" w:space="340"/>
            <w:col w:w="15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Guggenheim Securities, LLC</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and pre-funded warrants subject to their acceptance of the shares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The underwriters are obligated to take and pay for all of the shares of common stock and pre-funded warrants offered by this prospectus supplement if any such shares or pre-funded warrants are taken. However, the underwriters are not required to take or pay for the shares covered by the underwriters’ option to purchase additional shares described below.</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underwriters initially propose to offer part of the shares of common stock and pre-funded warrants directly to the public at the offering prices listed on the cover page of this prospectus supplement and part to certain dealers. After the initial offering of the shares of common stock and pre-funded warrants, the offering price and other selling terms may from time to time be varied by the representatives.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an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right"/>
              <w:ind w:right="1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11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Per</w:t>
            </w:r>
          </w:p>
        </w:tc>
        <w:tc>
          <w:tcPr>
            <w:tcW w:w="2080" w:type="dxa"/>
            <w:vAlign w:val="bottom"/>
            <w:vMerge w:val="restart"/>
          </w:tcPr>
          <w:p>
            <w:pPr>
              <w:jc w:val="right"/>
              <w:ind w:right="717"/>
              <w:spacing w:after="0"/>
              <w:rPr>
                <w:sz w:val="20"/>
                <w:szCs w:val="20"/>
                <w:color w:val="auto"/>
              </w:rPr>
            </w:pPr>
            <w:r>
              <w:rPr>
                <w:rFonts w:ascii="Arial" w:cs="Arial" w:eastAsia="Arial" w:hAnsi="Arial"/>
                <w:sz w:val="14"/>
                <w:szCs w:val="14"/>
                <w:b w:val="1"/>
                <w:bCs w:val="1"/>
                <w:color w:val="auto"/>
              </w:rPr>
              <w:t>Per</w:t>
            </w: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040" w:type="dxa"/>
            <w:vAlign w:val="bottom"/>
          </w:tcPr>
          <w:p>
            <w:pPr>
              <w:jc w:val="right"/>
              <w:ind w:right="217"/>
              <w:spacing w:after="0" w:line="160"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428"/>
              <w:spacing w:after="0" w:line="160"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10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w:t>
            </w:r>
          </w:p>
        </w:tc>
        <w:tc>
          <w:tcPr>
            <w:tcW w:w="2080" w:type="dxa"/>
            <w:vAlign w:val="bottom"/>
          </w:tcPr>
          <w:p>
            <w:pPr>
              <w:jc w:val="right"/>
              <w:ind w:right="177"/>
              <w:spacing w:after="0"/>
              <w:rPr>
                <w:sz w:val="20"/>
                <w:szCs w:val="20"/>
                <w:color w:val="auto"/>
              </w:rPr>
            </w:pPr>
            <w:r>
              <w:rPr>
                <w:rFonts w:ascii="Arial" w:cs="Arial" w:eastAsia="Arial" w:hAnsi="Arial"/>
                <w:sz w:val="14"/>
                <w:szCs w:val="14"/>
                <w:b w:val="1"/>
                <w:bCs w:val="1"/>
                <w:color w:val="auto"/>
              </w:rPr>
              <w:t>Pre-Funded Warrant</w:t>
            </w:r>
          </w:p>
        </w:tc>
        <w:tc>
          <w:tcPr>
            <w:tcW w:w="1040" w:type="dxa"/>
            <w:vAlign w:val="bottom"/>
          </w:tcPr>
          <w:p>
            <w:pPr>
              <w:jc w:val="right"/>
              <w:ind w:right="37"/>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53"/>
        </w:trPr>
        <w:tc>
          <w:tcPr>
            <w:tcW w:w="54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637"/>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3"/>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 us</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63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10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163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$0.5 million. We have agreed to reimburse the underwriters for expenses relating to clearance of this offering with the Financial Industry Regulatory Authority up to $35,000.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listed on the Nasdaq Global Select Market under the trading symbol “ARQT”.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agreed that, subject to certain limited exceptions, we will not (i) offer, sell, contract to sell, pledge, lend, grant any option to purchase, make any short sale or otherwise transfer or dispose of, directly or indirectly, or file with or confidentially submit to the SEC a registration statement under the Securities Act relating to, any of our securities that are substantially similar to our shares of common stock, including but not limited to any options or warrants to purchase shares of common stock or any securities that are convertible into or exchangeable for, or that represent the right to receive, shares of common stock or any such substantially similar securities, or publicly disclose the intention to make any offer, sale, pledge, loan, disposition, confidential submission or filing or (ii) enter into any hedging, swap or other agreement that transfers, in whole or in part, any of the economic consequences of ownership of our shares of common stock or any such other securities (in either case, regardless of whether any of these transactions are to be settled by the delivery of shares of common stock or such other securities, in cash or otherwise), in each case without the prior written consent of the representatives for a period through and including the date that is 90 days after the date of this prospectus supplement.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described in the immediately precedent paragraph do not apply to us with respect to:</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 our common stock to be sold in this offering;</w:t>
      </w:r>
    </w:p>
    <w:p>
      <w:pPr>
        <w:spacing w:after="0" w:line="157"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shares of common stock upon the exercise of an option or warrant, vesting or settlement of a restricted stock unit, or the exercise, conversion or exchange of a security outstanding on the date of this prospectus supplement;</w:t>
      </w:r>
    </w:p>
    <w:p>
      <w:pPr>
        <w:spacing w:after="0" w:line="89" w:lineRule="exact"/>
        <w:rPr>
          <w:rFonts w:ascii="Arial" w:cs="Arial" w:eastAsia="Arial" w:hAnsi="Arial"/>
          <w:sz w:val="18"/>
          <w:szCs w:val="18"/>
          <w:color w:val="auto"/>
        </w:rPr>
      </w:pPr>
    </w:p>
    <w:p>
      <w:pPr>
        <w:ind w:left="660" w:hanging="328"/>
        <w:spacing w:after="0" w:line="277"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 of options to purchase or the issuance of common stock or any securities convertible into, exchangeable for or that represent the right to receive shares of common stock, in each case pursuant to our equity-based compensation plans;</w:t>
      </w:r>
    </w:p>
    <w:p>
      <w:pPr>
        <w:spacing w:after="0" w:line="102"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entry into an agreement providing for the issuance of shares of common stock or any security convertible into or exercisable for shares of common stock in connection with the acquisition of the securities, business, technology, property or other assets of another person or entity or pursuant to an employee benefit plan assumed in connection with such acquisition, and the issuance of any such securities pursuant to any such agreement;</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entry into any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w:t>
      </w:r>
    </w:p>
    <w:p>
      <w:pPr>
        <w:spacing w:after="0" w:line="102" w:lineRule="exact"/>
        <w:rPr>
          <w:rFonts w:ascii="Arial" w:cs="Arial" w:eastAsia="Arial" w:hAnsi="Arial"/>
          <w:sz w:val="18"/>
          <w:szCs w:val="18"/>
          <w:color w:val="auto"/>
        </w:rPr>
      </w:pPr>
    </w:p>
    <w:p>
      <w:pPr>
        <w:ind w:left="660" w:hanging="328"/>
        <w:spacing w:after="0" w:line="277"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of any registration statement with the SEC on Form S-8 relating to securities granted or to be granted pursuant to the equity incentive plans that are described herein or any assumed employee benefit plan contemplated by clause (d) above; and</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our "at-the-market" offering program referred to in our Annual Report on Form 10-K for the year ended December 31, 2022, provided</w:t>
      </w:r>
    </w:p>
    <w:p>
      <w:pPr>
        <w:spacing w:after="0" w:line="46"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(i) no shares may be issued under such program for the first 30 calendar days after the date of this prospectus supplement, and (ii) the public offering price of the shares that are issued under such program will not be lower than the public offering per share for the shares offered pursuant to this prospectus supplement.</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Provided, however, that in the case of clauses (d) and (e) above, the aggregate number of shares of stock that we may sell or issue or agree to sell or issue pursuant to clauses (d) and (e) above shall not exceed 10% of the total number of shares of common stock issued and outstanding, immediately following the completion of this offering, and provided, further, that if the recipient is a director or an officer of the Company, in the case of clauses (d) and (e) above, we shall (x) cause such recipient of such securities to execute and deliver to the representatives, on or prior to the issuance of such securities, a lock-up agreement and (y) enter stop transfer instructions with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registrar on such securities, which we agree we will not waive or amend without the prior written consent of the representatives.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directors, executive officers and certain of our stockholders have entered into lock-up agreements with the underwriters, pursuant to which each of these persons or entities, subject to certain limited exceptions, for a period through and including the date that is 60 days after the date of this prospectus supplement, agree that they will not, and shall not, without the prior written consent of the representatives, cause or direct any of their respective affiliates to, (i) offer, sell, contract to sell, pledge, grant any option to purchase, lend or otherwise transfer or dispose of, directly or indirectly, any shares of common stock, or any options or warrants to purchase any shares of common stock, or any securities convertible into, exchangeable for or that represent the right to receive shares of common stock, whether now owned or hereafter acquired, owned directly by each such person or entity (including holding as a custodian) or with respect to which such person or entity has beneficial ownership within the rules and regulations of the SEC,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person or entity or someone other than such person or entity), or transfer of any of the economic consequences of ownership, in whole or in part, directly or indirectly, of the securities owned by such person or entity, whether any such transaction or arrangement (or instrument provided for thereunder) would be settled by delivery of common stock or other securities, in cash or otherwise, or (iii) otherwise publicly announce any intention to engage in or cause any action or activity described in clause (i) above or transaction or arrangement described in clause (ii) above.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our directors, executive officers and securityholders with respect to, among other things:</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 of securities pursuant to an underwriting agreement;</w:t>
      </w:r>
    </w:p>
    <w:p>
      <w:pPr>
        <w:spacing w:after="0" w:line="157" w:lineRule="exact"/>
        <w:rPr>
          <w:rFonts w:ascii="Arial" w:cs="Arial" w:eastAsia="Arial" w:hAnsi="Arial"/>
          <w:sz w:val="18"/>
          <w:szCs w:val="18"/>
          <w:color w:val="auto"/>
        </w:rPr>
      </w:pPr>
    </w:p>
    <w:p>
      <w:pPr>
        <w:jc w:val="both"/>
        <w:ind w:left="660" w:hanging="328"/>
        <w:spacing w:after="0" w:line="269" w:lineRule="auto"/>
        <w:tabs>
          <w:tab w:leader="none" w:pos="6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transfers of shares (i) as a bona fide gift or gifts; (ii) to any trust for the direct or indirect benefit of the securityholder or the immediate family of the securityholder; (iii) to any corporation, partnership, limited liability company or other entity all of the beneficial ownership interests of which are held by the securityholder or the immediate family of the securityholder; (iv) by will, other testamentary document or intestate succession to the legal representative, heir, beneficiary or a member of the immediate family of the securityholder upon the death of the securityholder; (v) by operation of law, including pursuant to a qualified domestic order or a negotiated divorce settlement; and (vi) with the prior written consent of the representatives on behalf of the underwriters; provided that (x) in the case of any transfer pursuant to clauses (i) through (v), each donee, trustee or transferee thereof shall sign and deliver a lock-up agreement and such transfer shall not involve a disposition for value; (y) in the case of any transfer pursuant to clauses (ii) and (iii), no filing under the Exchange Act or other public announcement shall be required or shall be voluntarily made during the restricted period; and (z) in the case of any transfer pursuant to clauses (i), (iv) and (v), no filing under the Exchange Act or other public announcement shall be made voluntarily during the restricted period in connection with such transfer and, if the filing of a report is required under Section 16 of the Exchange Act during the restricted period, such filing shall clearly indicate in the footnotes thereto that the filing relates to the circumstances described in this clause, as applicable;</w:t>
      </w:r>
    </w:p>
    <w:p>
      <w:pPr>
        <w:spacing w:after="0" w:line="97" w:lineRule="exact"/>
        <w:rPr>
          <w:rFonts w:ascii="Arial" w:cs="Arial" w:eastAsia="Arial" w:hAnsi="Arial"/>
          <w:sz w:val="17"/>
          <w:szCs w:val="17"/>
          <w:color w:val="auto"/>
        </w:rPr>
      </w:pPr>
    </w:p>
    <w:p>
      <w:pPr>
        <w:jc w:val="both"/>
        <w:ind w:left="660" w:hanging="328"/>
        <w:spacing w:after="0" w:line="271" w:lineRule="auto"/>
        <w:tabs>
          <w:tab w:leader="none" w:pos="65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establishment or amendment of a trading plan pursuant to Rule 10b5-1 under the Exchange Act for the transfer of the securityholder’s shares, provided that (i) no direct or indirect offers, pledges, sales, contracts to sell, sales of any option or contract to purchase, purchases of any option or contract to sell, grants of any option, right or warrant to purchase, loans, or other transfers or disposals of any of the securityholder’s shares may be effected pursuant to such Rule 10b5-1 trading plan during the restricted period, (ii) any required public disclosure, announcement or filing under the Exchange Act made by us or any person regarding the establishment or amendment of such plan during the restricted period shall include a statement that the securityholder is not permitted to transfer, sell or otherwise dispose of securities under such plan during the restricted period and (iii) no public disclosure of the entry into such a Rule 10b5-1 trading plan shall be voluntarily made by any person until after the expiration of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jc w:val="both"/>
        <w:ind w:left="660" w:hanging="328"/>
        <w:spacing w:after="0" w:line="259"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pursuant to a Rule 10b5-1 trading plan that has been entered into prior to the date of this offering, provided that no filing under the Exchange Act or other public announcement shall be made voluntarily during the restricted period in connection with such transfer and, if the filing of a report is required under Section 16 of the Exchange Act during the restricted period, such filing shall clearly indicate in the footnotes thereto that the filing relates to the circumstances described in this clause;</w:t>
      </w:r>
    </w:p>
    <w:p>
      <w:pPr>
        <w:spacing w:after="0" w:line="119" w:lineRule="exact"/>
        <w:rPr>
          <w:rFonts w:ascii="Arial" w:cs="Arial" w:eastAsia="Arial" w:hAnsi="Arial"/>
          <w:sz w:val="18"/>
          <w:szCs w:val="18"/>
          <w:color w:val="auto"/>
        </w:rPr>
      </w:pPr>
    </w:p>
    <w:p>
      <w:pPr>
        <w:jc w:val="both"/>
        <w:ind w:left="660" w:hanging="328"/>
        <w:spacing w:after="0" w:line="271" w:lineRule="auto"/>
        <w:tabs>
          <w:tab w:leader="none" w:pos="6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transfer or surrender of the securityholder’s shares to us upon a vesting event of restricted stock awards or other securities convertible into shares of common stock or upon the exercise of options or warrants to purchase shares of common stock in accordance with their terms pursuant to an employee benefit plan, option or warrant disclosed in this prospectus supplement, in each case on a “cashless” or “net exercise” basis or to cover tax withholding obligations of the securityholder in connection with such vesting or exercise; provided that (i) any such shares of common stock issued upon such vesting or exercise shall be subject to the restrictions set forth herein and (ii) no filing under the Exchange Act or other public announcement shall be made voluntarily during the restricted period in connection with such transfer and, if the filing of a report is required under Section 16 of the Exchange Act during the restricted period, such filing shall clearly indicate in the footnotes thereto that the filing relates to the circumstances described in this clause, as applicable;</w:t>
      </w:r>
    </w:p>
    <w:p>
      <w:pPr>
        <w:spacing w:after="0" w:line="97" w:lineRule="exact"/>
        <w:rPr>
          <w:rFonts w:ascii="Arial" w:cs="Arial" w:eastAsia="Arial" w:hAnsi="Arial"/>
          <w:sz w:val="17"/>
          <w:szCs w:val="17"/>
          <w:color w:val="auto"/>
        </w:rPr>
      </w:pPr>
    </w:p>
    <w:p>
      <w:pPr>
        <w:jc w:val="both"/>
        <w:ind w:left="660" w:hanging="328"/>
        <w:spacing w:after="0" w:line="296" w:lineRule="auto"/>
        <w:tabs>
          <w:tab w:leader="none" w:pos="6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transfers to us in a transaction in compliance with Rule 16b-3 under Section 16 of the Exchange Act; provided that any common stock or any securities convertible into, exchangeable for or that represent the right to receive shares of common stock issued in such transaction shall be or otherwise remain subject to the restrictions set forth herein; and provided, further, that (i) no public disclosure or filing shall be made voluntarily during the restricted period and (ii) any required filing under the Exchange Act during the restricted period shall clearly indicate that such transfer is pursuant to the circumstances described in this clause (f) and that the securityholder has signed and delivered a lock-up agreement; and</w:t>
      </w:r>
    </w:p>
    <w:p>
      <w:pPr>
        <w:spacing w:after="0" w:line="93" w:lineRule="exact"/>
        <w:rPr>
          <w:rFonts w:ascii="Arial" w:cs="Arial" w:eastAsia="Arial" w:hAnsi="Arial"/>
          <w:sz w:val="16"/>
          <w:szCs w:val="16"/>
          <w:color w:val="auto"/>
        </w:rPr>
      </w:pPr>
    </w:p>
    <w:p>
      <w:pPr>
        <w:ind w:left="66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open market transactions after the completion of this offering, subject to certain limitations.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Internet distributions will be allocated by the representative to underwriters that may make Internet distributions on the same basis as other allocations.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certain of the underwriters also served as underwriters in our public offering in February 2021. We also entered into an “at-the-market” sales agreement with Cowen and Company, LLC, dated as of May 6, 2021.</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relation to each Member State of the European Economic Area, or, each a Member State, no shares of common stock and pre-funded warrants have been offered or will be offered pursuant to the offering to the public in that Member State prior to the publication of a prospectus in relation to the shares of common stock and pre-funded warrants which has been approved by the competent authority in that Member State or, where appropriate, approved in another Member State and notified to the competent authority in that Member State, all in accordance with the Prospectus Regulation, except that offers of common stock and pre-funded warrants shares may be made to the public in that Member State at any time under the following exemptions under the Prospectus Regulation:</w:t>
      </w:r>
    </w:p>
    <w:p>
      <w:pPr>
        <w:spacing w:after="0" w:line="13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57" w:lineRule="exact"/>
        <w:rPr>
          <w:rFonts w:ascii="Arial" w:cs="Arial" w:eastAsia="Arial" w:hAnsi="Arial"/>
          <w:sz w:val="18"/>
          <w:szCs w:val="18"/>
          <w:color w:val="auto"/>
        </w:rPr>
      </w:pPr>
    </w:p>
    <w:p>
      <w:pPr>
        <w:ind w:left="660" w:hanging="328"/>
        <w:spacing w:after="0" w:line="277"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provided that no such offer of shares of common stock and pre-funded warrants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of common stock and pre-funded warrants being offered to a financial intermediary as that term is used in the Prospectus Regulation, each such financial intermediary will be deemed to have represented, acknowledged and agreed that the shares of common stock and pre-funded warrants acquired by it in the offer have not been acquired on a non-discretionary basis on behalf of, nor have they been acquired with a view to their offer or resale to, persons in circumstances which may give rise to an offer of any shares of common stock and pre-funded warrants to the public other than their offer or resale in a Member State to qualified investors as so defined or in circumstances in which the prior consent of the underwriters have been obtained to each such proposed offer or resale.</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Member State means the communication in any form and by any means of sufficient information on the terms of the offer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shares of common stock and pre-funded warrants to be offered so as to enable an investor to decide to purchase or subscribe for any shares of common stock and pre-funded warrants, and the expression “Prospectus Regulation” means Regulation (EU) 2017/1129.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shares of common stock and pre-funded warrants have been offered or will be offered pursuant to the offering to the public in the United Kingdom prior to the publication of a prospectus in relation to the common stock and pre-funded warrants which has been approved by the Financial Conduct Authority, except that the common stock or pre-funded warrants may be offered to the public in the United Kingdom at any time:</w:t>
      </w:r>
    </w:p>
    <w:p>
      <w:pPr>
        <w:spacing w:after="0" w:line="1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of the underwriters for any such offer;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provided that no such offer of the common stock and pre-funded warrants shall require our company or any underwriter to publish a prospectus pursuant to Section 85 of the FSMA or supplement a prospectus pursuant to Article 23 of the U.K. Prospectus Regulation. For the purposes of this provision, the expression an “offer to the public” in relation to the common stock and pre-funded warrants in the United Kingdom means the communication in any form and by any means of sufficient information on the terms of the offer and any shares of common stock and pre-funded warrants to be offered so as to enable an investor to decide to purchase or subscribe for any shares of common stock and pre-funded warrants and the expression “U.K. Prospectus Regulation” means Regulation (EU) 2017/1129 as it forms part of domestic law by virtue of the European Union (Withdrawal) Act 2018.</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the United Kingdom, this prospectus or the accompanying prospectus supplement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or the accompanying prospectus supplement or use it as basis for taking any action. In the United Kingdom, any investment or investment activity that this prospectus or the accompanying prospectus supplement relates to may be made or taken exclusively by relevant persons.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and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and pre-funded warrants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or the accompanying prospectus supplement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Russia</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Russian law, shares of common stock and pre-funded warrants may be considered securities of a foreign issuer. Neither we, nor this prospectus, nor the accompanying prospectus supplement, nor shares of our common stock or pre-funded warrants have been, or are intended to be, registered with the Central Bank of the Russian Federation under the Federal Law No. 39-FZ “On Securities Market” dated April 22, 1996 (as amended, the “Russian Securities Law”), and none of the shares of our common stock and pre-funded warrants are intended to be, or may be offered, sold or delivered, directly or indirectly, or offered or sold to any person for reoffering or re-sale, directly or indirectly, in the territory of the Russian Federation or to any resident of the Russian Federation, except pursuant to the applicable laws and regulations of the Russian Federation.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provided in this prospectus or the accompanying prospectus supplement does not constitute any representation with respect to the eligibility of any recipients of this prospectus or the accompanying prospectus supplement to acquire shares of our common stock and pre-funded warrants under the laws of the Russian Federation, including, without limitation, the Russian Securities Law and other applicable legislation.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or the accompanying prospectus supplement is not to be distributed or reproduced (in whole or in part) in the Russian Federation by the recipients of this prospectus or the accompanying prospectus supplement. Recipients of this prospectus or the accompanying prospectus supplement undertake not to offer, sell or deliver, directly or indirectly, or offer or sell to any person for reoffering or re-sale, directly or indirectly, shares of our common stock or pre-funded warrants in the territory of the Russian Federation or to any resident of the Russian Federation, except pursuant to the applicable laws and regulations of the Russian Federation.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Recipients of this prospectus or the accompanying prospectus supplement understand that respective receipt/acquisition of shares of our common stock or pre-funded warrants is subject to restrictions and regulations applicable from the Russian law perspective.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common stock and pre-funded warrants may not be publicly offered in Switzerland and will not be listed on the SIX Swiss Exchange, or SIX, or on any other stock exchange or regulated trading facility in Switzerland. This prospectus or the accompanying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the accompanying prospectus supplement nor any other offering or marketing material relating to the common stock or pre-funded warrants or the offering may be publicly distributed or otherwise made publicly available in Switzerland.</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Neither this prospectus supplement nor the accompanying prospectus supplement, nor any other offering or marketing material relating to the offering, us or the common stock and pre-funded warrants have been or will be filed with or approved by any Swiss regulatory authority. In particular, this prospectus or the accompanying prospectus supplement will not be filed with, and the offer of common stock and pre-funded warrants will not be supervised by, the Swiss Financial Market Supervisory Authority, or FINMA, and the offer of common stock and pre-funded warrants has not been and will not be authorized under the Swiss Federal Act on Collective Investment Schemes, or CISA. The investor protection afforded to acquirers of interests in collective investment schemes under the CISA does not extend to acquirers of common stock and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or the accompanying prospectus supplement relates to an Exempt Offer in accordance with the Markets Rules 2012 of the Dubai Financial Services Authority (DFSA). This prospectus or the accompanying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the accompanying prospectus supplement nor taken steps to verify the information set forth herein and has no responsibility for this prospectus or the accompanying prospectus supplement. The securities to which this prospectus or the accompanying prospectus supplement relates may be illiquid and/or subject to restrictions on their resale. Prospective purchasers of the securities offered should conduct their own due diligence on the securities. If you do not understand the contents of this prospectus or the accompanying prospectus supplement you should consult an authorized financial advisor.</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relation to its use in the DIFC, this prospectus or the accompanying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or the accompanying prospectus supplement:</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69"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or pre-funded warrants may not be directly or indirectly offered for subscription or purchased or sold, and no invitations to subscribe for or buy the common stock or pre-funded warrants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or pre-funded warrants, you represent and warrant to us that you are an Exempt Investor.</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any offer of common stock or pre-funded warrants under this prospectus or the accompanying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or pre-funded warrants you undertake to us that you will not, for a period of 12 months from the date of issue of the common stock or pre-funded warrants, offer, transfer, assign or otherwise alienate those common stock or pre-funded warrants to investors in Australia except in circumstances where disclosure to investors is not required under Chapter 6D.2 of the Corporations Act or where a compliant disclosure document is prepared and lodged with 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New Zealand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common stock and pre-funded warrants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130" w:lineRule="exact"/>
        <w:rPr>
          <w:sz w:val="20"/>
          <w:szCs w:val="20"/>
          <w:color w:val="auto"/>
        </w:rPr>
      </w:pPr>
    </w:p>
    <w:p>
      <w:pPr>
        <w:ind w:left="660" w:hanging="328"/>
        <w:spacing w:after="0" w:line="277"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persons whose principal business is the investment of money or who, in the course of and for the purposes of their business, habitually invest money; or</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persons who in all the circumstances can properly be regarded as having been selected otherwise than as members of the public; or</w:t>
      </w:r>
    </w:p>
    <w:p>
      <w:pPr>
        <w:spacing w:after="0" w:line="155" w:lineRule="exact"/>
        <w:rPr>
          <w:rFonts w:ascii="Arial" w:cs="Arial" w:eastAsia="Arial" w:hAnsi="Arial"/>
          <w:sz w:val="17"/>
          <w:szCs w:val="17"/>
          <w:color w:val="auto"/>
        </w:rPr>
      </w:pPr>
    </w:p>
    <w:p>
      <w:pPr>
        <w:ind w:left="660" w:right="20" w:hanging="328"/>
        <w:spacing w:after="0" w:line="277"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0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shares of common stock and pre-funded warrants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common stock and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and pre-funded warrants which are or are intended to be disposed of only to persons outside Hong Kong or only to “professional investors” as defined in the SFO and any rules made thereunder.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shares of common stock and pre-funded warrants have not been and will not be registered pursuant to Article 4, Paragraph 1 of the Financial Instruments and Exchange Act. Accordingly, none of the common stock and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of common stock or pre-funded warrants, we have determined, and hereby notify all relevant persons (as defined in Section 309A(1) of the SFA), that the shares of common stock or pre-funded warrants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underwriter has acknowledged that this prospectus or the accompanying prospectus has not been registered as a prospectus with the Monetary Authority of Singapore. Accordingly, each underwriter has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and agreed that it has not offered or sold any shares of common stock or pre-funded warrants or caused the common stock or pre-funded warrants to be made the subject of an invitation for subscription or purchase and will not offer or sell any shares of common stock or pre-funded warrants or cause the common stock or pre-funded warrants to be made the subject of an invitation for subscription or purchase, and has not circulated or distributed, nor will it circulate or distribute, this prospectus or the accompanying prospectus or any other document or material in connection with the offer or sale, or invitation for subscription or purchase, of the common stock or pre-funded warrants, whether directly or indirectly, to any person in Singapore other than:</w:t>
      </w:r>
    </w:p>
    <w:p>
      <w:pPr>
        <w:spacing w:after="0" w:line="107" w:lineRule="exact"/>
        <w:rPr>
          <w:sz w:val="20"/>
          <w:szCs w:val="20"/>
          <w:color w:val="auto"/>
        </w:rPr>
      </w:pPr>
    </w:p>
    <w:p>
      <w:pPr>
        <w:ind w:left="660" w:right="20" w:hanging="328"/>
        <w:spacing w:after="0" w:line="277"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02" w:lineRule="exact"/>
        <w:rPr>
          <w:rFonts w:ascii="Arial" w:cs="Arial" w:eastAsia="Arial" w:hAnsi="Arial"/>
          <w:sz w:val="18"/>
          <w:szCs w:val="18"/>
          <w:color w:val="auto"/>
        </w:rPr>
      </w:pPr>
    </w:p>
    <w:p>
      <w:pPr>
        <w:ind w:left="660" w:hanging="328"/>
        <w:spacing w:after="0" w:line="277" w:lineRule="auto"/>
        <w:tabs>
          <w:tab w:leader="none" w:pos="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common stock or pre-funded warrants are subscribed or purchased under Section 275 of the SFA by a relevant person which is:</w:t>
      </w:r>
    </w:p>
    <w:p>
      <w:pPr>
        <w:spacing w:after="0" w:line="183" w:lineRule="exact"/>
        <w:rPr>
          <w:sz w:val="20"/>
          <w:szCs w:val="20"/>
          <w:color w:val="auto"/>
        </w:rPr>
      </w:pPr>
    </w:p>
    <w:p>
      <w:pPr>
        <w:ind w:left="66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jc w:val="both"/>
        <w:ind w:left="660" w:hanging="328"/>
        <w:spacing w:after="0" w:line="279" w:lineRule="auto"/>
        <w:tabs>
          <w:tab w:leader="none" w:pos="65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0" w:lineRule="exact"/>
        <w:rPr>
          <w:rFonts w:ascii="Arial" w:cs="Arial" w:eastAsia="Arial" w:hAnsi="Arial"/>
          <w:sz w:val="17"/>
          <w:szCs w:val="17"/>
          <w:color w:val="auto"/>
        </w:rPr>
      </w:pPr>
    </w:p>
    <w:p>
      <w:pPr>
        <w:ind w:left="980" w:hanging="324"/>
        <w:spacing w:after="0"/>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or to any person arising from an offer referred to in Section 276(4)(i)(B) of the SFA,</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980" w:hanging="324"/>
        <w:spacing w:after="0" w:line="277" w:lineRule="auto"/>
        <w:tabs>
          <w:tab w:leader="none" w:pos="9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State of Israel this prospectus or the accompanying prospectus supplement shall not be regarded as an offer to the public to purchase shares of common stock or pre-funded warrants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the accompanying prospectus supplement or make, distribute or direct an offer to subscribe for our common stock or pre-funded warrants to any person within the State of Israel, other than to Qualified Investors and up to 35 Addressed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5728 - 1968.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or pre-funded warrants; (iv) that the shares of common stock and pre-funded warrants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Menlo Park, California. The underwriters are being represented in connection with this offering by Cooley LLP, San Francisco, California.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2022, and the effectiveness of our internal control over financial reporting as of December 31, 2022, as set forth in their reports, which are incorporated by reference in this prospectus supplement, the accompanying prospectus and elsewhere in the registration statement. Our financial statements are incorporated by reference in reliance on Ernst &amp; Young LLP’s reports, given on their authority as experts in accounting and auditing.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 Our web site address is www.arcutis.com. These website addresses,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supplement and the accompanying prospectus incorporate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except for any information superseded by information in this prospectus supplement and the accompanying prospectus. This prospectus supplement and the accompanying prospectus incorporate by reference the documents set forth below that have previously been filed with the SEC:</w:t>
      </w:r>
    </w:p>
    <w:p>
      <w:pPr>
        <w:spacing w:after="0" w:line="134"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February 28, 2023, and Amendment No. 1 to such Annual Report on Form 10-K/A, filed with the SEC on September 15, 2023.</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2022 from our Definitive Proxy Statement on </w:t>
      </w:r>
      <w:hyperlink r:id="rId25">
        <w:r>
          <w:rPr>
            <w:rFonts w:ascii="Arial" w:cs="Arial" w:eastAsia="Arial" w:hAnsi="Arial"/>
            <w:sz w:val="18"/>
            <w:szCs w:val="18"/>
            <w:u w:val="single" w:color="auto"/>
            <w:color w:val="0000FF"/>
          </w:rPr>
          <w:t>Schedule 14A</w:t>
        </w:r>
      </w:hyperlink>
      <w:r>
        <w:rPr>
          <w:rFonts w:ascii="Arial" w:cs="Arial" w:eastAsia="Arial" w:hAnsi="Arial"/>
          <w:sz w:val="18"/>
          <w:szCs w:val="18"/>
          <w:color w:val="auto"/>
        </w:rPr>
        <w:t>, filed with the SEC on April 18, 2023.</w:t>
      </w:r>
    </w:p>
    <w:p>
      <w:pPr>
        <w:spacing w:after="0" w:line="8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0000FF"/>
        </w:rPr>
      </w:pPr>
      <w:r>
        <w:rPr>
          <w:rFonts w:ascii="Arial" w:cs="Arial" w:eastAsia="Arial" w:hAnsi="Arial"/>
          <w:sz w:val="18"/>
          <w:szCs w:val="18"/>
          <w:color w:val="auto"/>
        </w:rPr>
        <w:t xml:space="preserve">Our Quarterly Report on Form 10-Q for the quarter ended March 31, 2023, filed with the SEC on </w:t>
      </w:r>
      <w:hyperlink r:id="rId26">
        <w:r>
          <w:rPr>
            <w:rFonts w:ascii="Arial" w:cs="Arial" w:eastAsia="Arial" w:hAnsi="Arial"/>
            <w:sz w:val="18"/>
            <w:szCs w:val="18"/>
            <w:u w:val="single" w:color="auto"/>
            <w:color w:val="0000FF"/>
          </w:rPr>
          <w:t>May 9, 2023</w:t>
        </w:r>
      </w:hyperlink>
      <w:r>
        <w:rPr>
          <w:rFonts w:ascii="Arial" w:cs="Arial" w:eastAsia="Arial" w:hAnsi="Arial"/>
          <w:sz w:val="18"/>
          <w:szCs w:val="18"/>
          <w:color w:val="auto"/>
        </w:rPr>
        <w:t xml:space="preserve">, and Amendment No. 1 to such Quarterly Report on Form 10-Q/A, filed with the SEC on </w:t>
      </w:r>
      <w:hyperlink r:id="rId27">
        <w:r>
          <w:rPr>
            <w:rFonts w:ascii="Arial" w:cs="Arial" w:eastAsia="Arial" w:hAnsi="Arial"/>
            <w:sz w:val="18"/>
            <w:szCs w:val="18"/>
            <w:u w:val="single" w:color="auto"/>
            <w:color w:val="0000FF"/>
          </w:rPr>
          <w:t>September 15, 2023</w:t>
        </w:r>
      </w:hyperlink>
      <w:r>
        <w:rPr>
          <w:rFonts w:ascii="Arial" w:cs="Arial" w:eastAsia="Arial" w:hAnsi="Arial"/>
          <w:sz w:val="18"/>
          <w:szCs w:val="18"/>
          <w:color w:val="auto"/>
        </w:rPr>
        <w:t xml:space="preserve">, and our Quarterly Report on Form 10-Q for the quarter ended June 30, 2023, filed with the SEC on </w:t>
      </w:r>
      <w:hyperlink r:id="rId28">
        <w:r>
          <w:rPr>
            <w:rFonts w:ascii="Arial" w:cs="Arial" w:eastAsia="Arial" w:hAnsi="Arial"/>
            <w:sz w:val="18"/>
            <w:szCs w:val="18"/>
            <w:u w:val="single" w:color="auto"/>
            <w:color w:val="0000FF"/>
          </w:rPr>
          <w:t>August 8, 2023</w:t>
        </w:r>
      </w:hyperlink>
      <w:r>
        <w:rPr>
          <w:rFonts w:ascii="Arial" w:cs="Arial" w:eastAsia="Arial" w:hAnsi="Arial"/>
          <w:sz w:val="18"/>
          <w:szCs w:val="18"/>
          <w:color w:val="auto"/>
        </w:rPr>
        <w:t xml:space="preserve">, and Amendment No. 1 to such Quarterly Report on Form 10-Q/A, filed with the SEC on </w:t>
      </w:r>
      <w:hyperlink r:id="rId29">
        <w:r>
          <w:rPr>
            <w:rFonts w:ascii="Arial" w:cs="Arial" w:eastAsia="Arial" w:hAnsi="Arial"/>
            <w:sz w:val="18"/>
            <w:szCs w:val="18"/>
            <w:u w:val="single" w:color="auto"/>
            <w:color w:val="0000FF"/>
          </w:rPr>
          <w:t>September 15, 2023</w:t>
        </w:r>
      </w:hyperlink>
      <w:r>
        <w:rPr>
          <w:rFonts w:ascii="Arial" w:cs="Arial" w:eastAsia="Arial" w:hAnsi="Arial"/>
          <w:sz w:val="18"/>
          <w:szCs w:val="18"/>
          <w:color w:val="000000"/>
        </w:rPr>
        <w:t>.</w:t>
      </w:r>
    </w:p>
    <w:p>
      <w:pPr>
        <w:spacing w:after="0" w:line="119" w:lineRule="exact"/>
        <w:rPr>
          <w:rFonts w:ascii="Arial" w:cs="Arial" w:eastAsia="Arial" w:hAnsi="Arial"/>
          <w:sz w:val="18"/>
          <w:szCs w:val="18"/>
          <w:color w:val="0000FF"/>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0000FF"/>
        </w:rPr>
      </w:pPr>
      <w:hyperlink r:id="rId30">
        <w:r>
          <w:rPr>
            <w:rFonts w:ascii="Arial" w:cs="Arial" w:eastAsia="Arial" w:hAnsi="Arial"/>
            <w:sz w:val="18"/>
            <w:szCs w:val="18"/>
            <w:color w:val="auto"/>
          </w:rPr>
          <w:t xml:space="preserve">Our Current Report on Form 8-K filed with the SEC on </w:t>
        </w:r>
        <w:r>
          <w:rPr>
            <w:rFonts w:ascii="Arial" w:cs="Arial" w:eastAsia="Arial" w:hAnsi="Arial"/>
            <w:sz w:val="18"/>
            <w:szCs w:val="18"/>
            <w:u w:val="single" w:color="auto"/>
            <w:color w:val="0000FF"/>
          </w:rPr>
          <w:t>May 24, 2023</w:t>
        </w:r>
        <w:r>
          <w:rPr>
            <w:rFonts w:ascii="Arial" w:cs="Arial" w:eastAsia="Arial" w:hAnsi="Arial"/>
            <w:sz w:val="18"/>
            <w:szCs w:val="18"/>
            <w:color w:val="auto"/>
          </w:rPr>
          <w:t xml:space="preserve"> (solely with respect to Item 5.02), </w:t>
        </w:r>
        <w:r>
          <w:rPr>
            <w:rFonts w:ascii="Arial" w:cs="Arial" w:eastAsia="Arial" w:hAnsi="Arial"/>
            <w:sz w:val="18"/>
            <w:szCs w:val="18"/>
            <w:u w:val="single" w:color="auto"/>
            <w:color w:val="0000FF"/>
          </w:rPr>
          <w:t>June 5,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August 14,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August</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18, 2023</w:t>
        </w:r>
        <w:r>
          <w:rPr>
            <w:rFonts w:ascii="Arial" w:cs="Arial" w:eastAsia="Arial" w:hAnsi="Arial"/>
            <w:sz w:val="18"/>
            <w:szCs w:val="18"/>
            <w:color w:val="0000FF"/>
          </w:rPr>
          <w:t xml:space="preserve"> </w:t>
        </w:r>
        <w:r>
          <w:rPr>
            <w:rFonts w:ascii="Arial" w:cs="Arial" w:eastAsia="Arial" w:hAnsi="Arial"/>
            <w:sz w:val="18"/>
            <w:szCs w:val="18"/>
            <w:color w:val="000000"/>
          </w:rPr>
          <w:t>(solely with respect to Item 5.02) (as amended</w:t>
        </w:r>
        <w:r>
          <w:rPr>
            <w:rFonts w:ascii="Arial" w:cs="Arial" w:eastAsia="Arial" w:hAnsi="Arial"/>
            <w:sz w:val="18"/>
            <w:szCs w:val="18"/>
            <w:color w:val="0000FF"/>
          </w:rPr>
          <w:t xml:space="preserve"> </w:t>
        </w:r>
      </w:hyperlink>
      <w:hyperlink r:id="rId31">
        <w:r>
          <w:rPr>
            <w:rFonts w:ascii="Arial" w:cs="Arial" w:eastAsia="Arial" w:hAnsi="Arial"/>
            <w:sz w:val="18"/>
            <w:szCs w:val="18"/>
            <w:u w:val="single" w:color="auto"/>
            <w:color w:val="0000FF"/>
          </w:rPr>
          <w:t>September 7, 2023</w:t>
        </w:r>
      </w:hyperlink>
      <w:hyperlink r:id="rId30">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32">
        <w:r>
          <w:rPr>
            <w:rFonts w:ascii="Arial" w:cs="Arial" w:eastAsia="Arial" w:hAnsi="Arial"/>
            <w:sz w:val="18"/>
            <w:szCs w:val="18"/>
            <w:u w:val="single" w:color="auto"/>
            <w:color w:val="0000FF"/>
          </w:rPr>
          <w:t xml:space="preserve">September 27, 2023 </w:t>
        </w:r>
      </w:hyperlink>
      <w:hyperlink r:id="rId30">
        <w:r>
          <w:rPr>
            <w:rFonts w:ascii="Arial" w:cs="Arial" w:eastAsia="Arial" w:hAnsi="Arial"/>
            <w:sz w:val="18"/>
            <w:szCs w:val="18"/>
            <w:color w:val="000000"/>
          </w:rPr>
          <w:t>(solely with respect to Item 5.02) and</w:t>
        </w:r>
        <w:r>
          <w:rPr>
            <w:rFonts w:ascii="Arial" w:cs="Arial" w:eastAsia="Arial" w:hAnsi="Arial"/>
            <w:sz w:val="18"/>
            <w:szCs w:val="18"/>
            <w:color w:val="0000FF"/>
          </w:rPr>
          <w:t xml:space="preserve"> </w:t>
        </w:r>
      </w:hyperlink>
      <w:hyperlink r:id="rId33">
        <w:r>
          <w:rPr>
            <w:rFonts w:ascii="Arial" w:cs="Arial" w:eastAsia="Arial" w:hAnsi="Arial"/>
            <w:sz w:val="18"/>
            <w:szCs w:val="18"/>
            <w:u w:val="single" w:color="auto"/>
            <w:color w:val="0000FF"/>
          </w:rPr>
          <w:t>October</w:t>
        </w:r>
      </w:hyperlink>
      <w:r>
        <w:rPr>
          <w:rFonts w:ascii="Arial" w:cs="Arial" w:eastAsia="Arial" w:hAnsi="Arial"/>
          <w:sz w:val="18"/>
          <w:szCs w:val="18"/>
          <w:color w:val="0000FF"/>
        </w:rPr>
        <w:t xml:space="preserve"> </w:t>
      </w:r>
      <w:hyperlink r:id="rId33">
        <w:r>
          <w:rPr>
            <w:rFonts w:ascii="Arial" w:cs="Arial" w:eastAsia="Arial" w:hAnsi="Arial"/>
            <w:sz w:val="18"/>
            <w:szCs w:val="18"/>
            <w:u w:val="single" w:color="auto"/>
            <w:color w:val="0000FF"/>
          </w:rPr>
          <w:t>19, 2023</w:t>
        </w:r>
      </w:hyperlink>
      <w:r>
        <w:rPr>
          <w:rFonts w:ascii="Arial" w:cs="Arial" w:eastAsia="Arial" w:hAnsi="Arial"/>
          <w:sz w:val="18"/>
          <w:szCs w:val="18"/>
          <w:color w:val="000000"/>
        </w:rPr>
        <w:t>.</w:t>
      </w:r>
    </w:p>
    <w:p>
      <w:pPr>
        <w:spacing w:after="0" w:line="116" w:lineRule="exact"/>
        <w:rPr>
          <w:rFonts w:ascii="Arial" w:cs="Arial" w:eastAsia="Arial" w:hAnsi="Arial"/>
          <w:sz w:val="18"/>
          <w:szCs w:val="18"/>
          <w:color w:val="0000FF"/>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0000FF"/>
        </w:rPr>
      </w:pPr>
      <w:hyperlink r:id="rId24">
        <w:r>
          <w:rPr>
            <w:rFonts w:ascii="Arial" w:cs="Arial" w:eastAsia="Arial" w:hAnsi="Arial"/>
            <w:sz w:val="18"/>
            <w:szCs w:val="18"/>
            <w:color w:val="auto"/>
          </w:rPr>
          <w:t xml:space="preserve">The description of our securities registered pursuant to Section 12 of the Exchange Act contained in Exhibit 4.3 to our Annual Report on </w:t>
        </w:r>
        <w:r>
          <w:rPr>
            <w:rFonts w:ascii="Arial" w:cs="Arial" w:eastAsia="Arial" w:hAnsi="Arial"/>
            <w:sz w:val="18"/>
            <w:szCs w:val="18"/>
            <w:u w:val="single" w:color="auto"/>
            <w:color w:val="0000FF"/>
          </w:rPr>
          <w:t>Form 10-</w:t>
        </w:r>
      </w:hyperlink>
      <w:hyperlink r:id="rId24">
        <w:r>
          <w:rPr>
            <w:rFonts w:ascii="Arial" w:cs="Arial" w:eastAsia="Arial" w:hAnsi="Arial"/>
            <w:sz w:val="18"/>
            <w:szCs w:val="18"/>
            <w:u w:val="single" w:color="auto"/>
            <w:color w:val="0000FF"/>
          </w:rPr>
          <w:t>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2022, filed with the SEC on February 28, 2023, including any amendment or report filed for the purpose of</w:t>
        </w:r>
      </w:hyperlink>
      <w:r>
        <w:rPr>
          <w:rFonts w:ascii="Arial" w:cs="Arial" w:eastAsia="Arial" w:hAnsi="Arial"/>
          <w:sz w:val="18"/>
          <w:szCs w:val="18"/>
          <w:color w:val="0000FF"/>
        </w:rPr>
        <w:t xml:space="preserve"> </w:t>
      </w:r>
      <w:r>
        <w:rPr>
          <w:rFonts w:ascii="Arial" w:cs="Arial" w:eastAsia="Arial" w:hAnsi="Arial"/>
          <w:sz w:val="18"/>
          <w:szCs w:val="18"/>
          <w:color w:val="000000"/>
        </w:rPr>
        <w:t>updating such description.</w:t>
      </w:r>
    </w:p>
    <w:p>
      <w:pPr>
        <w:spacing w:after="0" w:line="103"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We are also incorporating by reference additional documents that we may file with the SEC under Sections 13(a), 13(c), 14 or 15(d) of the Exchange Act after the date of this prospectus supplement and prior to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completion of this offering contemplated hereby, but excluding any information furnished to, rather than filed with, the SEC.</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Arcutis Biotherapeutics,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Head of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3027 Townsgate Road,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Westlake Village, CA 91361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(805) 418-5006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those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120015</wp:posOffset>
            </wp:positionV>
            <wp:extent cx="21774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21774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ARCUTIS BIOTHERAPEUTICS, INC.</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Common Stock</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Preferred Stock</w:t>
      </w:r>
    </w:p>
    <w:p>
      <w:pPr>
        <w:spacing w:after="0" w:line="4"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Debt Securities</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Depositary Shares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Contracts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Offered by the Selling Securityholders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offer and sell the securities identified above, and the selling securityholders may offer and sell shares of common stock identified above, from time to time in one or more offerings. This prospectus provides you with a general description of the securities. We will not receive any proceeds from the sale of our common stock by the selling securityholders.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RISKS. SEE THE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xml:space="preserve">” ON PAGE </w:t>
      </w:r>
      <w:r>
        <w:rPr>
          <w:rFonts w:ascii="Arial" w:cs="Arial" w:eastAsia="Arial" w:hAnsi="Arial"/>
          <w:sz w:val="18"/>
          <w:szCs w:val="18"/>
          <w:b w:val="1"/>
          <w:bCs w:val="1"/>
          <w:u w:val="single" w:color="auto"/>
          <w:color w:val="0000FF"/>
        </w:rPr>
        <w:t>5</w:t>
      </w:r>
      <w:r>
        <w:rPr>
          <w:rFonts w:ascii="Arial" w:cs="Arial" w:eastAsia="Arial" w:hAnsi="Arial"/>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“ARQT.” On January 29, 2021, the last reported sale price of our common stock on the Nasdaq Global Select Market was $27.29 per share.</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February 1, 2021.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as a “well-known seasoned issuer” as defined in Rule 405 under the Securities Act of 1933, as amended, or the Securities Act, using a “shelf” registration process. By using a shelf registration statement, we may sell securities from time to time and in one or more offerings and the selling securityholders to be named in a supplement to this prospectus may, from time to time, sell shares of common stock from time to time in one or more offerings.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“Arcutis Biotherapeutics,” “Arcutis,” “we,” “our,” “us” and the “Company” in this prospectus, we mean Arcutis Biotherapeutics, Inc., unless otherwise specified.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Our web site address is www.arcutis.com. The information on our web site, however, is not, and should not be deemed to be, a part of this prospectus.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March 19, 2020.</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2020, June 30, 2020 and September 30, 2020, filed with the SEC on May 12, 2020, August 11, 2020 and November 5, 2020.</w:t>
      </w:r>
    </w:p>
    <w:p>
      <w:pPr>
        <w:spacing w:after="0" w:line="89"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27, 2020, April 29, 2020, July 29, 2020, July 31, 2020, September 9, 2020, September 18, 2020, September 29, 2020, October 6, 2020, November 4, 2020, November 23, 2020, January 15, 2021, and February 1, 2021.</w:t>
      </w:r>
    </w:p>
    <w:p>
      <w:pPr>
        <w:spacing w:after="0" w:line="5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securities registered pursuant to Section 12 of the Exchange Act contained in Exhibit 4.3 to our Annual Report on Form 10-K for the year ended December 31, 2019, filed with the SEC on March 19, 2020, including any amendment or report filed for the purpose of updating such description.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Arcutis Biotherapeutics,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VP Investor Relations &amp; Corporate Communications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3027 Townsgate Road,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Westlake Village, CA 91361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(805) 418-5006</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under the laws of the State of Delaware in June 2016 under the name Arcutis, Inc. and changed our name to Arcutis Biotherapeutics, Inc. in October 2019. Our principal executive offices are located at 3027 Townsgate Road, Suite 300, Westlake Village, California 91361, and our telephone number is (805) 418-5006. Our website address is www.arcutis.com. The information contained on, or that can be accessed through, our website is not incorporated by reference into this prospectus and should not be considered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 We will not receive any of the proceeds from the sale of common stock being offered by any of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restated bylaws, which have been publicly filed with the SEC. See “Where You Can Find More Information; Incorporation by Reference.”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300,000,000 shares of common stock, $0.0001 par value per share, and 10,000,000 shares of undesignated preferred stock, $0.0001 par value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“ARQT.”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shares of common stock are, and the shares of common stock to be issued in this offering will be, fully paid and nonassessable.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Equiniti Trust Company. The transfer agent’s address is 1110 Centre Pointe Curve, Suite 101, Mendota Heights, MN 55120-4101.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our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action by our stockholders. Our board of directors is also authorized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provisions of Delaware General Corporation Law, or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spacing w:after="0" w:line="70"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116" w:lineRule="exact"/>
        <w:rPr>
          <w:sz w:val="20"/>
          <w:szCs w:val="20"/>
          <w:color w:val="auto"/>
        </w:rPr>
      </w:pPr>
    </w:p>
    <w:p>
      <w:pPr>
        <w:jc w:val="both"/>
        <w:ind w:left="660" w:hanging="328"/>
        <w:spacing w:after="0" w:line="27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08"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restated certificate of incorporation and restated bylaws provide that our board of directors is classified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67" w:lineRule="exact"/>
        <w:rPr>
          <w:rFonts w:ascii="Arial" w:cs="Arial" w:eastAsia="Arial" w:hAnsi="Arial"/>
          <w:sz w:val="16"/>
          <w:szCs w:val="16"/>
          <w:color w:val="auto"/>
        </w:rPr>
      </w:pPr>
    </w:p>
    <w:p>
      <w:pPr>
        <w:jc w:val="both"/>
        <w:ind w:left="660" w:hanging="328"/>
        <w:spacing w:after="0" w:line="272"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provides that our stockholders may not take action</w:t>
      </w:r>
      <w:r>
        <w:rPr>
          <w:rFonts w:ascii="Arial" w:cs="Arial" w:eastAsia="Arial" w:hAnsi="Arial"/>
          <w:sz w:val="17"/>
          <w:szCs w:val="17"/>
          <w:i w:val="1"/>
          <w:iCs w:val="1"/>
          <w:color w:val="auto"/>
        </w:rPr>
        <w:t xml:space="preserve"> </w:t>
      </w:r>
      <w:r>
        <w:rPr>
          <w:rFonts w:ascii="Arial" w:cs="Arial" w:eastAsia="Arial" w:hAnsi="Arial"/>
          <w:sz w:val="17"/>
          <w:szCs w:val="17"/>
          <w:color w:val="auto"/>
        </w:rPr>
        <w:t>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09"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2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provides otherwise. Our restated certificate of incorporation and restated bylaws do not provide for cumulative voting.</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restated certificate of incorporation require approval by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two-thirds of our outstanding common stock.</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the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shares of undesignated preferred stock with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16" w:lineRule="exact"/>
        <w:rPr>
          <w:sz w:val="20"/>
          <w:szCs w:val="20"/>
          <w:color w:val="auto"/>
        </w:rPr>
      </w:pPr>
    </w:p>
    <w:p>
      <w:pPr>
        <w:jc w:val="both"/>
        <w:ind w:left="328" w:hanging="328"/>
        <w:spacing w:after="0" w:line="287" w:lineRule="auto"/>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to the fullest extent permitted by law, the Court of Chancery of the State</w:t>
      </w:r>
      <w:r>
        <w:rPr>
          <w:rFonts w:ascii="Arial" w:cs="Arial" w:eastAsia="Arial" w:hAnsi="Arial"/>
          <w:sz w:val="16"/>
          <w:szCs w:val="16"/>
          <w:i w:val="1"/>
          <w:iCs w:val="1"/>
          <w:color w:val="auto"/>
        </w:rPr>
        <w:t xml:space="preserve"> </w:t>
      </w:r>
      <w:r>
        <w:rPr>
          <w:rFonts w:ascii="Arial" w:cs="Arial" w:eastAsia="Arial" w:hAnsi="Arial"/>
          <w:sz w:val="16"/>
          <w:szCs w:val="16"/>
          <w:color w:val="auto"/>
        </w:rPr>
        <w:t>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8"/>
          </w:cols>
          <w:pgMar w:left="652" w:top="1440" w:right="339" w:bottom="1440" w:gutter="0" w:footer="0" w:header="0"/>
        </w:sectPr>
      </w:pPr>
    </w:p>
    <w:bookmarkStart w:id="50" w:name="page51"/>
    <w:bookmarkEnd w:id="5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 only, “Arcutis Biotherapeutics,” “Arcutis,” “we,” “our” or “us” refer to Arcutis Biotherapeutics,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5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0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we may redeem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8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0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2"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5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69"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0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with information on the federal income tax considerations and other special considerations applicable to any of these debt securities in the applicable prospectus supplement.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16"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Arcutis) is a corporation organized and validly existing under the laws of any U.S. domestic jurisdiction and expressly assumes our obligations on the debt securities and under the indenture;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4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Arcutis and the trustee receive written notice from the holders of not less than 25% in principal amount of the outstanding debt securities of that series as provided in the indenture;</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Arcutis;</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or exercising any trust or power conferred on the trustee with respect to the debt securities of that series. (Section 6.12)</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169"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1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5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3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unless otherwise provided by the terms of the applicable series of debt securities, we may be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16" w:lineRule="exact"/>
        <w:rPr>
          <w:sz w:val="20"/>
          <w:szCs w:val="20"/>
          <w:color w:val="auto"/>
        </w:rPr>
      </w:pPr>
    </w:p>
    <w:p>
      <w:pPr>
        <w:ind w:left="660" w:right="2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5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71" w:lineRule="exact"/>
        <w:rPr>
          <w:sz w:val="20"/>
          <w:szCs w:val="20"/>
          <w:color w:val="auto"/>
        </w:rPr>
      </w:pPr>
    </w:p>
    <w:p>
      <w:pPr>
        <w:jc w:val="both"/>
        <w:ind w:left="660" w:hanging="328"/>
        <w:spacing w:after="0" w:line="25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2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depositary shares, warrants, purchase contracts or units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respect of the securities and the indenture may be delivered to us and where certificated securities may be surrendered for payment, registration of transfer or exchange.</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16" w:lineRule="exact"/>
        <w:rPr>
          <w:sz w:val="20"/>
          <w:szCs w:val="20"/>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90 days of the notification to us or of our becoming aware of DTC’s ceasing to be so registered, as the case may be;</w:t>
      </w:r>
    </w:p>
    <w:p>
      <w:pPr>
        <w:spacing w:after="0" w:line="15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available in the relevant Euroclear or Clearstream cash account only as of the business day for Euroclear or Clearstream following DTC’s settlement date. </w:t>
      </w:r>
      <w:r>
        <w:rPr>
          <w:rFonts w:ascii="Arial" w:cs="Arial" w:eastAsia="Arial" w:hAnsi="Arial"/>
          <w:sz w:val="18"/>
          <w:szCs w:val="18"/>
          <w:b w:val="1"/>
          <w:bCs w:val="1"/>
          <w:i w:val="1"/>
          <w:iCs w:val="1"/>
          <w:color w:val="auto"/>
        </w:rPr>
        <w:t>Other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or any of the selling securityholders may sell the offered securities from time to time:</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Arcutis Biotherapeutics, Inc. Additional legal matters may be passed upon for us, the selling securityholders or any underwriters, dealers or agents, by counsel that we will name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2019,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294640</wp:posOffset>
            </wp:positionV>
            <wp:extent cx="217741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1774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303530</wp:posOffset>
            </wp:positionV>
            <wp:extent cx="20142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177165</wp:posOffset>
            </wp:positionV>
            <wp:extent cx="20142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000" w:val="left"/>
          <w:tab w:leader="none" w:pos="8700" w:val="left"/>
        </w:tabs>
        <w:rPr>
          <w:sz w:val="20"/>
          <w:szCs w:val="20"/>
          <w:color w:val="auto"/>
        </w:rPr>
      </w:pP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TD Cowen</w:t>
      </w:r>
      <w:r>
        <w:rPr>
          <w:sz w:val="20"/>
          <w:szCs w:val="20"/>
          <w:color w:val="auto"/>
        </w:rPr>
        <w:tab/>
      </w:r>
      <w:r>
        <w:rPr>
          <w:rFonts w:ascii="Arial" w:cs="Arial" w:eastAsia="Arial" w:hAnsi="Arial"/>
          <w:sz w:val="22"/>
          <w:szCs w:val="22"/>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4"/>
    </w:lvl>
  </w:abstractNum>
  <w:abstractNum w:abstractNumId="15">
    <w:nsid w:val="836C40E"/>
    <w:multiLevelType w:val="hybridMultilevel"/>
    <w:lvl w:ilvl="0">
      <w:lvlJc w:val="left"/>
      <w:lvlText w:val="(%1)"/>
      <w:numFmt w:val="lowerRoman"/>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lowerRoman"/>
      <w:start w:val="1"/>
    </w:lvl>
    <w:lvl w:ilvl="1">
      <w:lvlJc w:val="left"/>
      <w:lvlText w:val="(%2)"/>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4" Type="http://schemas.openxmlformats.org/officeDocument/2006/relationships/image" Target="media/image17.jpeg"/><Relationship Id="rId35" Type="http://schemas.openxmlformats.org/officeDocument/2006/relationships/image" Target="media/image18.png"/><Relationship Id="rId36" Type="http://schemas.openxmlformats.org/officeDocument/2006/relationships/image" Target="media/image19.jpe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24" Type="http://schemas.openxmlformats.org/officeDocument/2006/relationships/hyperlink" Target="https://www.sec.gov/ix?doc=/Archives/edgar/data/0001787306/000178730623000023/arqt-20221231.htm" TargetMode="External"/><Relationship Id="rId25" Type="http://schemas.openxmlformats.org/officeDocument/2006/relationships/hyperlink" Target="https://www.sec.gov/ix?doc=/Archives/edgar/data/0001787306/000178730623000033/arqt-20230418.htm" TargetMode="External"/><Relationship Id="rId26" Type="http://schemas.openxmlformats.org/officeDocument/2006/relationships/hyperlink" Target="https://www.sec.gov/ix?doc=/Archives/edgar/data/0001787306/000178730623000044/arqt-20230331.htm" TargetMode="External"/><Relationship Id="rId27" Type="http://schemas.openxmlformats.org/officeDocument/2006/relationships/hyperlink" Target="https://www.sec.gov/ix?doc=/Archives/edgar/data/0001787306/000178730623000105/arqt-20230331.htm" TargetMode="External"/><Relationship Id="rId28" Type="http://schemas.openxmlformats.org/officeDocument/2006/relationships/hyperlink" Target="https://www.sec.gov/ix?doc=/Archives/edgar/data/0001787306/000178730623000077/arqt-20230630.htm" TargetMode="External"/><Relationship Id="rId29" Type="http://schemas.openxmlformats.org/officeDocument/2006/relationships/hyperlink" Target="https://www.sec.gov/ix?doc=/Archives/edgar/data/0001787306/000178730623000106/arqt-20230630.htm" TargetMode="External"/><Relationship Id="rId30" Type="http://schemas.openxmlformats.org/officeDocument/2006/relationships/hyperlink" Target="https://www.sec.gov/ix?doc=/Archives/edgar/data/0001787306/000178730623000081/arqt-20230815.htm" TargetMode="External"/><Relationship Id="rId31" Type="http://schemas.openxmlformats.org/officeDocument/2006/relationships/hyperlink" Target="https://www.sec.gov/ix?doc=/Archives/edgar/data/0001787306/000178730623000090/arqt-20230815.htm" TargetMode="External"/><Relationship Id="rId32" Type="http://schemas.openxmlformats.org/officeDocument/2006/relationships/hyperlink" Target="https://www.sec.gov/ix?doc=/Archives/edgar/data/0001787306/000178730623000109/arqt-20230927.htm" TargetMode="External"/><Relationship Id="rId33" Type="http://schemas.openxmlformats.org/officeDocument/2006/relationships/hyperlink" Target="https://www.sec.gov/ix?doc=/Archives/edgar/data/0001787306/000162828023034688/arqt-2023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2023-10-19T15:22:08Z</dcterms:created>
  <dcterms:modified xsi:type="dcterms:W3CDTF">2023-10-19T15:22:08Z</dcterms:modified>
</cp:coreProperties>
</file>