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980541.xml.htm"/>
      <w:bookmarkStart w:id="1" w:name="kswkform4_178598054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Burnett Patrick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ARCUTIS BIOTHERAPEUTICS,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3027 TOWNSGATE ROAD,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WESTLAKE VILLAGE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91361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Arcutis Biotherapeutics,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ARQT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49"/>
        <w:gridCol w:w="916"/>
        <w:gridCol w:w="785"/>
        <w:gridCol w:w="608"/>
        <w:gridCol w:w="348"/>
        <w:gridCol w:w="794"/>
        <w:gridCol w:w="445"/>
        <w:gridCol w:w="984"/>
        <w:gridCol w:w="1154"/>
        <w:gridCol w:w="993"/>
        <w:gridCol w:w="92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4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4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4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955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26.1168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119,289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reported on this Form 4 represents shares sold by the Reporting Person to cover tax withholding obligations in connection with the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in Column 4 is a weighted average sale price. The shares were sold in multiple transactions at prices ranging from $25.72 to $26.69, inclusive.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Reporting Person's title: EVP, Chief Medical Officer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Latha Vairavan, as Attorney-in-Fact for Patrick Burnett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41987" TargetMode="External"/><Relationship Id="rId5" Type="http://schemas.openxmlformats.org/officeDocument/2006/relationships/hyperlink" Target="http://www.sec.gov/cgi-bin/browse-edgar?action=getcompany&amp;CIK=000178730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681</Words>
  <Characters>3720</Characters>
  <CharactersWithSpaces>4330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