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80535.xml.htm"/>
      <w:bookmarkStart w:id="1" w:name="kswkform4_17859805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Matsuda Masaru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ARCUTIS BIOTHERAPEUTICS,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3027 TOWNSGATE ROAD,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 VILLAGE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Arcutis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ARQT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9"/>
        <w:gridCol w:w="914"/>
        <w:gridCol w:w="783"/>
        <w:gridCol w:w="607"/>
        <w:gridCol w:w="346"/>
        <w:gridCol w:w="833"/>
        <w:gridCol w:w="441"/>
        <w:gridCol w:w="982"/>
        <w:gridCol w:w="1179"/>
        <w:gridCol w:w="98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1,230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26.1168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126,171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on this Form 4 represents shares sold by the Reporting Person to cover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sale price. The shares were sold in multiple transactions at prices ranging from $25.72 to $26.69,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712 shares purchased under the Issuer's Employee Stock Purchase Plan on May 31,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Reporting Person's title: EVP, Chief Legal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Latha Vairavan, as Attorney-in-Fact for Masaru Matsuda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98679" TargetMode="External"/><Relationship Id="rId5" Type="http://schemas.openxmlformats.org/officeDocument/2006/relationships/hyperlink" Target="http://www.sec.gov/cgi-bin/browse-edgar?action=getcompany&amp;CIK=0001787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697</Words>
  <Characters>3803</Characters>
  <CharactersWithSpaces>4428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