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360" w:after="283"/>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31"/>
        </w:rPr>
      </w:pPr>
      <w:r>
        <w:rPr>
          <w:rFonts w:ascii="Times New Roman;serif" w:hAnsi="Times New Roman;serif"/>
          <w:b/>
          <w:color w:val="000000"/>
          <w:sz w:val="31"/>
        </w:rPr>
        <w:t>UNITED STATES</w:t>
      </w:r>
    </w:p>
    <w:p>
      <w:pPr>
        <w:pStyle w:val="TextBody"/>
        <w:bidi w:val="0"/>
        <w:spacing w:lineRule="auto" w:line="276" w:before="0" w:after="0"/>
        <w:jc w:val="center"/>
        <w:rPr>
          <w:rFonts w:ascii="Times New Roman;serif" w:hAnsi="Times New Roman;serif"/>
          <w:b/>
          <w:color w:val="000000"/>
          <w:sz w:val="31"/>
        </w:rPr>
      </w:pPr>
      <w:r>
        <w:rPr>
          <w:rFonts w:ascii="Times New Roman;serif" w:hAnsi="Times New Roman;serif"/>
          <w:b/>
          <w:color w:val="000000"/>
          <w:sz w:val="31"/>
        </w:rPr>
        <w:t>SECURITIES AND EXCHANGE COMMISSION</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tbl>
      <w:tblPr>
        <w:tblW w:w="2349" w:type="dxa"/>
        <w:jc w:val="center"/>
        <w:tblInd w:w="0" w:type="dxa"/>
        <w:tblLayout w:type="fixed"/>
        <w:tblCellMar>
          <w:top w:w="28" w:type="dxa"/>
          <w:left w:w="28" w:type="dxa"/>
          <w:bottom w:w="28" w:type="dxa"/>
          <w:right w:w="28" w:type="dxa"/>
        </w:tblCellMar>
      </w:tblPr>
      <w:tblGrid>
        <w:gridCol w:w="124"/>
        <w:gridCol w:w="109"/>
        <w:gridCol w:w="109"/>
        <w:gridCol w:w="285"/>
        <w:gridCol w:w="285"/>
        <w:gridCol w:w="286"/>
        <w:gridCol w:w="259"/>
        <w:gridCol w:w="259"/>
        <w:gridCol w:w="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32"/>
              </w:rPr>
            </w:pPr>
            <w:r>
              <w:rPr>
                <w:rFonts w:ascii="Times New Roman;serif" w:hAnsi="Times New Roman;serif"/>
                <w:b/>
                <w:color w:val="000000"/>
                <w:sz w:val="32"/>
              </w:rPr>
              <w:t>Form</w:t>
            </w:r>
          </w:p>
        </w:tc>
        <w:tc>
          <w:tcPr>
            <w:tcW w:w="7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32"/>
              </w:rPr>
            </w:pPr>
            <w:r>
              <w:rPr>
                <w:rFonts w:ascii="Times New Roman;serif" w:hAnsi="Times New Roman;serif"/>
                <w:b/>
                <w:color w:val="000000"/>
                <w:sz w:val="32"/>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900"/>
        <w:jc w:val="center"/>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76" w:before="0" w:after="0"/>
        <w:ind w:left="0" w:right="0" w:hanging="360"/>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before="0" w:after="0"/>
        <w:ind w:left="0" w:right="0" w:hanging="360"/>
        <w:jc w:val="center"/>
        <w:rPr/>
      </w:pPr>
      <w:r>
        <w:rPr/>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76" w:before="0" w:after="0"/>
        <w:ind w:left="0" w:right="0" w:hanging="36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For transition period from to </w:t>
      </w:r>
    </w:p>
    <w:p>
      <w:pPr>
        <w:pStyle w:val="TextBody"/>
        <w:bidi w:val="0"/>
        <w:spacing w:lineRule="auto" w:line="292" w:before="0" w:after="0"/>
        <w:ind w:left="0" w:right="0" w:hanging="360"/>
        <w:jc w:val="center"/>
        <w:rPr>
          <w:rFonts w:ascii="Times New Roman;serif" w:hAnsi="Times New Roman;serif"/>
          <w:b/>
          <w:color w:val="000000"/>
          <w:sz w:val="18"/>
        </w:rPr>
      </w:pPr>
      <w:r>
        <w:rPr>
          <w:rFonts w:ascii="Times New Roman;serif" w:hAnsi="Times New Roman;serif"/>
          <w:b/>
          <w:color w:val="000000"/>
          <w:sz w:val="18"/>
        </w:rPr>
        <w:t>Commission File Number: 001-39186</w:t>
      </w:r>
    </w:p>
    <w:tbl>
      <w:tblPr>
        <w:tblW w:w="6664" w:type="dxa"/>
        <w:jc w:val="center"/>
        <w:tblInd w:w="0" w:type="dxa"/>
        <w:tblLayout w:type="fixed"/>
        <w:tblCellMar>
          <w:top w:w="28" w:type="dxa"/>
          <w:left w:w="28" w:type="dxa"/>
          <w:bottom w:w="28" w:type="dxa"/>
          <w:right w:w="28" w:type="dxa"/>
        </w:tblCellMar>
      </w:tblPr>
      <w:tblGrid>
        <w:gridCol w:w="792"/>
        <w:gridCol w:w="696"/>
        <w:gridCol w:w="696"/>
        <w:gridCol w:w="696"/>
        <w:gridCol w:w="696"/>
        <w:gridCol w:w="696"/>
        <w:gridCol w:w="696"/>
        <w:gridCol w:w="696"/>
        <w:gridCol w:w="1000"/>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4"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ARCUTIS BIOTHERAPEUTICS, INC.</w:t>
            </w:r>
          </w:p>
          <w:p>
            <w:pPr>
              <w:pStyle w:val="TableContents"/>
              <w:bidi w:val="0"/>
              <w:spacing w:lineRule="auto" w:line="276" w:before="0" w:after="0"/>
              <w:ind w:left="0" w:right="0" w:firstLine="2559"/>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c>
      </w:tr>
      <w:tr>
        <w:trPr/>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41" w:type="dxa"/>
        <w:jc w:val="center"/>
        <w:tblInd w:w="0" w:type="dxa"/>
        <w:tblLayout w:type="fixed"/>
        <w:tblCellMar>
          <w:top w:w="28" w:type="dxa"/>
          <w:left w:w="28" w:type="dxa"/>
          <w:bottom w:w="28" w:type="dxa"/>
          <w:right w:w="28" w:type="dxa"/>
        </w:tblCellMar>
      </w:tblPr>
      <w:tblGrid>
        <w:gridCol w:w="1766"/>
        <w:gridCol w:w="1550"/>
        <w:gridCol w:w="1559"/>
        <w:gridCol w:w="1014"/>
        <w:gridCol w:w="1014"/>
        <w:gridCol w:w="1438"/>
      </w:tblGrid>
      <w:tr>
        <w:trPr/>
        <w:tc>
          <w:tcPr>
            <w:tcW w:w="176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 Incorporation or Organization)</w:t>
            </w:r>
          </w:p>
        </w:tc>
        <w:tc>
          <w:tcPr>
            <w:tcW w:w="34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81-2974255</w:t>
            </w:r>
          </w:p>
          <w:p>
            <w:pPr>
              <w:pStyle w:val="TableContents"/>
              <w:bidi w:val="0"/>
              <w:spacing w:lineRule="auto" w:line="276" w:before="0" w:after="0"/>
              <w:ind w:left="0" w:right="0" w:firstLine="181"/>
              <w:jc w:val="center"/>
              <w:rPr>
                <w:rFonts w:ascii="Times New Roman;serif" w:hAnsi="Times New Roman;serif"/>
                <w:b/>
                <w:color w:val="000000"/>
                <w:sz w:val="18"/>
              </w:rPr>
            </w:pPr>
            <w:r>
              <w:rPr>
                <w:rFonts w:ascii="Times New Roman;serif" w:hAnsi="Times New Roman;serif"/>
                <w:b/>
                <w:color w:val="000000"/>
                <w:sz w:val="18"/>
              </w:rPr>
              <w:t>(I.R.S. Employer Identification Number)</w:t>
            </w:r>
          </w:p>
        </w:tc>
      </w:tr>
      <w:tr>
        <w:trPr/>
        <w:tc>
          <w:tcPr>
            <w:tcW w:w="487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3"/>
              <w:jc w:val="center"/>
              <w:rPr>
                <w:rFonts w:ascii="Times New Roman;serif" w:hAnsi="Times New Roman;serif"/>
                <w:b/>
                <w:color w:val="000000"/>
                <w:sz w:val="18"/>
              </w:rPr>
            </w:pPr>
            <w:r>
              <w:rPr>
                <w:rFonts w:ascii="Times New Roman;serif" w:hAnsi="Times New Roman;serif"/>
                <w:b/>
                <w:color w:val="000000"/>
                <w:sz w:val="18"/>
              </w:rPr>
              <w:t>3027 Townsgate Road Suite 300</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Westlake Village, California</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4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91361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76" w:before="0" w:after="0"/>
        <w:ind w:left="0" w:right="0" w:firstLine="3"/>
        <w:jc w:val="center"/>
        <w:rPr>
          <w:rFonts w:ascii="Times New Roman;serif" w:hAnsi="Times New Roman;serif"/>
          <w:b/>
          <w:color w:val="000000"/>
          <w:sz w:val="18"/>
        </w:rPr>
      </w:pPr>
      <w:r>
        <w:rPr>
          <w:rFonts w:ascii="Times New Roman;serif" w:hAnsi="Times New Roman;serif"/>
          <w:b/>
          <w:color w:val="000000"/>
          <w:sz w:val="18"/>
        </w:rPr>
        <w:t>(805) 418-5006</w:t>
      </w:r>
    </w:p>
    <w:p>
      <w:pPr>
        <w:pStyle w:val="TextBody"/>
        <w:bidi w:val="0"/>
        <w:spacing w:lineRule="auto" w:line="276" w:before="0" w:after="0"/>
        <w:ind w:left="0" w:right="0" w:firstLine="4"/>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392" w:type="dxa"/>
        <w:jc w:val="center"/>
        <w:tblInd w:w="0" w:type="dxa"/>
        <w:tblLayout w:type="fixed"/>
        <w:tblCellMar>
          <w:top w:w="28" w:type="dxa"/>
          <w:left w:w="28" w:type="dxa"/>
          <w:bottom w:w="28" w:type="dxa"/>
          <w:right w:w="28" w:type="dxa"/>
        </w:tblCellMar>
      </w:tblPr>
      <w:tblGrid>
        <w:gridCol w:w="1014"/>
        <w:gridCol w:w="889"/>
        <w:gridCol w:w="901"/>
        <w:gridCol w:w="424"/>
        <w:gridCol w:w="424"/>
        <w:gridCol w:w="426"/>
        <w:gridCol w:w="970"/>
        <w:gridCol w:w="970"/>
        <w:gridCol w:w="1374"/>
      </w:tblGrid>
      <w:tr>
        <w:trPr/>
        <w:tc>
          <w:tcPr>
            <w:tcW w:w="101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Common Stock, par value $0.0001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ARQT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before="0" w:after="0"/>
        <w:jc w:val="center"/>
        <w:rPr/>
      </w:pPr>
      <w:r>
        <w:rPr/>
      </w:r>
    </w:p>
    <w:p>
      <w:pPr>
        <w:pStyle w:val="TextBody"/>
        <w:bidi w:val="0"/>
        <w:spacing w:lineRule="auto" w:line="252" w:before="0" w:after="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52"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40" w:before="120" w:after="283"/>
        <w:jc w:val="both"/>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r>
        <w:rPr>
          <w:color w:val="000000"/>
        </w:rPr>
        <w:t xml:space="preserve"> </w:t>
      </w:r>
      <w:r>
        <w:rPr>
          <w:rFonts w:ascii="Times New Roman;serif" w:hAnsi="Times New Roman;serif"/>
          <w:b w:val="false"/>
          <w:color w:val="000000"/>
          <w:sz w:val="18"/>
        </w:rPr>
        <w:t>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59" w:before="1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1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76" w:before="12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Common Stock outstanding as of July 31, 2026 was 125,691,961.</w:t>
      </w:r>
    </w:p>
    <w:p>
      <w:pPr>
        <w:pStyle w:val="TextBody"/>
        <w:bidi w:val="0"/>
        <w:spacing w:before="0" w:after="0"/>
        <w:ind w:left="0" w:right="0" w:firstLine="2558"/>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commercialization of approved products, and our objectives for future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June 30, 2026.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Regulation FD – Channel of Distribution </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periodically post information that may be important to investors on our investor relations website at https://investors.arcutis.com. We intend to use our website as a means of disclosing material non-public information and for complying with our disclosure obligations under Regulation FD. Accordingly, investors and potential investors are encouraged to consult our website regularly for important information, in addition to following our press releases, filings with the SEC and public conference calls and webcasts. The information contained on, or that may be accessed through, our website is not incorporated by reference into, and is not a part of, this Quarterly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INDEX</w:t>
      </w:r>
    </w:p>
    <w:tbl>
      <w:tblPr>
        <w:tblW w:w="9511" w:type="dxa"/>
        <w:jc w:val="center"/>
        <w:tblInd w:w="0" w:type="dxa"/>
        <w:tblLayout w:type="fixed"/>
        <w:tblCellMar>
          <w:top w:w="28" w:type="dxa"/>
          <w:left w:w="28" w:type="dxa"/>
          <w:bottom w:w="28" w:type="dxa"/>
          <w:right w:w="28" w:type="dxa"/>
        </w:tblCellMar>
      </w:tblPr>
      <w:tblGrid>
        <w:gridCol w:w="380"/>
        <w:gridCol w:w="333"/>
        <w:gridCol w:w="338"/>
        <w:gridCol w:w="2613"/>
        <w:gridCol w:w="2613"/>
        <w:gridCol w:w="2618"/>
        <w:gridCol w:w="180"/>
        <w:gridCol w:w="180"/>
        <w:gridCol w:w="25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6">
              <w:r>
                <w:rPr>
                  <w:rStyle w:val="InternetLink"/>
                  <w:rFonts w:ascii="Arial;sans-serif" w:hAnsi="Arial;sans-serif"/>
                  <w:b w:val="false"/>
                  <w:color w:val="0000FF"/>
                  <w:sz w:val="20"/>
                  <w:u w:val="single"/>
                </w:rPr>
                <w:t>PART I</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6">
              <w:r>
                <w:rPr>
                  <w:rStyle w:val="InternetLink"/>
                  <w:rFonts w:ascii="Arial;sans-serif" w:hAnsi="Arial;sans-serif"/>
                  <w:b w:val="false"/>
                  <w:color w:val="0000FF"/>
                  <w:sz w:val="20"/>
                  <w:u w:val="single"/>
                </w:rPr>
                <w:t>FINANCIAL INFORMATION</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9">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266d29c27f4e00ba874d36288d65bb_19">
              <w:r>
                <w:rPr>
                  <w:rStyle w:val="InternetLink"/>
                  <w:rFonts w:ascii="Arial;sans-serif" w:hAnsi="Arial;sans-serif"/>
                  <w:b w:val="false"/>
                  <w:color w:val="0000FF"/>
                  <w:sz w:val="20"/>
                  <w:u w:val="single"/>
                </w:rPr>
                <w:t>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a266d29c27f4e00ba874d36288d65bb_19">
              <w:r>
                <w:rPr>
                  <w:rStyle w:val="InternetLink"/>
                  <w:rFonts w:ascii="Arial;sans-serif" w:hAnsi="Arial;sans-serif"/>
                  <w:b w:val="false"/>
                  <w:strike w:val="false"/>
                  <w:dstrike w:val="false"/>
                  <w:color w:val="0000FF"/>
                  <w:sz w:val="20"/>
                  <w:u w:val="none"/>
                  <w:effect w:val="none"/>
                </w:rPr>
                <w:t>1</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22">
              <w:r>
                <w:rPr>
                  <w:rStyle w:val="InternetLink"/>
                  <w:rFonts w:ascii="Arial;sans-serif" w:hAnsi="Arial;sans-serif"/>
                  <w:b w:val="false"/>
                  <w:color w:val="0000FF"/>
                  <w:sz w:val="20"/>
                  <w:u w:val="single"/>
                </w:rPr>
                <w:t>Condensed 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22">
              <w:r>
                <w:rPr>
                  <w:rStyle w:val="InternetLink"/>
                  <w:rFonts w:ascii="Arial;sans-serif" w:hAnsi="Arial;sans-serif"/>
                  <w:b w:val="false"/>
                  <w:strike w:val="false"/>
                  <w:dstrike w:val="false"/>
                  <w:color w:val="0000FF"/>
                  <w:sz w:val="20"/>
                  <w:u w:val="none"/>
                  <w:effect w:val="none"/>
                </w:rPr>
                <w:t>1</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25">
              <w:r>
                <w:rPr>
                  <w:rStyle w:val="InternetLink"/>
                  <w:rFonts w:ascii="Arial;sans-serif" w:hAnsi="Arial;sans-serif"/>
                  <w:b w:val="false"/>
                  <w:color w:val="0000FF"/>
                  <w:sz w:val="20"/>
                  <w:u w:val="single"/>
                </w:rPr>
                <w:t>Condensed Consolidated</w:t>
              </w:r>
            </w:hyperlink>
            <w:hyperlink w:anchor="i8a266d29c27f4e00ba874d36288d65bb_25">
              <w:r>
                <w:rPr>
                  <w:rStyle w:val="InternetLink"/>
                  <w:color w:val="0000FF"/>
                  <w:u w:val="single"/>
                </w:rPr>
                <w:t xml:space="preserve"> </w:t>
              </w:r>
            </w:hyperlink>
            <w:hyperlink w:anchor="i8a266d29c27f4e00ba874d36288d65bb_25">
              <w:r>
                <w:rPr>
                  <w:rStyle w:val="InternetLink"/>
                  <w:rFonts w:ascii="Arial;sans-serif" w:hAnsi="Arial;sans-serif"/>
                  <w:b w:val="false"/>
                  <w:color w:val="000080"/>
                  <w:sz w:val="20"/>
                  <w:u w:val="single"/>
                </w:rPr>
                <w:t xml:space="preserve">Statements of Operations and Comprehensive </w:t>
              </w:r>
            </w:hyperlink>
            <w:hyperlink w:anchor="i8a266d29c27f4e00ba874d36288d65bb_25">
              <w:r>
                <w:rPr>
                  <w:rStyle w:val="InternetLink"/>
                  <w:rFonts w:ascii="Arial;sans-serif" w:hAnsi="Arial;sans-serif"/>
                  <w:b w:val="false"/>
                  <w:color w:val="000080"/>
                  <w:sz w:val="20"/>
                  <w:u w:val="single"/>
                </w:rPr>
                <w:t>Income</w:t>
              </w:r>
            </w:hyperlink>
            <w:hyperlink w:anchor="i8a266d29c27f4e00ba874d36288d65bb_25">
              <w:r>
                <w:rPr>
                  <w:rStyle w:val="InternetLink"/>
                  <w:rFonts w:ascii="Arial;sans-serif" w:hAnsi="Arial;sans-serif"/>
                  <w:b w:val="false"/>
                  <w:color w:val="000080"/>
                  <w:sz w:val="20"/>
                  <w:u w:val="single"/>
                </w:rPr>
                <w:t xml:space="preserve"> </w:t>
              </w:r>
            </w:hyperlink>
            <w:hyperlink w:anchor="i8a266d29c27f4e00ba874d36288d65bb_25">
              <w:r>
                <w:rPr>
                  <w:rStyle w:val="InternetLink"/>
                  <w:rFonts w:ascii="Arial;sans-serif" w:hAnsi="Arial;sans-serif"/>
                  <w:b w:val="false"/>
                  <w:color w:val="000080"/>
                  <w:sz w:val="20"/>
                  <w:u w:val="single"/>
                </w:rPr>
                <w:t>(</w:t>
              </w:r>
            </w:hyperlink>
            <w:hyperlink w:anchor="i8a266d29c27f4e00ba874d36288d65bb_25">
              <w:r>
                <w:rPr>
                  <w:rStyle w:val="InternetLink"/>
                  <w:rFonts w:ascii="Arial;sans-serif" w:hAnsi="Arial;sans-serif"/>
                  <w:b w:val="false"/>
                  <w:color w:val="000080"/>
                  <w:sz w:val="20"/>
                  <w:u w:val="single"/>
                </w:rPr>
                <w:t>Loss</w:t>
              </w:r>
            </w:hyperlink>
            <w:r>
              <w:rPr>
                <w:rFonts w:ascii="Arial;sans-serif" w:hAnsi="Arial;sans-serif"/>
                <w:b w:val="false"/>
                <w:color w:val="000000"/>
                <w:sz w:val="20"/>
              </w:rPr>
              <w:t xml:space="preserve">)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25">
              <w:r>
                <w:rPr>
                  <w:rStyle w:val="InternetLink"/>
                  <w:rFonts w:ascii="Arial;sans-serif" w:hAnsi="Arial;sans-serif"/>
                  <w:b w:val="false"/>
                  <w:strike w:val="false"/>
                  <w:dstrike w:val="false"/>
                  <w:color w:val="0000FF"/>
                  <w:sz w:val="20"/>
                  <w:u w:val="none"/>
                  <w:effect w:val="none"/>
                </w:rPr>
                <w:t>1</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28">
              <w:r>
                <w:rPr>
                  <w:rStyle w:val="InternetLink"/>
                  <w:rFonts w:ascii="Arial;sans-serif" w:hAnsi="Arial;sans-serif"/>
                  <w:b w:val="false"/>
                  <w:color w:val="0000FF"/>
                  <w:sz w:val="20"/>
                  <w:u w:val="single"/>
                </w:rPr>
                <w:t>Condensed Consolidated Statements of Changes in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28">
              <w:r>
                <w:rPr>
                  <w:rStyle w:val="InternetLink"/>
                  <w:rFonts w:ascii="Arial;sans-serif" w:hAnsi="Arial;sans-serif"/>
                  <w:b w:val="false"/>
                  <w:strike w:val="false"/>
                  <w:dstrike w:val="false"/>
                  <w:color w:val="0000FF"/>
                  <w:sz w:val="20"/>
                  <w:u w:val="none"/>
                  <w:effect w:val="none"/>
                </w:rPr>
                <w:t>3</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31">
              <w:r>
                <w:rPr>
                  <w:rStyle w:val="InternetLink"/>
                  <w:rFonts w:ascii="Arial;sans-serif" w:hAnsi="Arial;sans-serif"/>
                  <w:b w:val="false"/>
                  <w:color w:val="0000FF"/>
                  <w:sz w:val="20"/>
                  <w:u w:val="single"/>
                </w:rPr>
                <w:t>Condensed Consolidated Statements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31">
              <w:r>
                <w:rPr>
                  <w:rStyle w:val="InternetLink"/>
                  <w:rFonts w:ascii="Arial;sans-serif" w:hAnsi="Arial;sans-serif"/>
                  <w:b w:val="false"/>
                  <w:strike w:val="false"/>
                  <w:dstrike w:val="false"/>
                  <w:color w:val="0000FF"/>
                  <w:sz w:val="20"/>
                  <w:u w:val="none"/>
                  <w:effect w:val="none"/>
                </w:rPr>
                <w:t>5</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120" w:after="283"/>
              <w:jc w:val="left"/>
              <w:rPr/>
            </w:pPr>
            <w:hyperlink w:anchor="i8a266d29c27f4e00ba874d36288d65bb_34">
              <w:r>
                <w:rPr>
                  <w:rStyle w:val="InternetLink"/>
                  <w:rFonts w:ascii="Arial;sans-serif" w:hAnsi="Arial;sans-serif"/>
                  <w:b w:val="false"/>
                  <w:color w:val="0000FF"/>
                  <w:sz w:val="20"/>
                  <w:u w:val="single"/>
                </w:rPr>
                <w:t>Notes to Condensed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34">
              <w:r>
                <w:rPr>
                  <w:rStyle w:val="InternetLink"/>
                  <w:rFonts w:ascii="Arial;sans-serif" w:hAnsi="Arial;sans-serif"/>
                  <w:b w:val="false"/>
                  <w:strike w:val="false"/>
                  <w:dstrike w:val="false"/>
                  <w:color w:val="0000FF"/>
                  <w:sz w:val="20"/>
                  <w:u w:val="none"/>
                  <w:effect w:val="none"/>
                </w:rPr>
                <w:t>6</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09">
              <w:r>
                <w:rPr>
                  <w:rStyle w:val="InternetLink"/>
                  <w:rFonts w:ascii="Arial;sans-serif" w:hAnsi="Arial;sans-serif"/>
                  <w:b w:val="false"/>
                  <w:color w:val="000080"/>
                  <w:sz w:val="20"/>
                  <w:u w:val="single"/>
                </w:rPr>
                <w:t xml:space="preserve">Item </w:t>
              </w:r>
            </w:hyperlink>
            <w:hyperlink w:anchor="i8a266d29c27f4e00ba874d36288d65bb_109">
              <w:r>
                <w:rPr>
                  <w:rStyle w:val="InternetLink"/>
                  <w:rFonts w:ascii="Arial;sans-serif" w:hAnsi="Arial;sans-serif"/>
                  <w:b w:val="false"/>
                  <w:color w:val="000080"/>
                  <w:sz w:val="20"/>
                  <w:u w:val="single"/>
                </w:rPr>
                <w:t>2</w:t>
              </w:r>
            </w:hyperlink>
            <w:hyperlink w:anchor="i8a266d29c27f4e00ba874d36288d65bb_109">
              <w:r>
                <w:rPr>
                  <w:rStyle w:val="InternetLink"/>
                  <w:rFonts w:ascii="Arial;sans-serif" w:hAnsi="Arial;sans-serif"/>
                  <w:b w:val="false"/>
                  <w:color w:val="000080"/>
                  <w:sz w:val="20"/>
                  <w:u w:val="single"/>
                </w:rPr>
                <w:t>.</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266d29c27f4e00ba874d36288d65bb_82">
              <w:r>
                <w:rPr>
                  <w:rStyle w:val="InternetLink"/>
                  <w:rFonts w:ascii="Arial;sans-serif" w:hAnsi="Arial;sans-serif"/>
                  <w:b w:val="false"/>
                  <w:color w:val="0000FF"/>
                  <w:sz w:val="20"/>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82">
              <w:r>
                <w:rPr>
                  <w:rStyle w:val="InternetLink"/>
                  <w:rFonts w:ascii="Arial;sans-serif" w:hAnsi="Arial;sans-serif"/>
                  <w:b w:val="false"/>
                  <w:strike w:val="false"/>
                  <w:dstrike w:val="false"/>
                  <w:color w:val="0000FF"/>
                  <w:sz w:val="20"/>
                  <w:u w:val="none"/>
                  <w:effect w:val="none"/>
                </w:rPr>
                <w:t>22</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12">
              <w:r>
                <w:rPr>
                  <w:rStyle w:val="InternetLink"/>
                  <w:rFonts w:ascii="Arial;sans-serif" w:hAnsi="Arial;sans-serif"/>
                  <w:b w:val="false"/>
                  <w:color w:val="0000FF"/>
                  <w:sz w:val="20"/>
                  <w:u w:val="singl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09">
              <w:r>
                <w:rPr>
                  <w:rStyle w:val="InternetLink"/>
                  <w:rFonts w:ascii="Arial;sans-serif" w:hAnsi="Arial;sans-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109">
              <w:r>
                <w:rPr>
                  <w:rStyle w:val="InternetLink"/>
                  <w:rFonts w:ascii="Arial;sans-serif" w:hAnsi="Arial;sans-serif"/>
                  <w:b w:val="false"/>
                  <w:strike w:val="false"/>
                  <w:dstrike w:val="false"/>
                  <w:color w:val="0000FF"/>
                  <w:sz w:val="20"/>
                  <w:u w:val="none"/>
                  <w:effect w:val="none"/>
                </w:rPr>
                <w:t>34</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12">
              <w:r>
                <w:rPr>
                  <w:rStyle w:val="InternetLink"/>
                  <w:rFonts w:ascii="Arial;sans-serif" w:hAnsi="Arial;sans-serif"/>
                  <w:b w:val="false"/>
                  <w:color w:val="000080"/>
                  <w:sz w:val="20"/>
                  <w:u w:val="single"/>
                </w:rPr>
                <w:t xml:space="preserve">Item </w:t>
              </w:r>
            </w:hyperlink>
            <w:hyperlink w:anchor="i8a266d29c27f4e00ba874d36288d65bb_112">
              <w:r>
                <w:rPr>
                  <w:rStyle w:val="InternetLink"/>
                  <w:rFonts w:ascii="Arial;sans-serif" w:hAnsi="Arial;sans-serif"/>
                  <w:b w:val="false"/>
                  <w:color w:val="000080"/>
                  <w:sz w:val="20"/>
                  <w:u w:val="single"/>
                </w:rPr>
                <w:t>4</w:t>
              </w:r>
            </w:hyperlink>
            <w:hyperlink w:anchor="i8a266d29c27f4e00ba874d36288d65bb_112">
              <w:r>
                <w:rPr>
                  <w:rStyle w:val="InternetLink"/>
                  <w:rFonts w:ascii="Arial;sans-serif" w:hAnsi="Arial;sans-serif"/>
                  <w:b w:val="false"/>
                  <w:color w:val="000080"/>
                  <w:sz w:val="20"/>
                  <w:u w:val="single"/>
                </w:rPr>
                <w:t>.</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12">
              <w:r>
                <w:rPr>
                  <w:rStyle w:val="InternetLink"/>
                  <w:rFonts w:ascii="Arial;sans-serif" w:hAnsi="Arial;sans-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112">
              <w:r>
                <w:rPr>
                  <w:rStyle w:val="InternetLink"/>
                  <w:rFonts w:ascii="Arial;sans-serif" w:hAnsi="Arial;sans-serif"/>
                  <w:b w:val="false"/>
                  <w:strike w:val="false"/>
                  <w:dstrike w:val="false"/>
                  <w:color w:val="0000FF"/>
                  <w:sz w:val="20"/>
                  <w:u w:val="none"/>
                  <w:effect w:val="none"/>
                </w:rPr>
                <w:t>34</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15">
              <w:r>
                <w:rPr>
                  <w:rStyle w:val="InternetLink"/>
                  <w:rFonts w:ascii="Arial;sans-serif" w:hAnsi="Arial;sans-serif"/>
                  <w:b w:val="false"/>
                  <w:color w:val="0000FF"/>
                  <w:sz w:val="20"/>
                  <w:u w:val="single"/>
                </w:rPr>
                <w:t>PART II</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15">
              <w:r>
                <w:rPr>
                  <w:rStyle w:val="InternetLink"/>
                  <w:rFonts w:ascii="Arial;sans-serif" w:hAnsi="Arial;sans-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18">
              <w:r>
                <w:rPr>
                  <w:rStyle w:val="InternetLink"/>
                  <w:rFonts w:ascii="Arial;sans-serif" w:hAnsi="Arial;sans-serif"/>
                  <w:b w:val="false"/>
                  <w:color w:val="0000FF"/>
                  <w:sz w:val="20"/>
                  <w:u w:val="singl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18">
              <w:r>
                <w:rPr>
                  <w:rStyle w:val="InternetLink"/>
                  <w:rFonts w:ascii="Arial;sans-serif" w:hAnsi="Arial;sans-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118">
              <w:r>
                <w:rPr>
                  <w:rStyle w:val="InternetLink"/>
                  <w:rFonts w:ascii="Arial;sans-serif" w:hAnsi="Arial;sans-serif"/>
                  <w:b w:val="false"/>
                  <w:strike w:val="false"/>
                  <w:dstrike w:val="false"/>
                  <w:color w:val="0000FF"/>
                  <w:sz w:val="20"/>
                  <w:u w:val="none"/>
                  <w:effect w:val="none"/>
                </w:rPr>
                <w:t>35</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21">
              <w:r>
                <w:rPr>
                  <w:rStyle w:val="InternetLink"/>
                  <w:rFonts w:ascii="Arial;sans-serif" w:hAnsi="Arial;sans-serif"/>
                  <w:b w:val="false"/>
                  <w:color w:val="0000FF"/>
                  <w:sz w:val="20"/>
                  <w:u w:val="singl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21">
              <w:r>
                <w:rPr>
                  <w:rStyle w:val="InternetLink"/>
                  <w:rFonts w:ascii="Arial;sans-serif" w:hAnsi="Arial;sans-serif"/>
                  <w:b w:val="false"/>
                  <w:color w:val="0000FF"/>
                  <w:sz w:val="20"/>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121">
              <w:r>
                <w:rPr>
                  <w:rStyle w:val="InternetLink"/>
                  <w:rFonts w:ascii="Arial;sans-serif" w:hAnsi="Arial;sans-serif"/>
                  <w:b w:val="false"/>
                  <w:strike w:val="false"/>
                  <w:dstrike w:val="false"/>
                  <w:color w:val="0000FF"/>
                  <w:sz w:val="20"/>
                  <w:u w:val="none"/>
                  <w:effect w:val="none"/>
                </w:rPr>
                <w:t>35</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27">
              <w:r>
                <w:rPr>
                  <w:rStyle w:val="InternetLink"/>
                  <w:rFonts w:ascii="Arial;sans-serif" w:hAnsi="Arial;sans-serif"/>
                  <w:b w:val="false"/>
                  <w:color w:val="0000FF"/>
                  <w:sz w:val="20"/>
                  <w:u w:val="singl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360" w:after="283"/>
              <w:jc w:val="left"/>
              <w:rPr/>
            </w:pPr>
            <w:hyperlink w:anchor="i8a266d29c27f4e00ba874d36288d65bb_127">
              <w:r>
                <w:rPr>
                  <w:rStyle w:val="InternetLink"/>
                  <w:rFonts w:ascii="Arial;sans-serif" w:hAnsi="Arial;sans-serif"/>
                  <w:b w:val="false"/>
                  <w:color w:val="0000FF"/>
                  <w:sz w:val="20"/>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127">
              <w:r>
                <w:rPr>
                  <w:rStyle w:val="InternetLink"/>
                  <w:rFonts w:ascii="Arial;sans-serif" w:hAnsi="Arial;sans-serif"/>
                  <w:b w:val="false"/>
                  <w:strike w:val="false"/>
                  <w:dstrike w:val="false"/>
                  <w:color w:val="0000FF"/>
                  <w:sz w:val="20"/>
                  <w:u w:val="none"/>
                  <w:effect w:val="none"/>
                </w:rPr>
                <w:t>35</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30">
              <w:r>
                <w:rPr>
                  <w:rStyle w:val="InternetLink"/>
                  <w:rFonts w:ascii="Arial;sans-serif" w:hAnsi="Arial;sans-serif"/>
                  <w:b w:val="false"/>
                  <w:color w:val="0000FF"/>
                  <w:sz w:val="20"/>
                  <w:u w:val="singl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266d29c27f4e00ba874d36288d65bb_130">
              <w:r>
                <w:rPr>
                  <w:rStyle w:val="InternetLink"/>
                  <w:rFonts w:ascii="Arial;sans-serif" w:hAnsi="Arial;sans-serif"/>
                  <w:b w:val="false"/>
                  <w:color w:val="0000FF"/>
                  <w:sz w:val="20"/>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a266d29c27f4e00ba874d36288d65bb_130">
              <w:r>
                <w:rPr>
                  <w:rStyle w:val="InternetLink"/>
                  <w:rFonts w:ascii="Arial;sans-serif" w:hAnsi="Arial;sans-serif"/>
                  <w:b w:val="false"/>
                  <w:strike w:val="false"/>
                  <w:dstrike w:val="false"/>
                  <w:color w:val="0000FF"/>
                  <w:sz w:val="20"/>
                  <w:u w:val="none"/>
                  <w:effect w:val="none"/>
                </w:rPr>
                <w:t>35</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33">
              <w:r>
                <w:rPr>
                  <w:rStyle w:val="InternetLink"/>
                  <w:rFonts w:ascii="Arial;sans-serif" w:hAnsi="Arial;sans-serif"/>
                  <w:b w:val="false"/>
                  <w:color w:val="0000FF"/>
                  <w:sz w:val="20"/>
                  <w:u w:val="singl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266d29c27f4e00ba874d36288d65bb_133">
              <w:r>
                <w:rPr>
                  <w:rStyle w:val="InternetLink"/>
                  <w:rFonts w:ascii="Arial;sans-serif" w:hAnsi="Arial;sans-serif"/>
                  <w:b w:val="false"/>
                  <w:color w:val="0000FF"/>
                  <w:sz w:val="20"/>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a266d29c27f4e00ba874d36288d65bb_133">
              <w:r>
                <w:rPr>
                  <w:rStyle w:val="InternetLink"/>
                  <w:rFonts w:ascii="Arial;sans-serif" w:hAnsi="Arial;sans-serif"/>
                  <w:b w:val="false"/>
                  <w:strike w:val="false"/>
                  <w:dstrike w:val="false"/>
                  <w:color w:val="0000FF"/>
                  <w:sz w:val="20"/>
                  <w:u w:val="none"/>
                  <w:effect w:val="none"/>
                </w:rPr>
                <w:t>35</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36">
              <w:r>
                <w:rPr>
                  <w:rStyle w:val="InternetLink"/>
                  <w:rFonts w:ascii="Arial;sans-serif" w:hAnsi="Arial;sans-serif"/>
                  <w:b w:val="false"/>
                  <w:color w:val="0000FF"/>
                  <w:sz w:val="20"/>
                  <w:u w:val="single"/>
                </w:rPr>
                <w:t>Item 5.</w:t>
              </w:r>
            </w:hyperlink>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36">
              <w:r>
                <w:rPr>
                  <w:rStyle w:val="InternetLink"/>
                  <w:rFonts w:ascii="Arial;sans-serif" w:hAnsi="Arial;sans-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66d29c27f4e00ba874d36288d65bb_136">
              <w:r>
                <w:rPr>
                  <w:rStyle w:val="InternetLink"/>
                  <w:rFonts w:ascii="Arial;sans-serif" w:hAnsi="Arial;sans-serif"/>
                  <w:b w:val="false"/>
                  <w:strike w:val="false"/>
                  <w:dstrike w:val="false"/>
                  <w:color w:val="0000FF"/>
                  <w:sz w:val="20"/>
                  <w:u w:val="none"/>
                  <w:effect w:val="none"/>
                </w:rPr>
                <w:t>35</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42">
              <w:r>
                <w:rPr>
                  <w:rStyle w:val="InternetLink"/>
                  <w:rFonts w:ascii="Arial;sans-serif" w:hAnsi="Arial;sans-serif"/>
                  <w:b w:val="false"/>
                  <w:color w:val="0000FF"/>
                  <w:sz w:val="20"/>
                  <w:u w:val="singl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266d29c27f4e00ba874d36288d65bb_142">
              <w:r>
                <w:rPr>
                  <w:rStyle w:val="InternetLink"/>
                  <w:rFonts w:ascii="Arial;sans-serif" w:hAnsi="Arial;sans-serif"/>
                  <w:b w:val="false"/>
                  <w:color w:val="0000FF"/>
                  <w:sz w:val="20"/>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a266d29c27f4e00ba874d36288d65bb_142">
              <w:r>
                <w:rPr>
                  <w:rStyle w:val="InternetLink"/>
                  <w:rFonts w:ascii="Arial;sans-serif" w:hAnsi="Arial;sans-serif"/>
                  <w:b w:val="false"/>
                  <w:strike w:val="false"/>
                  <w:dstrike w:val="false"/>
                  <w:color w:val="0000FF"/>
                  <w:sz w:val="20"/>
                  <w:u w:val="none"/>
                  <w:effect w:val="none"/>
                </w:rPr>
                <w:t>37</w:t>
              </w:r>
            </w:hyperlink>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66d29c27f4e00ba874d36288d65bb_145">
              <w:r>
                <w:rPr>
                  <w:rStyle w:val="InternetLink"/>
                  <w:rFonts w:ascii="Arial;sans-serif" w:hAnsi="Arial;sans-serif"/>
                  <w:b w:val="false"/>
                  <w:color w:val="0000FF"/>
                  <w:sz w:val="20"/>
                  <w:u w:val="single"/>
                </w:rPr>
                <w:t>Signatures</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par value)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33"/>
        <w:gridCol w:w="2254"/>
        <w:gridCol w:w="2239"/>
        <w:gridCol w:w="211"/>
        <w:gridCol w:w="830"/>
        <w:gridCol w:w="109"/>
        <w:gridCol w:w="109"/>
        <w:gridCol w:w="109"/>
        <w:gridCol w:w="109"/>
        <w:gridCol w:w="212"/>
        <w:gridCol w:w="832"/>
        <w:gridCol w:w="158"/>
      </w:tblGrid>
      <w:tr>
        <w:trPr/>
        <w:tc>
          <w:tcPr>
            <w:tcW w:w="3033"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receivables,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411,232 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432,973 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portion of long-term debt,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Accrued and other current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129,838 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liability, long-term</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243,494 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7)</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value; 300,000 shares authorized at June 30, 2026 and December 31, 2025; 125,591 and 123,333 shares issued and outstanding at June 30, 2026 and December 31, 2025,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1,327,595 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(1,138,084)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189,479 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432,973 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360" w:after="283"/>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p>
      <w:pPr>
        <w:pStyle w:val="TextBody"/>
        <w:bidi w:val="0"/>
        <w:spacing w:before="60" w:after="283"/>
        <w:jc w:val="center"/>
        <w:rPr/>
      </w:pPr>
      <w:r>
        <w:rPr/>
      </w:r>
    </w:p>
    <w:p>
      <w:pPr>
        <w:pStyle w:val="TextBody"/>
        <w:bidi w:val="0"/>
        <w:spacing w:before="360" w:after="283"/>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07"/>
        <w:gridCol w:w="1362"/>
        <w:gridCol w:w="1372"/>
        <w:gridCol w:w="211"/>
        <w:gridCol w:w="856"/>
        <w:gridCol w:w="109"/>
        <w:gridCol w:w="109"/>
        <w:gridCol w:w="109"/>
        <w:gridCol w:w="109"/>
        <w:gridCol w:w="211"/>
        <w:gridCol w:w="788"/>
        <w:gridCol w:w="109"/>
        <w:gridCol w:w="109"/>
        <w:gridCol w:w="109"/>
        <w:gridCol w:w="109"/>
        <w:gridCol w:w="211"/>
        <w:gridCol w:w="856"/>
        <w:gridCol w:w="109"/>
        <w:gridCol w:w="109"/>
        <w:gridCol w:w="109"/>
        <w:gridCol w:w="109"/>
        <w:gridCol w:w="211"/>
        <w:gridCol w:w="856"/>
        <w:gridCol w:w="156"/>
      </w:tblGrid>
      <w:tr>
        <w:trPr/>
        <w:tc>
          <w:tcPr>
            <w:tcW w:w="180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147,350 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186,490 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(39,140)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(40,946)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gain (loss) on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(40,974)</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(loss)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in computing earnings (loss)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126,519</w:t>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126,519</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360" w:after="283"/>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p>
      <w:pPr>
        <w:pStyle w:val="TextBody"/>
        <w:bidi w:val="0"/>
        <w:spacing w:before="60" w:after="283"/>
        <w:jc w:val="center"/>
        <w:rPr/>
      </w:pPr>
      <w:r>
        <w:rPr/>
      </w:r>
    </w:p>
    <w:p>
      <w:pPr>
        <w:pStyle w:val="TextBody"/>
        <w:bidi w:val="0"/>
        <w:spacing w:before="360" w:after="283"/>
        <w:jc w:val="left"/>
        <w:rPr/>
      </w:pPr>
      <w:r>
        <w:rPr/>
      </w:r>
    </w:p>
    <w:tbl>
      <w:tblPr>
        <w:tblW w:w="11216" w:type="dxa"/>
        <w:jc w:val="center"/>
        <w:tblInd w:w="0" w:type="dxa"/>
        <w:tblLayout w:type="fixed"/>
        <w:tblCellMar>
          <w:top w:w="28" w:type="dxa"/>
          <w:left w:w="28" w:type="dxa"/>
          <w:bottom w:w="28" w:type="dxa"/>
          <w:right w:w="28" w:type="dxa"/>
        </w:tblCellMar>
      </w:tblPr>
      <w:tblGrid>
        <w:gridCol w:w="653"/>
        <w:gridCol w:w="311"/>
        <w:gridCol w:w="312"/>
        <w:gridCol w:w="109"/>
        <w:gridCol w:w="109"/>
        <w:gridCol w:w="109"/>
        <w:gridCol w:w="109"/>
        <w:gridCol w:w="109"/>
        <w:gridCol w:w="109"/>
        <w:gridCol w:w="109"/>
        <w:gridCol w:w="109"/>
        <w:gridCol w:w="109"/>
        <w:gridCol w:w="413"/>
        <w:gridCol w:w="413"/>
        <w:gridCol w:w="161"/>
        <w:gridCol w:w="109"/>
        <w:gridCol w:w="109"/>
        <w:gridCol w:w="109"/>
        <w:gridCol w:w="221"/>
        <w:gridCol w:w="361"/>
        <w:gridCol w:w="109"/>
        <w:gridCol w:w="109"/>
        <w:gridCol w:w="109"/>
        <w:gridCol w:w="109"/>
        <w:gridCol w:w="211"/>
        <w:gridCol w:w="976"/>
        <w:gridCol w:w="109"/>
        <w:gridCol w:w="190"/>
        <w:gridCol w:w="190"/>
        <w:gridCol w:w="191"/>
        <w:gridCol w:w="251"/>
        <w:gridCol w:w="481"/>
        <w:gridCol w:w="109"/>
        <w:gridCol w:w="109"/>
        <w:gridCol w:w="109"/>
        <w:gridCol w:w="109"/>
        <w:gridCol w:w="211"/>
        <w:gridCol w:w="991"/>
        <w:gridCol w:w="109"/>
        <w:gridCol w:w="109"/>
        <w:gridCol w:w="109"/>
        <w:gridCol w:w="109"/>
        <w:gridCol w:w="211"/>
        <w:gridCol w:w="826"/>
        <w:gridCol w:w="109"/>
        <w:gridCol w:w="109"/>
        <w:gridCol w:w="109"/>
        <w:gridCol w:w="109"/>
        <w:gridCol w:w="109"/>
        <w:gridCol w:w="109"/>
        <w:gridCol w:w="109"/>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24" w:type="dxa"/>
            <w:gridSpan w:val="36"/>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20"/>
              </w:rPr>
            </w:pPr>
            <w:r>
              <w:rPr>
                <w:rFonts w:ascii="Arial;sans-serif" w:hAnsi="Arial;sans-serif"/>
                <w:b/>
                <w:color w:val="000000"/>
                <w:sz w:val="20"/>
              </w:rPr>
              <w:t>ARCUTIS BIOTHERAPEUTICS,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Condensed Consolidated Statements of Changes in Stockholders’ Equity</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(In thousands)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123,333 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(1,138,084)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125,042 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(1,149,379)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 pursuant to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125,591 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1,355,593 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(1,134,370)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360" w:after="283"/>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p>
      <w:pPr>
        <w:pStyle w:val="TextBody"/>
        <w:bidi w:val="0"/>
        <w:spacing w:before="60" w:after="283"/>
        <w:jc w:val="center"/>
        <w:rPr/>
      </w:pPr>
      <w:r>
        <w:rPr/>
      </w:r>
    </w:p>
    <w:p>
      <w:pPr>
        <w:pStyle w:val="TextBody"/>
        <w:bidi w:val="0"/>
        <w:spacing w:before="360" w:after="283"/>
        <w:jc w:val="left"/>
        <w:rPr/>
      </w:pPr>
      <w:r>
        <w:rPr/>
      </w:r>
    </w:p>
    <w:tbl>
      <w:tblPr>
        <w:tblW w:w="11216" w:type="dxa"/>
        <w:jc w:val="center"/>
        <w:tblInd w:w="0" w:type="dxa"/>
        <w:tblLayout w:type="fixed"/>
        <w:tblCellMar>
          <w:top w:w="28" w:type="dxa"/>
          <w:left w:w="28" w:type="dxa"/>
          <w:bottom w:w="28" w:type="dxa"/>
          <w:right w:w="28" w:type="dxa"/>
        </w:tblCellMar>
      </w:tblPr>
      <w:tblGrid>
        <w:gridCol w:w="653"/>
        <w:gridCol w:w="311"/>
        <w:gridCol w:w="312"/>
        <w:gridCol w:w="109"/>
        <w:gridCol w:w="109"/>
        <w:gridCol w:w="109"/>
        <w:gridCol w:w="109"/>
        <w:gridCol w:w="109"/>
        <w:gridCol w:w="109"/>
        <w:gridCol w:w="109"/>
        <w:gridCol w:w="109"/>
        <w:gridCol w:w="109"/>
        <w:gridCol w:w="413"/>
        <w:gridCol w:w="413"/>
        <w:gridCol w:w="161"/>
        <w:gridCol w:w="109"/>
        <w:gridCol w:w="109"/>
        <w:gridCol w:w="109"/>
        <w:gridCol w:w="221"/>
        <w:gridCol w:w="361"/>
        <w:gridCol w:w="109"/>
        <w:gridCol w:w="109"/>
        <w:gridCol w:w="109"/>
        <w:gridCol w:w="109"/>
        <w:gridCol w:w="211"/>
        <w:gridCol w:w="976"/>
        <w:gridCol w:w="109"/>
        <w:gridCol w:w="190"/>
        <w:gridCol w:w="190"/>
        <w:gridCol w:w="191"/>
        <w:gridCol w:w="256"/>
        <w:gridCol w:w="476"/>
        <w:gridCol w:w="109"/>
        <w:gridCol w:w="109"/>
        <w:gridCol w:w="109"/>
        <w:gridCol w:w="109"/>
        <w:gridCol w:w="211"/>
        <w:gridCol w:w="991"/>
        <w:gridCol w:w="109"/>
        <w:gridCol w:w="109"/>
        <w:gridCol w:w="109"/>
        <w:gridCol w:w="109"/>
        <w:gridCol w:w="211"/>
        <w:gridCol w:w="826"/>
        <w:gridCol w:w="109"/>
        <w:gridCol w:w="109"/>
        <w:gridCol w:w="109"/>
        <w:gridCol w:w="109"/>
        <w:gridCol w:w="109"/>
        <w:gridCol w:w="109"/>
        <w:gridCol w:w="109"/>
        <w:gridCol w:w="154"/>
      </w:tblGrid>
      <w:tr>
        <w:trPr/>
        <w:tc>
          <w:tcPr>
            <w:tcW w:w="6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24" w:type="dxa"/>
            <w:gridSpan w:val="36"/>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20"/>
              </w:rPr>
            </w:pPr>
            <w:r>
              <w:rPr>
                <w:rFonts w:ascii="Arial;sans-serif" w:hAnsi="Arial;sans-serif"/>
                <w:b/>
                <w:color w:val="000000"/>
                <w:sz w:val="20"/>
              </w:rPr>
              <w:t>ARCUTIS BIOTHERAPEUTICS, INC.</w:t>
            </w:r>
          </w:p>
          <w:p>
            <w:pPr>
              <w:pStyle w:val="TableContents"/>
              <w:bidi w:val="0"/>
              <w:spacing w:lineRule="auto" w:line="240" w:before="60" w:after="283"/>
              <w:jc w:val="center"/>
              <w:rPr>
                <w:rFonts w:ascii="Arial;sans-serif" w:hAnsi="Arial;sans-serif"/>
                <w:b/>
                <w:color w:val="000000"/>
                <w:sz w:val="20"/>
              </w:rPr>
            </w:pPr>
            <w:r>
              <w:rPr>
                <w:rFonts w:ascii="Arial;sans-serif" w:hAnsi="Arial;sans-serif"/>
                <w:b/>
                <w:color w:val="000000"/>
                <w:sz w:val="20"/>
              </w:rPr>
              <w:t>Condensed Consolidated Statements of Changes in Stockholders’ Equity</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(In thousands)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117,848 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119,138 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1,289,789 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(1,147,003)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 pursuant to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119,798 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1,301,886 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(1,162,889)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444" w:type="dxa"/>
        <w:jc w:val="center"/>
        <w:tblInd w:w="0" w:type="dxa"/>
        <w:tblLayout w:type="fixed"/>
        <w:tblCellMar>
          <w:top w:w="28" w:type="dxa"/>
          <w:left w:w="28" w:type="dxa"/>
          <w:bottom w:w="28" w:type="dxa"/>
          <w:right w:w="28" w:type="dxa"/>
        </w:tblCellMar>
      </w:tblPr>
      <w:tblGrid>
        <w:gridCol w:w="2567"/>
        <w:gridCol w:w="2261"/>
        <w:gridCol w:w="2267"/>
        <w:gridCol w:w="196"/>
        <w:gridCol w:w="646"/>
        <w:gridCol w:w="109"/>
        <w:gridCol w:w="109"/>
        <w:gridCol w:w="109"/>
        <w:gridCol w:w="109"/>
        <w:gridCol w:w="196"/>
        <w:gridCol w:w="721"/>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accretion on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non-cash items,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and sales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Milestone payment for intangible asset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 upon exercise of stock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Proceeds from issuance of common stock pursuant to employee stock purchase plan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debt prepayment penalty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paid in cash</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1. Organization and Description of Business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Arcutis Biotherapeutics, Inc. (the Company) is a commercial-stage biopharmaceutical company focused on developing and commercializing treatments for dermatological diseases with high unmet medical needs. The Company’s strategy is to focus on validated biological targets and to use its drug development platform and deep dermatology expertise to develop differentiated products with the potential to address major shortcomings of existing therapies in its targeted indications.</w:t>
      </w:r>
    </w:p>
    <w:p>
      <w:pPr>
        <w:pStyle w:val="TextBody"/>
        <w:bidi w:val="0"/>
        <w:spacing w:lineRule="auto" w:line="288" w:before="160" w:after="283"/>
        <w:ind w:left="0" w:right="0" w:firstLine="720"/>
        <w:jc w:val="left"/>
        <w:rPr/>
      </w:pPr>
      <w:r>
        <w:rPr>
          <w:rFonts w:ascii="Arial;sans-serif" w:hAnsi="Arial;sans-serif"/>
          <w:b w:val="false"/>
          <w:color w:val="000000"/>
          <w:sz w:val="20"/>
        </w:rPr>
        <w:t>The Company received U.S. Food and Drug Administration (FDA) approval of its first product, ZORYVE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(roflumilast) cream 0.3% (ZORYVE cream 0.3%), in July 2022 for the treatment of plaque psoriasis. Since that time, the Company has obtained regulatory approvals and commercially launched ZORYVE in various formulations to treat additional disease states, in additional concentrations for various age groups, and in both the United States and Canada. To date, ZORYVE has received regulatory approval and has been commercially launched, or is awaiting potential regulatory approval, as detailed below.</w:t>
      </w:r>
    </w:p>
    <w:tbl>
      <w:tblPr>
        <w:tblW w:w="10205" w:type="dxa"/>
        <w:jc w:val="left"/>
        <w:tblInd w:w="0" w:type="dxa"/>
        <w:tblLayout w:type="fixed"/>
        <w:tblCellMar>
          <w:top w:w="28" w:type="dxa"/>
          <w:left w:w="28" w:type="dxa"/>
          <w:bottom w:w="28" w:type="dxa"/>
          <w:right w:w="28" w:type="dxa"/>
        </w:tblCellMar>
      </w:tblPr>
      <w:tblGrid>
        <w:gridCol w:w="764"/>
        <w:gridCol w:w="671"/>
        <w:gridCol w:w="676"/>
        <w:gridCol w:w="415"/>
        <w:gridCol w:w="415"/>
        <w:gridCol w:w="416"/>
        <w:gridCol w:w="225"/>
        <w:gridCol w:w="225"/>
        <w:gridCol w:w="226"/>
        <w:gridCol w:w="254"/>
        <w:gridCol w:w="254"/>
        <w:gridCol w:w="256"/>
        <w:gridCol w:w="503"/>
        <w:gridCol w:w="503"/>
        <w:gridCol w:w="509"/>
        <w:gridCol w:w="204"/>
        <w:gridCol w:w="204"/>
        <w:gridCol w:w="208"/>
        <w:gridCol w:w="234"/>
        <w:gridCol w:w="234"/>
        <w:gridCol w:w="238"/>
        <w:gridCol w:w="288"/>
        <w:gridCol w:w="288"/>
        <w:gridCol w:w="295"/>
        <w:gridCol w:w="288"/>
        <w:gridCol w:w="288"/>
        <w:gridCol w:w="295"/>
        <w:gridCol w:w="240"/>
        <w:gridCol w:w="240"/>
        <w:gridCol w:w="349"/>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Product / Indication</w:t>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Concentration</w:t>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Region</w:t>
            </w:r>
          </w:p>
        </w:tc>
        <w:tc>
          <w:tcPr>
            <w:tcW w:w="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1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Stage</w:t>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29" w:type="dxa"/>
            <w:gridSpan w:val="3"/>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w:t>
            </w:r>
          </w:p>
        </w:tc>
      </w:tr>
      <w:tr>
        <w:trPr/>
        <w:tc>
          <w:tcPr>
            <w:tcW w:w="2111"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ZORYVE cream for Plaque Psoriasis</w:t>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u w:val="single"/>
              </w:rPr>
              <w:t>&gt;</w:t>
            </w:r>
            <w:r>
              <w:rPr>
                <w:color w:val="000000"/>
              </w:rPr>
              <w:t xml:space="preserve"> </w:t>
            </w:r>
            <w:r>
              <w:rPr>
                <w:rFonts w:ascii="Arial;sans-serif" w:hAnsi="Arial;sans-serif"/>
                <w:b w:val="false"/>
                <w:color w:val="000000"/>
                <w:sz w:val="16"/>
              </w:rPr>
              <w:t>12 yrs</w:t>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August</w:t>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u w:val="single"/>
              </w:rPr>
              <w:t>&gt;</w:t>
            </w:r>
            <w:r>
              <w:rPr>
                <w:color w:val="000000"/>
              </w:rPr>
              <w:t xml:space="preserve"> </w:t>
            </w:r>
            <w:r>
              <w:rPr>
                <w:rFonts w:ascii="Arial;sans-serif" w:hAnsi="Arial;sans-serif"/>
                <w:b w:val="false"/>
                <w:color w:val="000000"/>
                <w:sz w:val="16"/>
              </w:rPr>
              <w:t>12 yrs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 yrs -11 yrs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October</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0.3%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yrs - 5 yrs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June </w:t>
            </w:r>
          </w:p>
        </w:tc>
      </w:tr>
      <w:tr>
        <w:trPr/>
        <w:tc>
          <w:tcPr>
            <w:tcW w:w="21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Canada</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yrs - 12 yrs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SNDS accepted for review</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w:t>
            </w:r>
          </w:p>
        </w:tc>
      </w:tr>
      <w:tr>
        <w:trPr/>
        <w:tc>
          <w:tcPr>
            <w:tcW w:w="2111" w:type="dxa"/>
            <w:gridSpan w:val="3"/>
            <w:vMerge w:val="restart"/>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ZORYVE foam for Seborrheic Dermatitis</w:t>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u w:val="single"/>
              </w:rPr>
              <w:t>&gt;</w:t>
            </w:r>
            <w:r>
              <w:rPr>
                <w:color w:val="000000"/>
              </w:rPr>
              <w:t xml:space="preserve"> </w:t>
            </w:r>
            <w:r>
              <w:rPr>
                <w:rFonts w:ascii="Arial;sans-serif" w:hAnsi="Arial;sans-serif"/>
                <w:b w:val="false"/>
                <w:color w:val="000000"/>
                <w:sz w:val="16"/>
              </w:rPr>
              <w:t>9 yrs</w:t>
            </w:r>
          </w:p>
        </w:tc>
        <w:tc>
          <w:tcPr>
            <w:tcW w:w="1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left w:val="single" w:sz="8" w:space="0" w:color="000000"/>
              <w:bottom w:val="single" w:sz="8" w:space="0" w:color="000000"/>
            </w:tcBorders>
            <w:shd w:fill="CCEEFF" w:val="clear"/>
            <w:tcMar>
              <w:top w:w="0" w:type="dxa"/>
              <w:bottom w:w="30" w:type="dxa"/>
              <w:right w:w="0" w:type="dxa"/>
            </w:tcMar>
            <w:vAlign w:val="center"/>
          </w:tcPr>
          <w:p>
            <w:pPr>
              <w:pStyle w:val="Normal"/>
              <w:bidi w:val="0"/>
              <w:jc w:val="left"/>
              <w:rPr/>
            </w:pPr>
            <w:r>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u w:val="single"/>
              </w:rPr>
              <w:t>&gt;</w:t>
            </w:r>
            <w:r>
              <w:rPr>
                <w:color w:val="000000"/>
              </w:rPr>
              <w:t xml:space="preserve"> </w:t>
            </w:r>
            <w:r>
              <w:rPr>
                <w:rFonts w:ascii="Arial;sans-serif" w:hAnsi="Arial;sans-serif"/>
                <w:b w:val="false"/>
                <w:color w:val="000000"/>
                <w:sz w:val="16"/>
              </w:rPr>
              <w:t>9 yrs</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November</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ZORYVE cream for Atopic Dermatitis</w:t>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0.15%</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u w:val="single"/>
              </w:rPr>
              <w:t>&gt;</w:t>
            </w:r>
            <w:r>
              <w:rPr>
                <w:color w:val="000000"/>
              </w:rPr>
              <w:t xml:space="preserve"> </w:t>
            </w:r>
            <w:r>
              <w:rPr>
                <w:rFonts w:ascii="Arial;sans-serif" w:hAnsi="Arial;sans-serif"/>
                <w:b w:val="false"/>
                <w:color w:val="000000"/>
                <w:sz w:val="16"/>
              </w:rPr>
              <w:t>6 yrs</w:t>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0.15%</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u w:val="single"/>
              </w:rPr>
              <w:t>&gt;</w:t>
            </w:r>
            <w:r>
              <w:rPr>
                <w:color w:val="000000"/>
              </w:rPr>
              <w:t xml:space="preserve"> </w:t>
            </w:r>
            <w:r>
              <w:rPr>
                <w:rFonts w:ascii="Arial;sans-serif" w:hAnsi="Arial;sans-serif"/>
                <w:b w:val="false"/>
                <w:color w:val="000000"/>
                <w:sz w:val="16"/>
              </w:rPr>
              <w:t>6 yrs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April</w:t>
            </w:r>
          </w:p>
        </w:tc>
        <w:tc>
          <w:tcPr>
            <w:tcW w:w="82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0.05%</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yrs - 5 yrs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October</w:t>
            </w:r>
          </w:p>
        </w:tc>
        <w:tc>
          <w:tcPr>
            <w:tcW w:w="82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0.05%</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Canada</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yrs - 5 yrs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SNDS accepted for review</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October</w:t>
            </w:r>
          </w:p>
        </w:tc>
        <w:tc>
          <w:tcPr>
            <w:tcW w:w="82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0.05%</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 mos - 2 yrs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sNDA accepted for review</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w:t>
            </w:r>
          </w:p>
        </w:tc>
      </w:tr>
      <w:tr>
        <w:trPr/>
        <w:tc>
          <w:tcPr>
            <w:tcW w:w="2111" w:type="dxa"/>
            <w:gridSpan w:val="3"/>
            <w:vMerge w:val="restart"/>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ZORYVE foam for Scalp &amp; Body Psoriasis</w:t>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7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u w:val="single"/>
              </w:rPr>
              <w:t>&gt;</w:t>
            </w:r>
            <w:r>
              <w:rPr>
                <w:color w:val="000000"/>
              </w:rPr>
              <w:t xml:space="preserve"> </w:t>
            </w:r>
            <w:r>
              <w:rPr>
                <w:rFonts w:ascii="Arial;sans-serif" w:hAnsi="Arial;sans-serif"/>
                <w:b w:val="false"/>
                <w:color w:val="000000"/>
                <w:sz w:val="16"/>
              </w:rPr>
              <w:t>12 yrs</w:t>
            </w:r>
          </w:p>
        </w:tc>
        <w:tc>
          <w:tcPr>
            <w:tcW w:w="1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w:t>
            </w:r>
          </w:p>
        </w:tc>
        <w:tc>
          <w:tcPr>
            <w:tcW w:w="829"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left w:val="single" w:sz="8" w:space="0" w:color="000000"/>
              <w:bottom w:val="single" w:sz="8" w:space="0" w:color="000000"/>
            </w:tcBorders>
            <w:shd w:fill="CCEEFF" w:val="clear"/>
            <w:tcMar>
              <w:top w:w="0" w:type="dxa"/>
              <w:bottom w:w="30" w:type="dxa"/>
              <w:right w:w="0" w:type="dxa"/>
            </w:tcMar>
            <w:vAlign w:val="center"/>
          </w:tcPr>
          <w:p>
            <w:pPr>
              <w:pStyle w:val="Normal"/>
              <w:bidi w:val="0"/>
              <w:jc w:val="left"/>
              <w:rPr/>
            </w:pPr>
            <w:r>
              <w:rPr/>
            </w:r>
          </w:p>
        </w:tc>
        <w:tc>
          <w:tcPr>
            <w:tcW w:w="12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Canada</w:t>
            </w:r>
          </w:p>
        </w:tc>
        <w:tc>
          <w:tcPr>
            <w:tcW w:w="7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u w:val="single"/>
              </w:rPr>
              <w:t>&gt;</w:t>
            </w:r>
            <w:r>
              <w:rPr>
                <w:color w:val="000000"/>
              </w:rPr>
              <w:t xml:space="preserve"> </w:t>
            </w:r>
            <w:r>
              <w:rPr>
                <w:rFonts w:ascii="Arial;sans-serif" w:hAnsi="Arial;sans-serif"/>
                <w:b w:val="false"/>
                <w:color w:val="000000"/>
                <w:sz w:val="16"/>
              </w:rPr>
              <w:t>12 yrs</w:t>
            </w:r>
          </w:p>
        </w:tc>
        <w:tc>
          <w:tcPr>
            <w:tcW w:w="15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Commercial launch</w:t>
            </w:r>
          </w:p>
        </w:tc>
        <w:tc>
          <w:tcPr>
            <w:tcW w:w="6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November</w:t>
            </w:r>
          </w:p>
        </w:tc>
        <w:tc>
          <w:tcPr>
            <w:tcW w:w="829"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has incurred significant annual losses and negative cash flows from operations since its inception and had an accumulated deficit of $1,134.4 million and $1,138.1 million as of June 30, 2026 and December 31, 2025, respectively. While the Company has generated net income in certain recent fiscal quarters, the extent of any net income or losses for future periods is uncertain, and the Company may continue to incur operating losses. The Company had cash, cash equivalents, restricted cash, and marketable securities of $238.9 million and $221.3 million as of June 30, 2026 and December 31, 2025, respectively. The Company had $100.0 million outstanding under a loan and security agreement, as amended, with SLR Investment Corp. (SLR) and the lenders party thereto as of June 30, 2026. See Note 8.</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believes that its existing capital resources will be sufficient to meet the projected operating requirements for at least 12 months from the date of issuance of its financial statements. If the Company's available cash, cash equivalents, and marketable securities and anticipated future cash flows from operations are insufficient to satisfy its liquidity requirements, the Company may need to raise additional capital to fund its operations. No assurance can be given as to whether additional financing will be available on terms acceptable to the Company or at all. If sufficient funds on acceptable terms are not available when needed, the Company may be required to curtail certain planned activities. Failure to manage discretionary spending or raise additional funds, as needed, may adversely impact the Company’s ability to achieve its intended business objectives and have an adverse effect on its results of operations and future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2. Summary of Significant Accounting Policies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Basis of Presentation and Principles of Consolidation</w:t>
      </w:r>
    </w:p>
    <w:p>
      <w:pPr>
        <w:pStyle w:val="TextBody"/>
        <w:bidi w:val="0"/>
        <w:spacing w:lineRule="auto" w:line="288" w:before="160" w:after="283"/>
        <w:ind w:left="0" w:right="0" w:firstLine="720"/>
        <w:jc w:val="left"/>
        <w:rPr/>
      </w:pPr>
      <w:r>
        <w:rPr>
          <w:rFonts w:ascii="Arial;sans-serif" w:hAnsi="Arial;sans-serif"/>
          <w:b w:val="false"/>
          <w:color w:val="000000"/>
          <w:sz w:val="20"/>
        </w:rPr>
        <w:t>The accompanying unaudited interim condensed consolidated</w:t>
      </w:r>
      <w:r>
        <w:rPr>
          <w:color w:val="000000"/>
        </w:rPr>
        <w:t xml:space="preserve"> </w:t>
      </w:r>
      <w:r>
        <w:rPr>
          <w:rFonts w:ascii="Arial;sans-serif" w:hAnsi="Arial;sans-serif"/>
          <w:b w:val="false"/>
          <w:color w:val="000000"/>
          <w:sz w:val="20"/>
        </w:rPr>
        <w:t>financial statements have been prepared in accordance with United States generally accepted accounting principles (U.S. GAAP), on the same basis as the Company’s audited annual financial statements, and in the opinion of management, reflect all adjustments (consisting only of normal recurring adjustments) that are necessary for a fair statement of the Company’s financial information. Results of operations for any interim period are not necessarily indicative of future or annual results. Certain information and footnote disclosures normally included in annual financial statements prepared in accordance with U.S. GAAP have been condensed or omitted. Therefore, these unaudited interim condensed consolidated financial statements should be read in conjunction with the Company’s audited financial statements included in its Annual Report on Form 10-K for the year ended December 31, 2025.</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These condensed consolidated financial statements include the accounts of the Company and its wholly owned subsidiaries. All intercompany balances and transactions have been eliminated.</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prior year amounts, which are not material, have been reclassified to conform to current year presentation in the condensed consolidated statements of operations and comprehensive income (loss), condensed consolidated statement of cash flows, and the notes to the condensed consolidated financial statements.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condensed consolidated financial statements in conformity with U.S. GAAP requires management to make estimates and assumptions that affect the amounts reported in the condensed consolidated financial statements and accompanying notes. Actual results could differ from those estimates.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Concentration of Credit Risk and Other Risks and Uncertainties</w:t>
      </w:r>
    </w:p>
    <w:p>
      <w:pPr>
        <w:pStyle w:val="TextBody"/>
        <w:bidi w:val="0"/>
        <w:spacing w:lineRule="auto" w:line="288" w:before="160" w:after="283"/>
        <w:ind w:left="0" w:right="0" w:firstLine="720"/>
        <w:jc w:val="left"/>
        <w:rPr/>
      </w:pPr>
      <w:r>
        <w:rPr>
          <w:rFonts w:ascii="Arial;sans-serif" w:hAnsi="Arial;sans-serif"/>
          <w:b w:val="false"/>
          <w:color w:val="000000"/>
          <w:sz w:val="20"/>
        </w:rPr>
        <w:t>Financial instruments that potentially subject the Company to significant concentrations of credit risk consist primarily of cash, cash equivalents, marketable securities, and accounts receivable. The Company maintains deposits in federally insured financial institutions in excess of federally insured limits. The Company is exposed to credit risk in the event of a default by either the financial institutions holding its cash or by its customers owing trade receivables to the extent recorded on the condensed consolidated</w:t>
      </w:r>
      <w:r>
        <w:rPr>
          <w:color w:val="000000"/>
        </w:rPr>
        <w:t xml:space="preserve"> </w:t>
      </w:r>
      <w:r>
        <w:rPr>
          <w:rFonts w:ascii="Arial;sans-serif" w:hAnsi="Arial;sans-serif"/>
          <w:b w:val="false"/>
          <w:color w:val="000000"/>
          <w:sz w:val="20"/>
        </w:rPr>
        <w:t>balance sheets. To manage accounts receivable credit risk, the Company continuously evaluates the creditworthiness of its customers and the need for an allowance for credit losses.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evaluates its available-for-sale debt securities and accounts receivable for expected credit losses at each reporting date. Based on the high credit quality of the issuers underlying its investment portfolio, the short-term nature of its investments, the credit quality of its customers, and its historical collection experience, the Company determined that expected credit losses were insignificant. Accordingly, no allowance for credit losses was recorded as of June 30, 2026 and December 31, 2025.</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Fair Value Measurement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Company’s financial instruments, in addition to those presented in Note 4, include cash and cash equivalents, accounts receivable, accounts payable, accrued liabilities, and long-term debt. The carrying amount of cash equivalents, accounts receivable, accounts payable, and accrued liabilities approximate their fair values due to their short maturities. As the long-term debt is subject to variable interest rates that are based on market rates which regularly reset, the Company believes that the carrying value of the long-term debt approximates its fair value.</w:t>
      </w:r>
    </w:p>
    <w:p>
      <w:pPr>
        <w:pStyle w:val="TextBody"/>
        <w:bidi w:val="0"/>
        <w:spacing w:lineRule="auto" w:line="288" w:before="160" w:after="283"/>
        <w:ind w:left="0" w:right="0" w:firstLine="720"/>
        <w:jc w:val="left"/>
        <w:rPr/>
      </w:pPr>
      <w:r>
        <w:rPr>
          <w:rFonts w:ascii="Arial;sans-serif" w:hAnsi="Arial;sans-serif"/>
          <w:b w:val="false"/>
          <w:color w:val="000000"/>
          <w:sz w:val="20"/>
        </w:rPr>
        <w:t>Assets and liabilities recorded at fair value on a recurring basis on the condensed consolidated</w:t>
      </w:r>
      <w:r>
        <w:rPr>
          <w:color w:val="000000"/>
        </w:rPr>
        <w:t xml:space="preserve"> </w:t>
      </w:r>
      <w:r>
        <w:rPr>
          <w:rFonts w:ascii="Arial;sans-serif" w:hAnsi="Arial;sans-serif"/>
          <w:b w:val="false"/>
          <w:color w:val="000000"/>
          <w:sz w:val="20"/>
        </w:rPr>
        <w:t>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Level 1—Observable inputs such as unadjusted, quoted prices in active markets for identical assets or liabilities at the measurement date;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Level 3—Unobservable inputs that are supported by little or no market activity and that are significant to the fair value of the assets or liabilities.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considers the applicability and impact of any recent Accounting Standards Update (ASU) issued by the Financial Accounting Standards Board (FASB). Other than the ASUs listed below, all other ASUs were assessed and determined to be either not applicable to the Company or are expected to have minimal impact on the Company's condensed consolidated financial statements.</w:t>
      </w:r>
    </w:p>
    <w:p>
      <w:pPr>
        <w:pStyle w:val="TextBody"/>
        <w:bidi w:val="0"/>
        <w:spacing w:lineRule="auto" w:line="288" w:before="160" w:after="283"/>
        <w:ind w:left="0" w:right="0" w:firstLine="72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which requires disclosure of the types of costs and expenses included in certain expense captions presented on the income statement. ASU 2024-03 is effective for fiscal years beginning after December 15, 2026, and for interim periods beginning after December 15, 2027, with early adoption permitted. The Company will adopt this guidance on its effective date, beginning with its Annual Report on Form 10-K for the year ending December 31, 2027, and for interim reporting, in the first quarter of 2028. The Company is currently evaluating the impact on its consolidated financial statement disclosures, as well as whether the Company will adopt the guidance on a prospective or retrospective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pPr>
      <w:r>
        <w:rPr>
          <w:rFonts w:ascii="Arial;sans-serif" w:hAnsi="Arial;sans-serif"/>
          <w:b/>
          <w:i/>
          <w:color w:val="000000"/>
          <w:sz w:val="20"/>
        </w:rPr>
        <w:t xml:space="preserve">3. </w:t>
      </w:r>
      <w:r>
        <w:rPr>
          <w:rFonts w:ascii="Arial;sans-serif" w:hAnsi="Arial;sans-serif"/>
          <w:b/>
          <w:i/>
          <w:color w:val="000000"/>
          <w:sz w:val="20"/>
          <w:shd w:fill="FFFFFF" w:val="clear"/>
        </w:rPr>
        <w:t>Revenues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Revenues are recognized under guidance within ASC 606, Revenue from Contracts with Customers. The following table presents the Company's disaggregated revenue for the periods presented (in thousands):</w:t>
      </w:r>
    </w:p>
    <w:tbl>
      <w:tblPr>
        <w:tblW w:w="8024" w:type="dxa"/>
        <w:jc w:val="left"/>
        <w:tblInd w:w="0" w:type="dxa"/>
        <w:tblLayout w:type="fixed"/>
        <w:tblCellMar>
          <w:top w:w="28" w:type="dxa"/>
          <w:left w:w="28" w:type="dxa"/>
          <w:bottom w:w="28" w:type="dxa"/>
          <w:right w:w="28" w:type="dxa"/>
        </w:tblCellMar>
      </w:tblPr>
      <w:tblGrid>
        <w:gridCol w:w="868"/>
        <w:gridCol w:w="763"/>
        <w:gridCol w:w="768"/>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ZORYVE cream 0.3%</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ZORYVE foam</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ZORYVE cream 0.15%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ZORYVE cream 0.05%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product revenue, net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Other revenue for the six months ended June 30, 2025 relates to the licensing agreement with Hangzhou Zhongmei Huadong Pharmaceutical Co., Ltd. (Huadong). See Note 6.</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Product revenue, net, from customers located outside the United States represented less than 10% of the Company’s consolidated product revenue, net, for all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4. Fair Value Measurements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the Company’s financial instruments that were measured at fair value on a recurring basis by level within the fair value hierarchy (in thousands):</w:t>
      </w:r>
    </w:p>
    <w:tbl>
      <w:tblPr>
        <w:tblW w:w="8579" w:type="dxa"/>
        <w:jc w:val="left"/>
        <w:tblInd w:w="0" w:type="dxa"/>
        <w:tblLayout w:type="fixed"/>
        <w:tblCellMar>
          <w:top w:w="28" w:type="dxa"/>
          <w:left w:w="28" w:type="dxa"/>
          <w:bottom w:w="28" w:type="dxa"/>
          <w:right w:w="28" w:type="dxa"/>
        </w:tblCellMar>
      </w:tblPr>
      <w:tblGrid>
        <w:gridCol w:w="1191"/>
        <w:gridCol w:w="1050"/>
        <w:gridCol w:w="1058"/>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5280"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Money market funds and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16,567</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 Treasury and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tbl>
      <w:tblPr>
        <w:tblW w:w="9670" w:type="dxa"/>
        <w:jc w:val="left"/>
        <w:tblInd w:w="0" w:type="dxa"/>
        <w:tblLayout w:type="fixed"/>
        <w:tblCellMar>
          <w:top w:w="28" w:type="dxa"/>
          <w:left w:w="28" w:type="dxa"/>
          <w:bottom w:w="28" w:type="dxa"/>
          <w:right w:w="28" w:type="dxa"/>
        </w:tblCellMar>
      </w:tblPr>
      <w:tblGrid>
        <w:gridCol w:w="1191"/>
        <w:gridCol w:w="1050"/>
        <w:gridCol w:w="1058"/>
        <w:gridCol w:w="324"/>
        <w:gridCol w:w="393"/>
        <w:gridCol w:w="403"/>
        <w:gridCol w:w="109"/>
        <w:gridCol w:w="109"/>
        <w:gridCol w:w="109"/>
        <w:gridCol w:w="324"/>
        <w:gridCol w:w="340"/>
        <w:gridCol w:w="351"/>
        <w:gridCol w:w="109"/>
        <w:gridCol w:w="109"/>
        <w:gridCol w:w="109"/>
        <w:gridCol w:w="211"/>
        <w:gridCol w:w="406"/>
        <w:gridCol w:w="109"/>
        <w:gridCol w:w="109"/>
        <w:gridCol w:w="109"/>
        <w:gridCol w:w="109"/>
        <w:gridCol w:w="211"/>
        <w:gridCol w:w="856"/>
        <w:gridCol w:w="109"/>
        <w:gridCol w:w="109"/>
        <w:gridCol w:w="109"/>
        <w:gridCol w:w="109"/>
        <w:gridCol w:w="109"/>
        <w:gridCol w:w="109"/>
        <w:gridCol w:w="109"/>
        <w:gridCol w:w="109"/>
        <w:gridCol w:w="109"/>
        <w:gridCol w:w="109"/>
        <w:gridCol w:w="109"/>
        <w:gridCol w:w="109"/>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5018"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Money market funds and cash</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Commercial paper</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 Treasury and agency securities</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Money market funds and U.S. Treasury and agency securities are highly liquid investments and are actively traded with readily-available market prices that are publicly observable.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Certificates of deposit are recorded at book value, as their book values approximates fair value due to their short-term maturities of three months or less.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Commercial paper and corporate debt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estimated value of the Company’s cash, cash equivalents, and marketable securities, and the gross unrealized holding gains and losses (in thousands):</w:t>
      </w:r>
    </w:p>
    <w:tbl>
      <w:tblPr>
        <w:tblW w:w="8569" w:type="dxa"/>
        <w:jc w:val="left"/>
        <w:tblInd w:w="0" w:type="dxa"/>
        <w:tblLayout w:type="fixed"/>
        <w:tblCellMar>
          <w:top w:w="28" w:type="dxa"/>
          <w:left w:w="28" w:type="dxa"/>
          <w:bottom w:w="28" w:type="dxa"/>
          <w:right w:w="28" w:type="dxa"/>
        </w:tblCellMar>
      </w:tblPr>
      <w:tblGrid>
        <w:gridCol w:w="1193"/>
        <w:gridCol w:w="1052"/>
        <w:gridCol w:w="1054"/>
        <w:gridCol w:w="211"/>
        <w:gridCol w:w="856"/>
        <w:gridCol w:w="109"/>
        <w:gridCol w:w="109"/>
        <w:gridCol w:w="109"/>
        <w:gridCol w:w="109"/>
        <w:gridCol w:w="274"/>
        <w:gridCol w:w="529"/>
        <w:gridCol w:w="143"/>
        <w:gridCol w:w="109"/>
        <w:gridCol w:w="109"/>
        <w:gridCol w:w="109"/>
        <w:gridCol w:w="249"/>
        <w:gridCol w:w="568"/>
        <w:gridCol w:w="129"/>
        <w:gridCol w:w="109"/>
        <w:gridCol w:w="109"/>
        <w:gridCol w:w="109"/>
        <w:gridCol w:w="211"/>
        <w:gridCol w:w="856"/>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5270"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 and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Treasury and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720"/>
        <w:jc w:val="left"/>
        <w:rPr/>
      </w:pPr>
      <w:r>
        <w:rPr/>
      </w:r>
    </w:p>
    <w:tbl>
      <w:tblPr>
        <w:tblW w:w="9223" w:type="dxa"/>
        <w:jc w:val="left"/>
        <w:tblInd w:w="0" w:type="dxa"/>
        <w:tblLayout w:type="fixed"/>
        <w:tblCellMar>
          <w:top w:w="28" w:type="dxa"/>
          <w:left w:w="28" w:type="dxa"/>
          <w:bottom w:w="28" w:type="dxa"/>
          <w:right w:w="28" w:type="dxa"/>
        </w:tblCellMar>
      </w:tblPr>
      <w:tblGrid>
        <w:gridCol w:w="1193"/>
        <w:gridCol w:w="1052"/>
        <w:gridCol w:w="1054"/>
        <w:gridCol w:w="211"/>
        <w:gridCol w:w="856"/>
        <w:gridCol w:w="109"/>
        <w:gridCol w:w="109"/>
        <w:gridCol w:w="109"/>
        <w:gridCol w:w="109"/>
        <w:gridCol w:w="249"/>
        <w:gridCol w:w="568"/>
        <w:gridCol w:w="129"/>
        <w:gridCol w:w="109"/>
        <w:gridCol w:w="109"/>
        <w:gridCol w:w="109"/>
        <w:gridCol w:w="274"/>
        <w:gridCol w:w="529"/>
        <w:gridCol w:w="143"/>
        <w:gridCol w:w="109"/>
        <w:gridCol w:w="109"/>
        <w:gridCol w:w="109"/>
        <w:gridCol w:w="211"/>
        <w:gridCol w:w="856"/>
        <w:gridCol w:w="109"/>
        <w:gridCol w:w="109"/>
        <w:gridCol w:w="109"/>
        <w:gridCol w:w="109"/>
        <w:gridCol w:w="109"/>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52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 and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Treasury and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no significant facts or circumstances were present to indicate a deterioration in the creditworthiness of the issuers of the available-for-sale securities. The Company generally holds its marketable securities until maturity and neither intends to sell nor is required to sell investments that are in an unrealized loss position before the recovery of their amortized cost basis. For each security with a fair value less than its amortized cost basis, the Company determined the decline in fair value below the amortized cost basis to be non-credit related, and no allowance for losses has been recorded. As of June 30, 2026, there were no individual securities that were in a material unrealized loss position. To date, the Company has not recorded any impairment charges on available-for-sale securities.</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has elected the practical expedient to exclude the applicable accrued interest from both the fair value and the amortized cost basis of its available-for-sale securities for purposes of identifying and measuring an impairment. Accrued interest receivable related to available-for-sale securities is presented in prepaid expenses and other current assets, separate from marketable securities, on the consolidated balance sheet. As of June 30, 2026 and December 31, 2025, accrued interest receivable was immaterial. The Company has made an accounting policy election not to recognize an allowance for credit losses for accrued interest receivables on available-for-sale securities and to write off any uncollectible accrued interest receivable by recognizing credit loss expense. To date, the Company has not written off any accrued interest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60" w:after="283"/>
        <w:jc w:val="left"/>
        <w:rPr/>
      </w:pPr>
      <w:r>
        <w:rPr/>
      </w:r>
    </w:p>
    <w:p>
      <w:pPr>
        <w:pStyle w:val="TextBody"/>
        <w:bidi w:val="0"/>
        <w:spacing w:lineRule="auto" w:line="288" w:before="160" w:after="283"/>
        <w:ind w:left="0" w:right="0" w:firstLine="720"/>
        <w:jc w:val="left"/>
        <w:rPr/>
      </w:pPr>
      <w:r>
        <w:rPr>
          <w:rFonts w:ascii="Arial;sans-serif" w:hAnsi="Arial;sans-serif"/>
          <w:b w:val="false"/>
          <w:color w:val="000000"/>
          <w:sz w:val="20"/>
          <w:shd w:fill="FFFFFF" w:val="clear"/>
        </w:rPr>
        <w:t xml:space="preserve">The following table summarizes the amortized cost and fair value of marketable securities by contractual maturity at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and December 31, 2025.</w:t>
      </w:r>
    </w:p>
    <w:tbl>
      <w:tblPr>
        <w:tblW w:w="8684" w:type="dxa"/>
        <w:jc w:val="left"/>
        <w:tblInd w:w="0" w:type="dxa"/>
        <w:tblLayout w:type="fixed"/>
        <w:tblCellMar>
          <w:top w:w="28" w:type="dxa"/>
          <w:left w:w="28" w:type="dxa"/>
          <w:bottom w:w="28" w:type="dxa"/>
          <w:right w:w="28" w:type="dxa"/>
        </w:tblCellMar>
      </w:tblPr>
      <w:tblGrid>
        <w:gridCol w:w="938"/>
        <w:gridCol w:w="825"/>
        <w:gridCol w:w="831"/>
        <w:gridCol w:w="457"/>
        <w:gridCol w:w="396"/>
        <w:gridCol w:w="400"/>
        <w:gridCol w:w="109"/>
        <w:gridCol w:w="109"/>
        <w:gridCol w:w="109"/>
        <w:gridCol w:w="443"/>
        <w:gridCol w:w="396"/>
        <w:gridCol w:w="400"/>
        <w:gridCol w:w="109"/>
        <w:gridCol w:w="109"/>
        <w:gridCol w:w="109"/>
        <w:gridCol w:w="457"/>
        <w:gridCol w:w="396"/>
        <w:gridCol w:w="400"/>
        <w:gridCol w:w="143"/>
        <w:gridCol w:w="143"/>
        <w:gridCol w:w="143"/>
        <w:gridCol w:w="421"/>
        <w:gridCol w:w="347"/>
        <w:gridCol w:w="49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Maturing within one year</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138,281</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138,395</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Maturing in one to five years</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39,681</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39,680</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4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177,962</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178,075</w:t>
            </w:r>
          </w:p>
        </w:tc>
      </w:tr>
    </w:tbl>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5. Balance Sheet Components</w:t>
      </w:r>
    </w:p>
    <w:p>
      <w:pPr>
        <w:pStyle w:val="TextBody"/>
        <w:bidi w:val="0"/>
        <w:spacing w:lineRule="auto" w:line="288" w:before="160" w:after="283"/>
        <w:ind w:left="0" w:right="0" w:firstLine="720"/>
        <w:jc w:val="left"/>
        <w:rPr>
          <w:rFonts w:ascii="Arial;sans-serif" w:hAnsi="Arial;sans-serif"/>
          <w:b/>
          <w:i/>
          <w:color w:val="000000"/>
          <w:sz w:val="20"/>
          <w:shd w:fill="FFFFFF" w:val="clear"/>
        </w:rPr>
      </w:pPr>
      <w:r>
        <w:rPr>
          <w:rFonts w:ascii="Arial;sans-serif" w:hAnsi="Arial;sans-serif"/>
          <w:b/>
          <w:i/>
          <w:color w:val="000000"/>
          <w:sz w:val="20"/>
          <w:shd w:fill="FFFFFF" w:val="clear"/>
        </w:rPr>
        <w:t>Inventory</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components of inventory are summarized as follows (in thousands):</w:t>
      </w:r>
    </w:p>
    <w:tbl>
      <w:tblPr>
        <w:tblW w:w="4706" w:type="dxa"/>
        <w:jc w:val="left"/>
        <w:tblInd w:w="0" w:type="dxa"/>
        <w:tblLayout w:type="fixed"/>
        <w:tblCellMar>
          <w:top w:w="28" w:type="dxa"/>
          <w:left w:w="28" w:type="dxa"/>
          <w:bottom w:w="28" w:type="dxa"/>
          <w:right w:w="28" w:type="dxa"/>
        </w:tblCellMar>
      </w:tblPr>
      <w:tblGrid>
        <w:gridCol w:w="576"/>
        <w:gridCol w:w="505"/>
        <w:gridCol w:w="509"/>
        <w:gridCol w:w="230"/>
        <w:gridCol w:w="821"/>
        <w:gridCol w:w="119"/>
        <w:gridCol w:w="109"/>
        <w:gridCol w:w="109"/>
        <w:gridCol w:w="109"/>
        <w:gridCol w:w="306"/>
        <w:gridCol w:w="1090"/>
        <w:gridCol w:w="223"/>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15,931 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5,047 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progress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inventory</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38,879 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22,634 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Prepaid Expenses and Other Current Assets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Prepaid expenses and other current assets consist of the following (in thousands):</w:t>
      </w:r>
    </w:p>
    <w:tbl>
      <w:tblPr>
        <w:tblW w:w="7436" w:type="dxa"/>
        <w:jc w:val="left"/>
        <w:tblInd w:w="0" w:type="dxa"/>
        <w:tblLayout w:type="fixed"/>
        <w:tblCellMar>
          <w:top w:w="28" w:type="dxa"/>
          <w:left w:w="28" w:type="dxa"/>
          <w:bottom w:w="28" w:type="dxa"/>
          <w:right w:w="28" w:type="dxa"/>
        </w:tblCellMar>
      </w:tblPr>
      <w:tblGrid>
        <w:gridCol w:w="1565"/>
        <w:gridCol w:w="1373"/>
        <w:gridCol w:w="1382"/>
        <w:gridCol w:w="230"/>
        <w:gridCol w:w="821"/>
        <w:gridCol w:w="119"/>
        <w:gridCol w:w="109"/>
        <w:gridCol w:w="109"/>
        <w:gridCol w:w="109"/>
        <w:gridCol w:w="306"/>
        <w:gridCol w:w="1090"/>
        <w:gridCol w:w="223"/>
      </w:tblGrid>
      <w:tr>
        <w:trPr/>
        <w:tc>
          <w:tcPr>
            <w:tcW w:w="15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co-pay assistance program and rebates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9,485 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clinical trial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prepaid expenses and current assets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prepaid expenses and other current assets</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34,770 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21,079 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Accrued Liabilities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Accrued liabilities consist of the following (in thousands):</w:t>
      </w:r>
    </w:p>
    <w:tbl>
      <w:tblPr>
        <w:tblW w:w="7203" w:type="dxa"/>
        <w:jc w:val="left"/>
        <w:tblInd w:w="0" w:type="dxa"/>
        <w:tblLayout w:type="fixed"/>
        <w:tblCellMar>
          <w:top w:w="28" w:type="dxa"/>
          <w:left w:w="28" w:type="dxa"/>
          <w:bottom w:w="28" w:type="dxa"/>
          <w:right w:w="28" w:type="dxa"/>
        </w:tblCellMar>
      </w:tblPr>
      <w:tblGrid>
        <w:gridCol w:w="1477"/>
        <w:gridCol w:w="1298"/>
        <w:gridCol w:w="1305"/>
        <w:gridCol w:w="211"/>
        <w:gridCol w:w="856"/>
        <w:gridCol w:w="109"/>
        <w:gridCol w:w="109"/>
        <w:gridCol w:w="109"/>
        <w:gridCol w:w="109"/>
        <w:gridCol w:w="280"/>
        <w:gridCol w:w="1136"/>
        <w:gridCol w:w="204"/>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sales deductions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78,308 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Ducentis milestone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116,310 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 xml:space="preserve">6. License Agreements &amp; Ducentis Acquisition </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Sato License Agreement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February 27, 2024, the Company entered into a license agreement with Sato Pharmaceutical Co., Ltd. (Sato). Pursuant to the terms of the license agreement with Sato (the Sato Agreement), the Company grants to Sato an exclusive, sublicensable (under certain circumstances) license under certain patent rights and know-how controlled by the Company for Sato to develop, conduct medical affairs activities for, manufacture, commercialize, and otherwise exploit roflumilast formulations (the Sato Licensed Products) for all therapeutic uses for certain dermatological indications in humans (the Sato Field) in Japan.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Sato Agreement sets forth each party’s respective obligations with respect to the development, medical affairs activities, manufacture, supply, and commercialization of the Sato Licensed Products. Pursuant to the terms of the Sato Agreement, Sato will, at its expense, develop, obtain regulatory approval for, commercialize, and conduct medical affairs activities related to the Sato Licensed Products in the Sato Field in Japan, subject to certain of the Company’s approval and oversight rights. </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Pursuant to the terms of the Sato Agreement, the Company received an upfront payment of $25.0 million and will potentially receive additional payments (i) of up to an aggregate amount of $10.0 million upon the achievement of certain regulatory milestones and (ii) of up to an aggregate amount of $30.0 million upon the achievement of certain sales milestones. In addition, on a Sato Licensed Product-by-Sato Licensed Product basis, commencing from the first commercial sale of such Sato Licensed Product in Japan until the latest of (i) the expiration of the last valid claim in the intellectual property rights licensed by the Company to Sato under the Sato Agreement covering such Sato Licensed Product in Japan, (ii) the expiration of regulatory exclusivity for such Sato Licensed Product in Japan, or (iii) 10 years after the first commercial sale of such Sato Licensed Product in Japan, the Company will receive low double-digit to mid-teen double-digit percentage royalties on Sato’s, its affiliates’ and sublicensees’ total annual net sales of all Sato Licensed Products, subject to certain royalty reductions. </w:t>
      </w:r>
    </w:p>
    <w:p>
      <w:pPr>
        <w:pStyle w:val="TextBody"/>
        <w:bidi w:val="0"/>
        <w:spacing w:lineRule="auto" w:line="268" w:before="160" w:after="283"/>
        <w:ind w:left="0" w:right="0" w:firstLine="720"/>
        <w:jc w:val="both"/>
        <w:rPr/>
      </w:pPr>
      <w:r>
        <w:rPr>
          <w:rFonts w:ascii="Arial;sans-serif" w:hAnsi="Arial;sans-serif"/>
          <w:b w:val="false"/>
          <w:color w:val="000000"/>
          <w:sz w:val="20"/>
        </w:rPr>
        <w:t>The term of the Sato Agreement continues until, on a Sato Licensed Product-by-Sato Licensed Product basis, the expiration of the Royalty Term, which is (i) the expiration of the last valid claim in the licensed technology covering such Sato Licensed Product in Japan, (ii) the expiration of regulatory exclusivity for such Sato Licensed Product in Japan, or (ii</w:t>
      </w:r>
      <w:r>
        <w:rPr>
          <w:rFonts w:ascii="Arial;sans-serif" w:hAnsi="Arial;sans-serif"/>
          <w:b w:val="false"/>
          <w:color w:val="000000"/>
          <w:sz w:val="20"/>
          <w:shd w:fill="FFFFFF" w:val="clear"/>
        </w:rPr>
        <w:t>i) 10 years</w:t>
      </w:r>
      <w:r>
        <w:rPr>
          <w:color w:val="000000"/>
        </w:rPr>
        <w:t xml:space="preserve"> </w:t>
      </w:r>
      <w:r>
        <w:rPr>
          <w:rFonts w:ascii="Arial;sans-serif" w:hAnsi="Arial;sans-serif"/>
          <w:b w:val="false"/>
          <w:color w:val="000000"/>
          <w:sz w:val="20"/>
        </w:rPr>
        <w:t>after the first commercial sale of such Sato Licensed Product in Japan. The Sato Agreement may be terminated by either party in its entirety if the other party commits a material breach, subject to a cure period, or if the other party becomes insolvent. Sato may terminate the Sato Agreement at will in its entirety upon 90 days’ written notice. Unless unenforceable under applicable law, the Company may terminate the Sato Agreement in its entirety if Sato, its affiliate, or sublicensee contests or assists a third party in contesting the scope, validity, or enforceability of any patent or patent application licensed by the Company to Sato. The Company may also terminate the Sato Agreement if Sato or any director, officer, employee, agent, affiliate, sublicensee, or subcontractor is charged by a governmental authority for a violation of any anti-corruption, anti-money laundering, sanctions, or export or import control laws or regulations, or, subject to the terms of the Sato Agreement, if Sato, its affiliates, and sublicensees do not conduct any material development or commercialization activities of a Sato Licensed Product in Japan for a certain period of time.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 revenue was recorded pursuant to the Sato Agreement for the three and six months ended June 30, 2026 and 2025. </w:t>
      </w:r>
    </w:p>
    <w:p>
      <w:pPr>
        <w:pStyle w:val="TextBody"/>
        <w:bidi w:val="0"/>
        <w:spacing w:before="160" w:after="283"/>
        <w:ind w:left="0" w:right="0" w:firstLine="720"/>
        <w:jc w:val="left"/>
        <w:rPr/>
      </w:pPr>
      <w:r>
        <w:rPr/>
      </w:r>
    </w:p>
    <w:p>
      <w:pPr>
        <w:pStyle w:val="TextBody"/>
        <w:bidi w:val="0"/>
        <w:spacing w:before="160" w:after="283"/>
        <w:ind w:left="0" w:right="0" w:firstLine="720"/>
        <w:jc w:val="left"/>
        <w:rPr/>
      </w:pPr>
      <w:r>
        <w:rPr/>
      </w:r>
    </w:p>
    <w:p>
      <w:pPr>
        <w:pStyle w:val="TextBody"/>
        <w:bidi w:val="0"/>
        <w:spacing w:before="160" w:after="283"/>
        <w:ind w:left="0" w:right="0" w:firstLine="720"/>
        <w:jc w:val="left"/>
        <w:rPr/>
      </w:pPr>
      <w:r>
        <w:rPr/>
      </w:r>
    </w:p>
    <w:p>
      <w:pPr>
        <w:pStyle w:val="TextBody"/>
        <w:bidi w:val="0"/>
        <w:spacing w:before="160" w:after="283"/>
        <w:ind w:left="0" w:right="0" w:firstLine="720"/>
        <w:jc w:val="left"/>
        <w:rPr/>
      </w:pPr>
      <w:r>
        <w:rPr/>
      </w:r>
    </w:p>
    <w:p>
      <w:pPr>
        <w:pStyle w:val="TextBody"/>
        <w:bidi w:val="0"/>
        <w:spacing w:before="16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Huadong License Agreement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August 2023, the Company entered into a license agreement with Huadong, a wholly owned subsidiary of Huadong Medicine Co., Ltd. Pursuant to the terms of the agreement, the Company granted to Huadong an exclusive, sublicensable (under certain circumstances) license under certain patent rights and know-how controlled by the Company for Huadong to develop, conduct medical affairs activities for, manufacture, commercialize, and otherwise exploit both cream and foam topical roflumilast for all therapeutic uses for certain dermatological indications (Huadong Licensed Products) in Greater China (mainland China, Hong Kong, Macau, and Taiwan) and Southeast Asia (Indonesia, Singapore, the Philippines, Thailand, Myanmar, Brunei, Cambodia, Laos, Malaysia, and Vietnam) (Huadong Territories).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Huadong will, at its expense, develop, obtain regulatory approval for, commercialize, and conduct medical affairs activities for the Huadong Licensed Products, subject to certain of the Company’s approval and oversight rights. The Company will retain exclusive rights for the development, manufacture, and commercialization of topical roflumilast outside the Huadong Territories.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As consideration for the rights granted under the license agreement with Huadong (the Huadong Agreement), Huadong paid the Company a non-refundable upfront fee pursuant to the terms of the agreement upon closing in September 2023. The Company received a net payment of $27.0 million, which consisted of a $30.0 million upfront payment less the applicable tax withholding obligation in China of $3.0 million. In addition, the Company received a net payment of $2.7 million in March 2024 related to the achievement of a development and regulatory milestone less the applicable tax withholding. The Company received a net payment of $1.8 million in each of December 2024, March 2025, and November 2025, related to the achievement of development and regulatory milestones less the applicable tax withholding. The Company may also potentially receive additional payments: (i) of up to an aggregate amount of $15.0 million upon the achievement of certain development and regulatory milestones, (ii) of up to an aggregate amount of $40.3 million upon the achievement of certain sales milestones, and (iii) low double-digit to high-teen double-digit tiered percentage royalties on net sales of the Huadong Licensed Products, all of which would be subject to applicable tax withholding obligations.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term of the Huadong Agreement continues on a Huadong Licensed Product-by-Huadong Licensed Product and country or region-by-country or region basis, until the expiration of the Royalty Term, which is: (i) the date of expiration of the last valid patent claim related to the Huadong Licensed Products, (ii) ten years after the first commercial sale of a Huadong Licensed Product, and (iii) the expiration of any regulatory exclusivity as to a Huadong Licensed Product. The Huadong Agreement may be terminated by both parties under certain circumstances.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 revenue or income tax expense was recorded pursuant to the Huadong Agreement for the three and six months ended June 30, 2026. For the three and six months ended June 30, 2025, the Company recognized zero and $2.0 million, respectively, other revenue, and zero and $0.2 million, respectively, income tax expense, in each case related to the achievement of a development and regulatory milestone. </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AstraZeneca License Agreement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July 2018, the Company entered into an exclusive license agreement with AstraZeneca AB (AstraZeneca), granting the Company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(collectively, the AZ-Licensed Products), for all diagnostic, prophylactic, and therapeutic uses for human dermatological indications (the Dermatology Field). Under the license agreement with AstraZeneca (the AstraZeneca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third quarter of 2022, the Company paid $7.5 million to AstraZeneca as a result of the approval of ZORYVE cream 0.3%, which was recorded as an intangible asset. In October 2024, the Company paid $5.0 million to AstraZeneca upon achievement of $100.0 million in worldwide net sales, which was recorded as a cumulative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jc w:val="left"/>
        <w:rPr/>
      </w:pPr>
      <w:r>
        <w:rPr>
          <w:rFonts w:ascii="Arial;sans-serif" w:hAnsi="Arial;sans-serif"/>
          <w:b w:val="false"/>
          <w:color w:val="000000"/>
          <w:sz w:val="20"/>
        </w:rPr>
        <w:t>catch-up adjustment to the carrying value of the intangible asset. In May 2025, the Company paid $10.0 million to AstraZeneca upon achievement of $250.0 million in worldwide net sales, which was recorded as a cumulative catch-up adjustment to the carrying value of the intangible asset. The Company is amortizing the intangible asset to cost of sales over its useful life of 10 years from the date of first commercial sale, as this is the minimum amount of time that the related AstraZeneca Agreement will be in effect</w:t>
      </w:r>
      <w:r>
        <w:rPr>
          <w:rFonts w:ascii="Arial;sans-serif" w:hAnsi="Arial;sans-serif"/>
          <w:b w:val="false"/>
          <w:color w:val="000000"/>
          <w:sz w:val="20"/>
          <w:shd w:fill="FFFFFF" w:val="clear"/>
        </w:rPr>
        <w:t>. Amortization expense was $0.6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$1.1 million f</w:t>
      </w:r>
      <w:r>
        <w:rPr>
          <w:rFonts w:ascii="Arial;sans-serif" w:hAnsi="Arial;sans-serif"/>
          <w:b w:val="false"/>
          <w:color w:val="000000"/>
          <w:sz w:val="20"/>
        </w:rPr>
        <w:t xml:space="preserve">or the three and six months ended June 30, 2026, respectively, and </w:t>
      </w:r>
      <w:r>
        <w:rPr>
          <w:rFonts w:ascii="Arial;sans-serif" w:hAnsi="Arial;sans-serif"/>
          <w:b w:val="false"/>
          <w:color w:val="000000"/>
          <w:sz w:val="20"/>
          <w:shd w:fill="FFFFFF" w:val="clear"/>
        </w:rPr>
        <w:t>$0.6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$3.5 million</w:t>
      </w:r>
      <w:r>
        <w:rPr>
          <w:color w:val="000000"/>
        </w:rPr>
        <w:t xml:space="preserve"> </w:t>
      </w:r>
      <w:r>
        <w:rPr>
          <w:rFonts w:ascii="Arial;sans-serif" w:hAnsi="Arial;sans-serif"/>
          <w:b w:val="false"/>
          <w:color w:val="000000"/>
          <w:sz w:val="20"/>
        </w:rPr>
        <w:t>for the three and six months ended June 30, 2025, respectively.</w:t>
      </w:r>
    </w:p>
    <w:p>
      <w:pPr>
        <w:pStyle w:val="TextBody"/>
        <w:bidi w:val="0"/>
        <w:spacing w:lineRule="auto" w:line="268" w:before="160" w:after="283"/>
        <w:ind w:left="0" w:right="0" w:firstLine="720"/>
        <w:jc w:val="left"/>
        <w:rPr/>
      </w:pPr>
      <w:r>
        <w:rPr>
          <w:rFonts w:ascii="Arial;sans-serif" w:hAnsi="Arial;sans-serif"/>
          <w:b w:val="false"/>
          <w:color w:val="000000"/>
          <w:sz w:val="20"/>
        </w:rPr>
        <w:t>The Company has agreed to make additional cash payments to AstraZeneca of up to an aggregate of $5.0 million upon the achievement of specified regulatory approval milestones with respect to the AZ-Licensed Products. With respect to any AZ-Licensed Products the Company commercializes under the AstraZeneca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w:t>
      </w:r>
      <w:r>
        <w:rPr>
          <w:color w:val="000000"/>
          <w:shd w:fill="FFFFFF" w:val="clear"/>
        </w:rPr>
        <w:t xml:space="preserve"> </w:t>
      </w:r>
      <w:r>
        <w:rPr>
          <w:rFonts w:ascii="Arial;sans-serif" w:hAnsi="Arial;sans-serif"/>
          <w:b w:val="false"/>
          <w:color w:val="000000"/>
          <w:sz w:val="20"/>
          <w:shd w:fill="FFFFFF" w:val="clear"/>
        </w:rPr>
        <w:t>10 years</w:t>
      </w:r>
      <w:r>
        <w:rPr>
          <w:color w:val="000000"/>
        </w:rPr>
        <w:t xml:space="preserve"> </w:t>
      </w:r>
      <w:r>
        <w:rPr>
          <w:rFonts w:ascii="Arial;sans-serif" w:hAnsi="Arial;sans-serif"/>
          <w:b w:val="false"/>
          <w:color w:val="000000"/>
          <w:sz w:val="20"/>
        </w:rPr>
        <w:t xml:space="preserve">from the first commercial sale of such AZ-Licensed Product in such country. As a result of the commercialization of ZORYVE in August 2022, the Company began accruing royalties payable to AstraZeneca, which are recorded in cost of sales and accrued and other current liabilities. Royalty expense </w:t>
      </w:r>
      <w:r>
        <w:rPr>
          <w:rFonts w:ascii="Arial;sans-serif" w:hAnsi="Arial;sans-serif"/>
          <w:b w:val="false"/>
          <w:color w:val="000000"/>
          <w:sz w:val="20"/>
          <w:shd w:fill="FFFFFF" w:val="clear"/>
        </w:rPr>
        <w:t>was $3.9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$7.1 million f</w:t>
      </w:r>
      <w:r>
        <w:rPr>
          <w:rFonts w:ascii="Arial;sans-serif" w:hAnsi="Arial;sans-serif"/>
          <w:b w:val="false"/>
          <w:color w:val="000000"/>
          <w:sz w:val="20"/>
        </w:rPr>
        <w:t xml:space="preserve">or the three and six months ended June 30, 2026, respectively, and </w:t>
      </w:r>
      <w:r>
        <w:rPr>
          <w:rFonts w:ascii="Arial;sans-serif" w:hAnsi="Arial;sans-serif"/>
          <w:b w:val="false"/>
          <w:color w:val="000000"/>
          <w:sz w:val="20"/>
          <w:shd w:fill="FFFFFF" w:val="clear"/>
        </w:rPr>
        <w:t>$2.5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$4.4 million</w:t>
      </w:r>
      <w:r>
        <w:rPr>
          <w:color w:val="000000"/>
        </w:rPr>
        <w:t xml:space="preserve"> </w:t>
      </w:r>
      <w:r>
        <w:rPr>
          <w:rFonts w:ascii="Arial;sans-serif" w:hAnsi="Arial;sans-serif"/>
          <w:b w:val="false"/>
          <w:color w:val="000000"/>
          <w:sz w:val="20"/>
        </w:rPr>
        <w:t>for the three and six months ended June 30, 2025, respectively.</w:t>
      </w:r>
    </w:p>
    <w:p>
      <w:pPr>
        <w:pStyle w:val="TextBody"/>
        <w:bidi w:val="0"/>
        <w:spacing w:lineRule="auto" w:line="268" w:before="160" w:after="283"/>
        <w:ind w:left="0" w:right="0" w:firstLine="720"/>
        <w:jc w:val="left"/>
        <w:rPr>
          <w:rFonts w:ascii="Arial;sans-serif" w:hAnsi="Arial;sans-serif"/>
          <w:b/>
          <w:i/>
          <w:color w:val="000000"/>
          <w:sz w:val="20"/>
        </w:rPr>
      </w:pPr>
      <w:r>
        <w:rPr>
          <w:rFonts w:ascii="Arial;sans-serif" w:hAnsi="Arial;sans-serif"/>
          <w:b/>
          <w:i/>
          <w:color w:val="000000"/>
          <w:sz w:val="20"/>
        </w:rPr>
        <w:t>Ducentis Biotherapeutics LTD Acquisition</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September 7, 2022, the Company entered into an agreement with Ducentis Biotherapeutics LTD. (Ducentis) and certain stockholders of Ducentis (the Share Purchase Agreement), pursuant to which the Company acquired all of the outstanding equity interests in Ducentis for (i) 610,258 shares of the Company's common stock, valued at approximately $12.5 million, and $15.9 million in cash, inclusive of liabilities acquired, and (ii) contingent payments of up to an aggregate of $396.0 million, which may become payable upon the achievement of certain development, regulatory, and commercial milestones. In addition, if applicable, the Company will make payments amounting to a mid-single-digit percentage of any annual net sales of certain products exceeding $1.5 billion. </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accounted for this purchase of equity interests in Ducentis as an in-process research and development (IPR&amp;D) asset acquisition, as it has no alternative future use, and recorded a $29.6 million charge to research and development expense on the acquisition date. Any contingent payments made under the Share Purchase Agreement will be recorded when it is probable that they will occur and they can be reasonably estimated, at which point the Company will determine whether the payment should be expensed or capitalized depending on whether the IPR&amp;D has achieved market acceptance. </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Under the terms of the Share Purchase Agreement, the Company will develop and seek FDA approval of a therapeutic product containing ARQ-234 for an atopic dermatitis indication, and if FDA approval of ARQ-234 is obtained by the Company, to commercially launch it in the United States.</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March 2026, the Company initiated a Phase 1a/1b clinical trial of ARQ-234 for the treatment of moderate-to-severe atopic dermatitis. Upon dosing of the first patient in this trial, the Company became obligated to pay a $10.0 million milestone to former stockholders of Ducentis under the terms of the Share Purchase Agreement. The Company paid $0.8 million of this amount in April 2026. The Company issued promissory notes in April 2026 for the remaining $9.2 million owed to the former stockholders of Ducentis pursuant to the Share Purchase Agreement. The promissory notes bear no interest, become payable 12 months from issuance, and are callable by the holders as early as seven months from issuance. The Company recognized the $10.0 million in research and development expense in the first quarter of 2026. After this milestone payment, the Company has $386.0 million of contingent payments remaining that may become payable upon the achievement of certain development, regulatory, and commercial milestones.</w:t>
      </w:r>
    </w:p>
    <w:p>
      <w:pPr>
        <w:pStyle w:val="TextBody"/>
        <w:bidi w:val="0"/>
        <w:spacing w:before="16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7. Commitments and Contingencies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Operating Lease</w:t>
      </w:r>
    </w:p>
    <w:p>
      <w:pPr>
        <w:pStyle w:val="TextBody"/>
        <w:bidi w:val="0"/>
        <w:spacing w:lineRule="auto" w:line="276"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The Company's lease for its corporate headquarters (22,643 square feet of office space) commenced in February 2019 and was amended in April 2020 in order to relocate to a new expanded space. In August 2025, the Company entered into a second amendment to extend the term of the lease by five years, extending the lease expiration from August 2028 to July 2033. This second amendment had a net effect of increasing the Company's future lease payments by approximately $5.4 million, primarily due to the five additional years of rent payments. In accordance with ASC 842, the Company remeasured the present value of the aggregate lease payments over the amended lease term and recorded an increase to the Company’s operating lease liabilities and existing right-of-use lease asset of approximately $2.9 million in the third quarter of 2025 as a result of this remeasurement.</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Manufacturing Agreements</w:t>
      </w:r>
    </w:p>
    <w:p>
      <w:pPr>
        <w:pStyle w:val="TextBody"/>
        <w:bidi w:val="0"/>
        <w:spacing w:lineRule="auto" w:line="276"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In the normal course of business, the Company enters into manufacturing supply agreements for the commercial supply of ZORYVE, which include certain minimum purchase commitments. There have been no material changes to the Company's minimum purchase commitments during the six months ended June 30, 2026.</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Indemnification</w:t>
      </w:r>
    </w:p>
    <w:p>
      <w:pPr>
        <w:pStyle w:val="TextBody"/>
        <w:bidi w:val="0"/>
        <w:spacing w:lineRule="auto" w:line="276"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the provisions of the Company's Bylaws and the Delaware General Corporation Law. The Company currently has directors’ and officers’ insurance coverage that reduces its exposure and enables the Company to recover a portion of any future amounts paid. The Company believes any potential loss exposure under these indemnification agreements in excess of applicable insurance coverage is minimal.</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76"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From time to time, the Company may be involved in legal proceedings, as well as demands, claims, and threatened litigation, which arise in the normal course of business or otherwise. The ultimate outcome of any litigation is uncertain, and unfavorable outcomes could have a negative impact on the Company's results of operations and financial condition. Regardless of outcome, litigation can have an adverse impact on the Company because of the defense costs, the diversion of management resources, and other factors. </w:t>
      </w:r>
    </w:p>
    <w:p>
      <w:pPr>
        <w:pStyle w:val="TextBody"/>
        <w:bidi w:val="0"/>
        <w:spacing w:lineRule="auto" w:line="288" w:before="0" w:after="0"/>
        <w:ind w:left="0" w:right="0" w:firstLine="720"/>
        <w:jc w:val="left"/>
        <w:rPr/>
      </w:pPr>
      <w:r>
        <w:rPr>
          <w:rFonts w:ascii="Arial;sans-serif" w:hAnsi="Arial;sans-serif"/>
          <w:b w:val="false"/>
          <w:color w:val="000000"/>
          <w:sz w:val="20"/>
        </w:rPr>
        <w:t>As of June 30, 2026 and December 31, 2025, the Company determined that no loss contingencies from legal proceedings met the threshold of "probable" and "reasonably estimable", as defined in ASC 450. Accordingly, no material amounts have been accrued related to loss contingencies under ASC 450.</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8. Debt</w:t>
      </w:r>
    </w:p>
    <w:p>
      <w:pPr>
        <w:pStyle w:val="TextBody"/>
        <w:bidi w:val="0"/>
        <w:spacing w:lineRule="auto" w:line="288" w:before="160" w:after="283"/>
        <w:ind w:left="0" w:right="0" w:firstLine="720"/>
        <w:jc w:val="left"/>
        <w:rPr/>
      </w:pPr>
      <w:r>
        <w:rPr>
          <w:rFonts w:ascii="Arial;sans-serif" w:hAnsi="Arial;sans-serif"/>
          <w:b w:val="false"/>
          <w:color w:val="000000"/>
          <w:sz w:val="20"/>
        </w:rPr>
        <w:t>On December 22, 2021, the Company entered into a loan and security agreement (the Prior Loan Agreement) with SLR Investment Corp. (SLR) and the lenders party thereto. The Prior Loan Agreement was amended and restated on January 10, 2023 (the AR Loan Agreement) to include Arcutis Canada, Inc. as a borrower and party. On November 1, 2023, the Company entered into an amendment to the AR Loan Agreement to, among others, (i) modify the financial covenant relating to minimum net product revenue, and (ii) include an additional minimum financing covenant. On August 9, 2024, the Company entered into a second amendment to the AR Loan Agreement (the AR Loan Agreement, as amended by the first and second amendments, the Loan Agreement), which it determined to be a modification, to, among others, (i) permit, during the period commencing on October 7, 2024 and ending on December 15, 2024, an optional partial prepayment of term loans outstanding, subject to a 1.0% prepayment penalty (the 2024 Partial Prepayment), (ii) add the tranche C-1 and tranche C-2 term loans, and (iii) facilitate certain other changes, including with respect to the applicable interest rate and maturity date in the event of a 2024 Partial Prepayment. As security for the obligations under the Loan Agreement, the Company granted SLR, for the benefit of the lenders, a continuing security interest in substantially all of the Company's assets, including its intellectual property, subject to certain exceptions. The term loan facility is comprised of (i) a tranche A term loan of $75.0 million, (ii) a tranche B-1 term loan of $50.0 million, (iii) a tranche B-2 term loan of up to $75.0 million, (iv) a tranche C-1 term loan of up to $50.0 million, and (v) a tranche C-2 term loan of up to $50.0 million (collectively, the Term Loans). The tranche A term loan was funded in December 2021. With the approval of ZORYVE cream 0.3% on July 29, 2022, the tranche B term loans were funded in August 2022. As of June 30, 2026 and December 31, 2025</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 xml:space="preserve">the aggregate principal amount outstanding under the Loan Agreement was $100.0 million. </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On October 8, 2024, the Company made a 2024 Partial Prepayment of $100.0 million, which reduced the aggregate principal amount outstanding under the Loan Agreement to $100.0 million. In connection with the 2024 Partial Prepayment, the Company paid a prepayment penalty of $1.0 million during the three months ended June 30, 2026, and is obligated to pay a final fee of $6.95 million, representing the final fee applicable to the amount of the 2024 Partial Prepayment, on January 4, 2027.</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As a result of such 2024 Partial Prepayment, subject to the Company generating a minimum net product revenue for the trailing six (6) month period ending as of the month prior to the borrowing date equal to 80% of the Company’s projected net product revenue as set forth in its annual plan for the respective period, the Company obtained the ability to draw down the tranche C-1 and tranche C-2 term loans. The tranche C-1 term loan availability expired on March 31, 2026 and the tranche C-2 term loan availability expired on June 30, 2026. Neither tranche was drawn prior to its expiration. In addition, as a result of the 2024 Partial Prepayment, (i) the maturity date of the Loan Agreement is August 1, 2029, (ii) the applicable per annum interest rate is equal to 5.95% plus the greater of (a) 2.50% per annum and (b) the one-month Secured Overnight Financing Rate (SOFR), (iii) the Company is no longer subject to certain cost and purchase price restrictions regarding acquisitions, and (iv) the Company may prepay principal amounts outstanding under the Term Loans in minimum increments of $25.0 million, subject to a prepayment premium of (a) 2.0% for any prepayment made after August 9, 2025 and prior to August 9, 2026 or (b) 1.0% for any prepayment made after August 9, 2026 and prior to the maturity date.</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Principal amounts outstanding under the Term Loans will accrue interest at a floating rate equal to the applicable rate in effect from time to time, as determined by SLR on the third business day prior to the funding date of the applicable Term Loan and on the first business day of the month prior to each payment date of each Term Loan. As a result of the 2024 Partial Prepayment, the applicable interest rate is a per annum interest rate equal to 5.95% plus the greater of (a) 2.50% and (b) the one-month SOFR. On June 30, 2026, the rate was 9.57%. The benchmark SOFR is subject to change in the event of certain events with respect to the benchmark rate. Interest payments are payable monthly following the funding of any Term Loan.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If the Term Loans are accelerated due to, among others, the occurrence of a bankruptcy or insolvency event, the Company is required to make mandatory prepayments of (i) all principal amounts outstanding under the Term Loans, plus accrued and unpaid interest thereon through the prepayment date, (ii) any fees applicable by reason of such prepayment, (iii) the prepayment premiums set forth in the paragraph above, plus (iv) all other obligations that are due and payable, including expenses and interest at the Default Rate (as defined below) with respect to any past due amounts.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Loan Agreement contains customary representations and warranties and customary affirmative and negative covenants, including, among others, requirements as to financial reporting and insurance and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to pay any dividends or other distributions on capital stock other than dividends payable solely in capital stock or to redeem capital stock. The Company also agreed to a financial covenant whereby the Company must generate a minimum net product revenue equal to 75% of its projected net product revenue as set forth in the Company's annual plan for the respective period, tested on a trailing six-month basis, as of the end of each month. Each annual plan shall be approved by the Company’s board of directors and SLR, in its capacity as collateral agent, in its reasonable discretion. Any failure by the Company to deliver such annual plan on or before December 15 of the prior year shall be an immediate event of default. The Company was in compliance with all covenants under the Loan Agreement as of June 30, 2026.</w:t>
      </w:r>
    </w:p>
    <w:p>
      <w:pPr>
        <w:pStyle w:val="TextBody"/>
        <w:bidi w:val="0"/>
        <w:spacing w:lineRule="auto" w:line="268" w:before="160" w:after="283"/>
        <w:ind w:left="0" w:right="0" w:firstLine="720"/>
        <w:jc w:val="left"/>
        <w:rPr/>
      </w:pPr>
      <w:r>
        <w:rPr>
          <w:rFonts w:ascii="Arial;sans-serif" w:hAnsi="Arial;sans-serif"/>
          <w:b w:val="false"/>
          <w:color w:val="000000"/>
          <w:sz w:val="20"/>
        </w:rPr>
        <w:t xml:space="preserve">In addition, the Loan Agreement contains customary events of default that entitle the lenders to cause any indebtedness under the Loan Agreement to become immediately due and payable, and to exercise remedies against the Company and the collateral securing the Term Loans. Under the Loan Agreement, an event of default will occur if, among other things, the Company fails to make payments under the Loan Agreement, the Company breaches any of the covenants under the Loan Agreement, subject to specified cure periods with respect to certain breaches, the lenders determine that a material adverse change has occurred, or the Company or the Company's assets become subject to certain legal proceedings, such as bankruptcy proceedings. Upon the occurrence and for the duration of an event of default, an additional default interest rate equal to 4.0% per annum (Default Rate) will apply to all obligations owed under the Loan Agreement. The prepayment upon default and other potential additional interest provisions under the Loan Agreement were determined to be a compound embedded derivative instrument to be bifurcated from the loan and accounted for as a separate liability for accounting purposes under the guidance in ASC 815, </w:t>
      </w:r>
      <w:r>
        <w:rPr>
          <w:rFonts w:ascii="Arial;sans-serif" w:hAnsi="Arial;sans-serif"/>
          <w:b w:val="false"/>
          <w:i/>
          <w:color w:val="000000"/>
          <w:sz w:val="20"/>
        </w:rPr>
        <w:t>Derivatives and Hedging</w:t>
      </w:r>
      <w:r>
        <w:rPr>
          <w:rFonts w:ascii="Arial;sans-serif" w:hAnsi="Arial;sans-serif"/>
          <w:b w:val="false"/>
          <w:color w:val="000000"/>
          <w:sz w:val="20"/>
        </w:rPr>
        <w:t xml:space="preserve">. At the inception of the Loan Agreement, the fair value of the embedded derivative was determined to be immaterial. The embedded derivative instrument is remeasured at fair value each reporting period with any future changes in fair value reported in other income, net, in the condensed consolidated statement of operations and comprehensive income (loss). The fair value of the embedded derivative as of June 30, 2026 and December 31, 2025 was immaterial and any gains (losses) recognized as a result of the change in fair value during the three and six months ended June 30, 2026 and 2025 were immaterial. </w:t>
      </w:r>
    </w:p>
    <w:p>
      <w:pPr>
        <w:pStyle w:val="TextBody"/>
        <w:bidi w:val="0"/>
        <w:spacing w:lineRule="auto" w:line="288" w:before="160" w:after="283"/>
        <w:ind w:left="0" w:right="0" w:firstLine="720"/>
        <w:jc w:val="left"/>
        <w:rPr/>
      </w:pPr>
      <w:r>
        <w:rPr>
          <w:rFonts w:ascii="sans-serif" w:hAnsi="sans-serif"/>
          <w:b w:val="false"/>
          <w:color w:val="000000"/>
          <w:sz w:val="22"/>
        </w:rPr>
        <w:t>I</w:t>
      </w:r>
      <w:r>
        <w:rPr>
          <w:rFonts w:ascii="Arial;sans-serif" w:hAnsi="Arial;sans-serif"/>
          <w:b w:val="false"/>
          <w:color w:val="000000"/>
          <w:sz w:val="20"/>
        </w:rPr>
        <w:t>n connection with the Loan Agreement, the Company is obligated to pay a final fee equal to 6.95% of the aggregate original principal amount of the Term Loans outstanding as of the date of the second amendment (A) with respect to any 2024 Partial Prepayment, upon the earliest to occur of (a) January 4, 2027, (b) the acceleration of all outstanding Term Loans and (c) the prepayment, or refinancing, substitution or replacement of all outstanding Term Loans, and (B) with respect to the Term Loans outstanding as of the date of the second amendment (other than the 2024 Partial Prepayment), upon the earliest to occur of (a) the maturity date, (b) the acceleration of all outstanding Term Loans and (c) the prepayment, or refinancing, substitution or replacement of all outstanding Term Loans. The Company was also obligated to pay (i) a $1.0 million facility fee with respect to tranche C term loans, which was accrued for in the first quarter of 2026 and paid out in the second quarter of 2026, and (ii) a $1.0 million extension fee with respect to tranche C term loans that remained unfunded after December 31, 2025, which was accrued for and paid out during the period commencing January 1, 2026 and ending on June 30, 2026. Additionally, in connection with the original Prior Loan Agreement, the Company previously had entered into an Exit Fee Agreement, whereby the Company agreed to pay an exit fee in the amount of 3.0% of each Term Loan funded upon (i) any change of control transaction or (ii) a revenue milestone, calculated on a trailing six-month basis. Notwithstanding the prepayment or termination of the Term Loan, the exit fee will expire 10 years from the date of the Loan Agreement.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debt issuance costs have been recorded as a debt discount which are being accreted to interest expense through the maturity date of the term loan. Interest expense is calculated using the effective interest method, and is inclusive of non-cash amortization of debt issuance costs. The final fee of $13.9 million and other fees referenced in the previous paragraph are recognized throughout the life of the term loan and recorded in interest expense. At June 30, 2026 and December 31, 2025, the effective interest rate was 10.71% and 10.92%, respectively. Interest expense relating to the term loan was $3.4 million and $7.8 million for the three and six months ended June 30, 2026, respectively, and $3.0 million and $6.0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summarizes additional information related to the Company's long-term debt (in thousands): </w:t>
      </w:r>
    </w:p>
    <w:tbl>
      <w:tblPr>
        <w:tblW w:w="6153" w:type="dxa"/>
        <w:jc w:val="left"/>
        <w:tblInd w:w="0" w:type="dxa"/>
        <w:tblLayout w:type="fixed"/>
        <w:tblCellMar>
          <w:top w:w="28" w:type="dxa"/>
          <w:left w:w="28" w:type="dxa"/>
          <w:bottom w:w="28" w:type="dxa"/>
          <w:right w:w="28" w:type="dxa"/>
        </w:tblCellMar>
      </w:tblPr>
      <w:tblGrid>
        <w:gridCol w:w="1097"/>
        <w:gridCol w:w="963"/>
        <w:gridCol w:w="970"/>
        <w:gridCol w:w="211"/>
        <w:gridCol w:w="856"/>
        <w:gridCol w:w="109"/>
        <w:gridCol w:w="109"/>
        <w:gridCol w:w="109"/>
        <w:gridCol w:w="109"/>
        <w:gridCol w:w="280"/>
        <w:gridCol w:w="1136"/>
        <w:gridCol w:w="204"/>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debt, gross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final fee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prepayment penalty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Unamortized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carrying value of debt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108,959 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107,959 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Upon the contractual maturity of the Company's long-term debt, a payment of principal and final fees of $107.0 million is due on August 1,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pPr>
      <w:r>
        <w:rPr>
          <w:rFonts w:ascii="Arial;sans-serif" w:hAnsi="Arial;sans-serif"/>
          <w:b/>
          <w:i/>
          <w:color w:val="000000"/>
          <w:sz w:val="20"/>
        </w:rPr>
        <w:t>9. S</w:t>
      </w:r>
      <w:r>
        <w:rPr>
          <w:rFonts w:ascii="Arial;sans-serif" w:hAnsi="Arial;sans-serif"/>
          <w:b/>
          <w:i/>
          <w:color w:val="000000"/>
          <w:sz w:val="20"/>
          <w:shd w:fill="FFFFFF" w:val="clear"/>
        </w:rPr>
        <w:t>tockholders' Equity</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Company's authorized capital stock consists of 310,000,000 shares, all with a par value of $0.0001 per share, of which 300,000,000 shares are designated as common stock and 10,000,000 shares are designated as preferred stock. There were no shares of preferred stock outstanding as of June 30, 2026. </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Equity Offerings</w:t>
      </w:r>
    </w:p>
    <w:p>
      <w:pPr>
        <w:pStyle w:val="TextBody"/>
        <w:bidi w:val="0"/>
        <w:spacing w:lineRule="auto" w:line="288" w:before="160" w:after="283"/>
        <w:ind w:left="0" w:right="0" w:firstLine="720"/>
        <w:jc w:val="left"/>
        <w:rPr/>
      </w:pPr>
      <w:r>
        <w:rPr>
          <w:rFonts w:ascii="Arial;sans-serif" w:hAnsi="Arial;sans-serif"/>
          <w:b w:val="false"/>
          <w:color w:val="000000"/>
          <w:sz w:val="20"/>
        </w:rPr>
        <w:t>In October 2023, the Company completed a public sale of its common stock, receiving aggregate net proceeds of $95.8 million. In addition to the sale of common stock, the Company issued pre-funded warrants to purchase 7,500,000 shares of the Company's common stock at $2.4999 per underlying share of common stock. The pre-funded warrants have an exercise price of $0.0001 per underlying share of common stock, were fully exercisable upon issuance, and have no expiration date. In October 2025, certain pre-funded warrants were exercised, resulting in the issuance of 2,285,000 shares. As of June 30, 2026, pre-funded warrants to purchase</w:t>
      </w:r>
      <w:r>
        <w:rPr>
          <w:color w:val="000000"/>
          <w:shd w:fill="FFFFFF" w:val="clear"/>
        </w:rPr>
        <w:t xml:space="preserve"> </w:t>
      </w:r>
      <w:r>
        <w:rPr>
          <w:rFonts w:ascii="Arial;sans-serif" w:hAnsi="Arial;sans-serif"/>
          <w:b w:val="false"/>
          <w:color w:val="000000"/>
          <w:sz w:val="20"/>
          <w:shd w:fill="FFFFFF" w:val="clear"/>
        </w:rPr>
        <w:t>5,215,000</w:t>
      </w:r>
      <w:r>
        <w:rPr>
          <w:color w:val="000000"/>
        </w:rPr>
        <w:t xml:space="preserve"> </w:t>
      </w:r>
      <w:r>
        <w:rPr>
          <w:rFonts w:ascii="Arial;sans-serif" w:hAnsi="Arial;sans-serif"/>
          <w:b w:val="false"/>
          <w:color w:val="000000"/>
          <w:sz w:val="20"/>
        </w:rPr>
        <w:t>shares of the Company's common stock remained outstanding.</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March 2024, the Company completed a public sale of its common stock, receiving aggregate net proceeds of $161.7 million.</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At-the-Market (ATM) Offerings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On May 6, 2021, the Company entered into a sales agreement (Sales Agreement) with Cowen and Company, LLC (Cowen), under which the Company may from time to time issue and sell shares of its common stock through ATM offerings for an aggregate offering price of up to $100.0 million. Cowen will act as the Company's sales agent for the ATM program and is entitled to compensation for its services up to 3% of the gross proceeds of any shares of common stock sold under the Sales Agreement.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January 2024, the Company amended and restated its Sales Agreement with Cowen to reset the ATM program and provide for the offer and sale of shares of common stock having an aggregate gross offering price of up to $100.0 million. All other terms of the amended and restated Sales Agreement are substantially the same as the original Sales Agreement. The Company has not yet issued or sold any common stock under the amended and restated Sales Agreement.</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Equity Incentive Plans</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December 2021, the Company’s board of directors approved the 2022 Employment Inducement Incentive Plan (2022 Plan). The 2022 Plan initially reserved 1,250,000 shares of common stock available for issuance pursuant to a variety of stock-based compensation awards, including stock options, stock appreciation rights, restricted stock awards, restricted stock units (RSUs), and other stock-based awards. In November 2022 and April 2026, the 2022 Plan reserve was increased by 1,500,000 and 1,200,000 shares, respectively. As of June 30, 2026, the Company had 990,908 shares available for future grant under the 2022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Stock Option Exchange Program</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On January 16, 2024, the Company commenced an offer to certain eligible employees and consultants to exchange certain outstanding eligible options to purchase shares of the Company’s common stock for a lesser number of RSUs pursuant to an option exchange program (the Option Exchange). The Option Exchange expired on February 12, 2024. Pursuant to the Option Exchange, eligible option holders elected to exchange, and the Company accepted for cancellation, eligible options to purchase an aggregate of 5,059,129 shares of the Company’s common stock, representing approximately 98% of the total shares of common stock underlying the eligible options. On February 13, 2024, immediately following the expiration of the Option Exchange, the Company granted 2,129,594 Replacement RSU Awards, pursuant to the terms of the Option Exchange. The Replacement RSU Awards vest based on continued service with the Company over a period of either 1, 2 or 3 years, depending on the grant date of the exchanged options.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exchange of stock options was treated as a modification for accounting purposes, which requires an incremental expense of $8.6 million to be recognized for the Replacement RSU Awards over their new service periods (1 - 3 years). In addition, any unamortized expense remaining on the exchanged options as of the modification will be recognized over their original remaining service period.</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Stock Option Activity</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summarizes option activity:</w:t>
      </w:r>
    </w:p>
    <w:tbl>
      <w:tblPr>
        <w:tblW w:w="9014" w:type="dxa"/>
        <w:jc w:val="left"/>
        <w:tblInd w:w="0" w:type="dxa"/>
        <w:tblLayout w:type="fixed"/>
        <w:tblCellMar>
          <w:top w:w="28" w:type="dxa"/>
          <w:left w:w="28" w:type="dxa"/>
          <w:bottom w:w="28" w:type="dxa"/>
          <w:right w:w="28" w:type="dxa"/>
        </w:tblCellMar>
      </w:tblPr>
      <w:tblGrid>
        <w:gridCol w:w="984"/>
        <w:gridCol w:w="864"/>
        <w:gridCol w:w="867"/>
        <w:gridCol w:w="510"/>
        <w:gridCol w:w="511"/>
        <w:gridCol w:w="316"/>
        <w:gridCol w:w="109"/>
        <w:gridCol w:w="109"/>
        <w:gridCol w:w="109"/>
        <w:gridCol w:w="211"/>
        <w:gridCol w:w="646"/>
        <w:gridCol w:w="109"/>
        <w:gridCol w:w="109"/>
        <w:gridCol w:w="109"/>
        <w:gridCol w:w="109"/>
        <w:gridCol w:w="345"/>
        <w:gridCol w:w="345"/>
        <w:gridCol w:w="346"/>
        <w:gridCol w:w="109"/>
        <w:gridCol w:w="109"/>
        <w:gridCol w:w="109"/>
        <w:gridCol w:w="342"/>
        <w:gridCol w:w="1388"/>
        <w:gridCol w:w="249"/>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Exercise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Remaining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Contractual</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Term</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Intrinsic</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 ($, in thousands)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Balance—December 31, 2025</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6,436,972 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127,945 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1,623,121 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(336,941)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Balance—June 30, 2026</w:t>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7,484,867 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101,667 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Exercisable—June 30, 2026</w:t>
            </w:r>
          </w:p>
        </w:tc>
        <w:tc>
          <w:tcPr>
            <w:tcW w:w="102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3,472,101 </w:t>
            </w:r>
          </w:p>
        </w:tc>
        <w:tc>
          <w:tcPr>
            <w:tcW w:w="3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59,188 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aggregate intrinsic value is calculated as the difference between the exercise price of the options and the fair value of the Company’s common stock as of June 30, 2026. The intrinsic value of options exercised for the six months ended June 30, 2026 and 2025 was $5.7 million and $1.4 million, respectively.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total grant-date fair value of the options vested during the six months ended June 30, 2026 and 2025 was $7.0 million and $4.6 million, respectively. The weighted-average grant-date fair value of options granted during the six months ended June 30, 2026 and 2025 was $17.95 and $9.69, respectively.</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Restricted Stock Unit Activity</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information regarding the Company's RSUs:</w:t>
      </w:r>
    </w:p>
    <w:tbl>
      <w:tblPr>
        <w:tblW w:w="6841" w:type="dxa"/>
        <w:jc w:val="left"/>
        <w:tblInd w:w="0" w:type="dxa"/>
        <w:tblLayout w:type="fixed"/>
        <w:tblCellMar>
          <w:top w:w="28" w:type="dxa"/>
          <w:left w:w="28" w:type="dxa"/>
          <w:bottom w:w="28" w:type="dxa"/>
          <w:right w:w="28" w:type="dxa"/>
        </w:tblCellMar>
      </w:tblPr>
      <w:tblGrid>
        <w:gridCol w:w="1136"/>
        <w:gridCol w:w="997"/>
        <w:gridCol w:w="1001"/>
        <w:gridCol w:w="539"/>
        <w:gridCol w:w="541"/>
        <w:gridCol w:w="471"/>
        <w:gridCol w:w="109"/>
        <w:gridCol w:w="109"/>
        <w:gridCol w:w="109"/>
        <w:gridCol w:w="381"/>
        <w:gridCol w:w="1169"/>
        <w:gridCol w:w="279"/>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Weighted-Average</w:t>
              <w:br/>
              <w:t>Grant Date 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Balance—December 31, 2025</w:t>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6,007,515 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2,320,599 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26.02 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(1,832,747)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(264,917)</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Balance—June 30, 2026</w:t>
            </w:r>
          </w:p>
        </w:tc>
        <w:tc>
          <w:tcPr>
            <w:tcW w:w="10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6,230,450 </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grant date fair value of an RSU equals the closing price of the Company's common stock on the grant date. The total grant-date fair value of the RSUs vested during the six months ended June 30, 2026 and 2025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jc w:val="left"/>
        <w:rPr/>
      </w:pPr>
      <w:r>
        <w:rPr>
          <w:rFonts w:ascii="Arial;sans-serif" w:hAnsi="Arial;sans-serif"/>
          <w:b w:val="false"/>
          <w:color w:val="000000"/>
          <w:sz w:val="20"/>
          <w:shd w:fill="FFFFFF" w:val="clear"/>
        </w:rPr>
        <w:t>$19.3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$14.7 million</w:t>
      </w:r>
      <w:r>
        <w:rPr>
          <w:rFonts w:ascii="Arial;sans-serif" w:hAnsi="Arial;sans-serif"/>
          <w:b w:val="false"/>
          <w:color w:val="000000"/>
          <w:sz w:val="20"/>
        </w:rPr>
        <w:t>, respectively. RSUs generally vest equally over four years, except for those issued in connection with the Option Exchange as previously described.</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60" w:after="283"/>
        <w:ind w:left="0" w:right="0" w:firstLine="720"/>
        <w:jc w:val="left"/>
        <w:rPr/>
      </w:pPr>
      <w:r>
        <w:rPr>
          <w:rFonts w:ascii="Arial;sans-serif" w:hAnsi="Arial;sans-serif"/>
          <w:b w:val="false"/>
          <w:color w:val="000000"/>
          <w:sz w:val="20"/>
        </w:rPr>
        <w:t>Stock-based compensation expense included in the condensed consolidated</w:t>
      </w:r>
      <w:r>
        <w:rPr>
          <w:color w:val="000000"/>
        </w:rPr>
        <w:t xml:space="preserve"> </w:t>
      </w:r>
      <w:r>
        <w:rPr>
          <w:rFonts w:ascii="Arial;sans-serif" w:hAnsi="Arial;sans-serif"/>
          <w:b w:val="false"/>
          <w:color w:val="000000"/>
          <w:sz w:val="20"/>
        </w:rPr>
        <w:t>statements of operations and comprehensive income (loss) was as follows (in thousands):</w:t>
      </w:r>
    </w:p>
    <w:tbl>
      <w:tblPr>
        <w:tblW w:w="9060" w:type="dxa"/>
        <w:jc w:val="left"/>
        <w:tblInd w:w="0" w:type="dxa"/>
        <w:tblLayout w:type="fixed"/>
        <w:tblCellMar>
          <w:top w:w="28" w:type="dxa"/>
          <w:left w:w="28" w:type="dxa"/>
          <w:bottom w:w="28" w:type="dxa"/>
          <w:right w:w="28" w:type="dxa"/>
        </w:tblCellMar>
      </w:tblPr>
      <w:tblGrid>
        <w:gridCol w:w="1359"/>
        <w:gridCol w:w="1194"/>
        <w:gridCol w:w="1197"/>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there was $44.0 million of total unrecognized compensation cost related to unvested options that are expected to vest, which is expected to be recognized over a weighted-average period of 3 years. As of June 30, 2026, there was $89.5 million of total unrecognized compensation cost related to RSUs that are expected to vest, which is expected to be recognized over a weighted-average period of 3.2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10. Earnings (Loss) Per Share</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Basic earnings (loss) per share is calculated by dividing net income (loss) by the weighted-average common shares outstanding. Diluted net earnings per share is computed by dividing net income (loss) by the weighted-average number of common share equivalents outstanding for the period determined using the treasury-stock method. Pre-funded warrants to purchase 5,215,000 shares of the Company's common stock for the three and six months ended June 30, 2026, and 7,500,000 shares of the Company's common stock for the three and six months ended June 30, 2025, were included in the weighted-average common shares outstanding used in calculating basic and diluted net income (loss) per share, as the exercise price of the pre-funded warrants is negligible and the pre-funded warrants are fully vested and exercisable.</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is a reconciliation of the share amounts used in calculating basic and diluted earnings (loss) per share:</w:t>
      </w:r>
    </w:p>
    <w:tbl>
      <w:tblPr>
        <w:tblW w:w="10205" w:type="dxa"/>
        <w:jc w:val="left"/>
        <w:tblInd w:w="0" w:type="dxa"/>
        <w:tblLayout w:type="fixed"/>
        <w:tblCellMar>
          <w:top w:w="28" w:type="dxa"/>
          <w:left w:w="28" w:type="dxa"/>
          <w:bottom w:w="28" w:type="dxa"/>
          <w:right w:w="28" w:type="dxa"/>
        </w:tblCellMar>
      </w:tblPr>
      <w:tblGrid>
        <w:gridCol w:w="1136"/>
        <w:gridCol w:w="998"/>
        <w:gridCol w:w="1002"/>
        <w:gridCol w:w="855"/>
        <w:gridCol w:w="376"/>
        <w:gridCol w:w="181"/>
        <w:gridCol w:w="181"/>
        <w:gridCol w:w="181"/>
        <w:gridCol w:w="181"/>
        <w:gridCol w:w="855"/>
        <w:gridCol w:w="376"/>
        <w:gridCol w:w="181"/>
        <w:gridCol w:w="109"/>
        <w:gridCol w:w="109"/>
        <w:gridCol w:w="109"/>
        <w:gridCol w:w="837"/>
        <w:gridCol w:w="394"/>
        <w:gridCol w:w="168"/>
        <w:gridCol w:w="168"/>
        <w:gridCol w:w="168"/>
        <w:gridCol w:w="168"/>
        <w:gridCol w:w="837"/>
        <w:gridCol w:w="394"/>
        <w:gridCol w:w="241"/>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Weighted-average common shares outstanding - Basic</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130,522,399 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126,997,384 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129,947,615 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126,519,777 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5,375,847 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6,003,245 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Weighted-average common shares outstanding - Diluted</w:t>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135,898,246 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126,997,384 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135,950,860 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126,519,777 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The Company's potential dilutive securities include unvested RSUs and unvested performance-based RSUs for which established performance criteria have been achieved as of the end of the respective periods, vested and unvested options to purchase common stock, and shares to be issued under the Company's employee stock purchase plan (ESPP). Certain of these potential dilutive securities have been excluded from the calculation of diluted net income (loss) per common share as the effect would be anti-dilutive.</w:t>
      </w:r>
    </w:p>
    <w:p>
      <w:pPr>
        <w:pStyle w:val="TextBody"/>
        <w:bidi w:val="0"/>
        <w:spacing w:lineRule="auto" w:line="288" w:before="160" w:after="16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outstanding potentially dilutive shares have been excluded from the calculation of diluted net income (loss) per share for the periods presented due to their antidilutive effect:</w:t>
      </w:r>
    </w:p>
    <w:tbl>
      <w:tblPr>
        <w:tblW w:w="10205" w:type="dxa"/>
        <w:jc w:val="left"/>
        <w:tblInd w:w="0" w:type="dxa"/>
        <w:tblLayout w:type="fixed"/>
        <w:tblCellMar>
          <w:top w:w="28" w:type="dxa"/>
          <w:left w:w="28" w:type="dxa"/>
          <w:bottom w:w="28" w:type="dxa"/>
          <w:right w:w="28" w:type="dxa"/>
        </w:tblCellMar>
      </w:tblPr>
      <w:tblGrid>
        <w:gridCol w:w="1160"/>
        <w:gridCol w:w="1017"/>
        <w:gridCol w:w="1023"/>
        <w:gridCol w:w="709"/>
        <w:gridCol w:w="312"/>
        <w:gridCol w:w="241"/>
        <w:gridCol w:w="241"/>
        <w:gridCol w:w="241"/>
        <w:gridCol w:w="241"/>
        <w:gridCol w:w="781"/>
        <w:gridCol w:w="345"/>
        <w:gridCol w:w="241"/>
        <w:gridCol w:w="109"/>
        <w:gridCol w:w="109"/>
        <w:gridCol w:w="109"/>
        <w:gridCol w:w="694"/>
        <w:gridCol w:w="327"/>
        <w:gridCol w:w="217"/>
        <w:gridCol w:w="217"/>
        <w:gridCol w:w="217"/>
        <w:gridCol w:w="217"/>
        <w:gridCol w:w="765"/>
        <w:gridCol w:w="361"/>
        <w:gridCol w:w="311"/>
      </w:tblGrid>
      <w:tr>
        <w:trPr/>
        <w:tc>
          <w:tcPr>
            <w:tcW w:w="11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to purchase common stock</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1,911,509 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6,922,441 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1,882,027 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6,922,441 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 subject to future vesting</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6,582,460 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1,696,226 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6,582,460 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ESPP shares subject to future issuance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82,243 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3,979,861 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13,527,380 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3,660,496 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13,527,380 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ARCUTIS BIOTHERAPEUTICS,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11. Segment Reporting</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The Company has one reportable segment relating to the development and commercialization of treatments for dermatological diseases. The Company’s Chief Operating Decision Maker (the CODM) is its Chief Executive Officer. The CODM evaluates financial information on a consolidated basis for the purposes of allocating resources and assessing performance. Substantially all of the Company's assets are located in the United States.</w:t>
      </w:r>
    </w:p>
    <w:p>
      <w:pPr>
        <w:pStyle w:val="TextBody"/>
        <w:bidi w:val="0"/>
        <w:spacing w:lineRule="auto" w:line="288" w:before="160" w:after="160"/>
        <w:ind w:left="0" w:right="0" w:firstLine="720"/>
        <w:jc w:val="left"/>
        <w:rPr>
          <w:rFonts w:ascii="Arial;sans-serif" w:hAnsi="Arial;sans-serif"/>
          <w:b w:val="false"/>
          <w:color w:val="000000"/>
          <w:sz w:val="20"/>
        </w:rPr>
      </w:pPr>
      <w:r>
        <w:rPr>
          <w:rFonts w:ascii="Arial;sans-serif" w:hAnsi="Arial;sans-serif"/>
          <w:b w:val="false"/>
          <w:color w:val="000000"/>
          <w:sz w:val="20"/>
        </w:rPr>
        <w:t>The table below is a summary of the segment profit or loss, including significant segment expenses (in thousands):</w:t>
      </w:r>
    </w:p>
    <w:tbl>
      <w:tblPr>
        <w:tblW w:w="10205" w:type="dxa"/>
        <w:jc w:val="left"/>
        <w:tblInd w:w="0" w:type="dxa"/>
        <w:tblLayout w:type="fixed"/>
        <w:tblCellMar>
          <w:top w:w="28" w:type="dxa"/>
          <w:left w:w="28" w:type="dxa"/>
          <w:bottom w:w="28" w:type="dxa"/>
          <w:right w:w="28" w:type="dxa"/>
        </w:tblCellMar>
      </w:tblPr>
      <w:tblGrid>
        <w:gridCol w:w="1827"/>
        <w:gridCol w:w="1354"/>
        <w:gridCol w:w="1362"/>
        <w:gridCol w:w="211"/>
        <w:gridCol w:w="856"/>
        <w:gridCol w:w="109"/>
        <w:gridCol w:w="109"/>
        <w:gridCol w:w="109"/>
        <w:gridCol w:w="109"/>
        <w:gridCol w:w="211"/>
        <w:gridCol w:w="786"/>
        <w:gridCol w:w="109"/>
        <w:gridCol w:w="109"/>
        <w:gridCol w:w="109"/>
        <w:gridCol w:w="109"/>
        <w:gridCol w:w="211"/>
        <w:gridCol w:w="856"/>
        <w:gridCol w:w="109"/>
        <w:gridCol w:w="109"/>
        <w:gridCol w:w="109"/>
        <w:gridCol w:w="109"/>
        <w:gridCol w:w="211"/>
        <w:gridCol w:w="856"/>
        <w:gridCol w:w="156"/>
      </w:tblGrid>
      <w:tr>
        <w:trPr/>
        <w:tc>
          <w:tcPr>
            <w:tcW w:w="182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Topical roflumilast program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ARQ-234 program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program costs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compensation and personnel-related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segment expenses</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186,490 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(39,140)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and consolidated 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(40,946)</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16"/>
        </w:rPr>
      </w:pPr>
      <w:r>
        <w:rPr>
          <w:rFonts w:ascii="Arial;sans-serif" w:hAnsi="Arial;sans-serif"/>
          <w:b w:val="false"/>
          <w:color w:val="000000"/>
          <w:sz w:val="16"/>
        </w:rPr>
        <w:t xml:space="preserve">(1) Other segment expenses include professional services related to research and development, medical affairs, depreciation and amortization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pPr>
      <w:r>
        <w:rPr>
          <w:rFonts w:ascii="Arial;sans-serif" w:hAnsi="Arial;sans-serif"/>
          <w:b w:val="false"/>
          <w:i/>
          <w:color w:val="000000"/>
          <w:sz w:val="20"/>
        </w:rPr>
        <w:t xml:space="preserve">The following discussion and analysis of our financial condition and results of operations should be read together with our unaudited condensed </w:t>
      </w:r>
      <w:r>
        <w:rPr>
          <w:rFonts w:ascii="Arial;sans-serif" w:hAnsi="Arial;sans-serif"/>
          <w:b w:val="false"/>
          <w:color w:val="000000"/>
          <w:sz w:val="20"/>
        </w:rPr>
        <w:t>consolidated</w:t>
      </w:r>
      <w:r>
        <w:rPr>
          <w:color w:val="000000"/>
        </w:rPr>
        <w:t xml:space="preserve"> </w:t>
      </w:r>
      <w:r>
        <w:rPr>
          <w:rFonts w:ascii="Arial;sans-serif" w:hAnsi="Arial;sans-serif"/>
          <w:b w:val="false"/>
          <w:i/>
          <w:color w:val="000000"/>
          <w:sz w:val="20"/>
        </w:rPr>
        <w:t>financial statements and related notes appearing elsewhere in this Quarterly Report on Form 10-Q, and the audited financial statements and notes thereto as of and for the year ended December 31, 2025 and the related Management's Discussion and Analysis of Financial Condition and Results of Operations, both of which are contained in our Annual Report on Form 10-K for the year ended December 31, 2025, which has been filed with the Securities and Exchange Commission (SEC). Some of the information contained in this discussion and analysis or set forth elsewhere in this Quarterly Report on Form 10-Q, including information with respect to our plans, objectives, expectations, projections, and strategy for our business, includes forward-looking statements that involve risks and uncertainties.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As a result of many factors, including those factors identified below and those set forth in the “Risk Factors” section of our Annual Report on Form 10-K, our actual results and the timing of selected events could differ materially from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a commercial-stage biopharmaceutical company focused on developing and commercializing treatments for dermatological diseases with high unmet medical needs. Our current portfolio is comprised of highly differentiated topical and systemic treatments with significant potential to treat immune-mediated dermatological diseases and conditions. We believe we have built a leading platform for dermatologic product development and commercialization. Our strategy is to focus on validated biological targets and to use our drug development platform and deep dermatology expertise to develop and commercialize differentiated products that have the potential to address major shortcomings of existing therapies in our targeted indications. We believe this strategy uniquely positions us to rapidly advance our goal of bridging the treatment innovation gap in dermatology, while maximizing our probability of technical success and efficient use of financial resources. </w:t>
      </w:r>
    </w:p>
    <w:p>
      <w:pPr>
        <w:pStyle w:val="TextBody"/>
        <w:bidi w:val="0"/>
        <w:spacing w:lineRule="auto" w:line="288" w:before="160" w:after="283"/>
        <w:ind w:left="0" w:right="0" w:firstLine="720"/>
        <w:jc w:val="left"/>
        <w:rPr/>
      </w:pPr>
      <w:r>
        <w:rPr>
          <w:rFonts w:ascii="Arial;sans-serif" w:hAnsi="Arial;sans-serif"/>
          <w:b w:val="false"/>
          <w:color w:val="000000"/>
          <w:sz w:val="20"/>
        </w:rPr>
        <w:t>We launched our lead product, ZORYVE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(roflumilast) cream 0.3% (ZORYVE cream 0.3%), in August 2022 after obtaining our initial U.S. Food and Drug Administration (FDA) approval for the treatment of plaque psoriasis, including psoriasis in the intertriginous areas (e.g., groin or axillae), in individuals 12 years of age or older. ZORYVE cream 0.3% is a once-daily topical formulation of roflumilast, a highly potent and selective phosphodiesterase-4 (PDE4) inhibitor. ZORYVE cream 0.3% is approved for once-daily topical treatment of mild, moderate, and severe plaque psoriasis with no limitations on location or duration of use. We received FDA approvals for expanded indications in plaque psoriasis down to 6 years of age and subsequently down to 2 years of age in October 2023 and June 2026, respectively. In June 2023, we achieved our first commercial launch outside of the United States following Health Canada approval of ZORYVE cream 0.3% for the treatment of plaque psoriasis in individuals 12 years of age or older. In February 2026, Health Canada accepted for review our Supplement to a New Drug Submission (SNDS) for ZORYVE cream 0.3% for individuals down to 2 years of age.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December 2023, we received FDA approval for ZORYVE foam 0.3% (ZORYVE foam) for the treatment of seborrheic dermatitis in individuals aged 9 years and older, with no limitation on severity, location, or duration of use. ZORYVE foam is a once-daily steroid-free foam and, as a PDE4 inhibitor, was the first drug approved for the treatment of seborrheic dermatitis with a new mechanism of action in over two decades. ZORYVE foam became commercially available in the United States in January 2024 and in Canada in November 2024. We also received FDA approval for ZORYVE foam for the treatment of plaque psoriasis of the scalp and body in adults and adolescents aged 12 and older, which was commercially launched in the United States in June 2025 and in Canada in November 2025. We have completed enrollment in a Maximum Usage Systemic Exposure (MUSE) trial for ZORYVE foam in children aged 2 to 11 years old with plaque psoriasis of the scalp and body, which we believe could be sufficient basis for an expansion of the indication of this product in the future.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also received FDA approval for, and commercially launched, ZORYVE cream 0.15% in July 2024 for the topical treatment of mild to moderate atopic dermatitis in adults and pediatric patients 6 years and older, with no limitation on location, body surface area treated, concomitant use, or duration of use specified in the approved labeling. ZORYVE cream 0.15% was also commercially launched in Canada in April 2025. We also received FDA approval for, and commercially launched, ZORYVE cream 0.05% for the topical treatment of mild to moderate atopic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dermatitis in children 2 to 5 years of age in October 2025. In October 2025, Health Canada accepted for review our SNDS for ZORYVE cream 0.05% for the topical treatment of mild to moderate atopic dermatitis in children 2 to 5 years old. In February 2026, we announced positive top-line data for INTEGUMENT-INFANT, a Phase 2 study evaluating the safety and efficacy of investigational ZORYVE cream 0.05% in infants as young as 3 months to less than 2 years of age with atopic dermatitis. We submitted a Supplemental New Drug Application (sNDA) to the FDA based on the results of this trial to potentially expand the indication for ZORYVE cream 0.05% for the treatment of infants with atopic dermatitis down to the age of 3 months, which has been assigned a Prescription Drug User Fee Act (PDUFA) target action date of February 23, 2027. ZORYVE cream 0.15% and ZORYVE cream 0.05% are once-daily, steroid-free creams that provide rapid disease clearance and significant reduction in itch and have been specifically developed to be treatment options for long-term disease control.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July 2024, we entered into a promotion agreement with Kowa Pharmaceuticals America, Inc. (Kowa) to leverage Kowa's primary care sales force to exclusively market and promote ZORYVE in the United States to primary care practitioners and pediatricians for all FDA-approved indications until at least July 2029. Under the terms of the agreement, Kowa received a commission from net sales attributed to Kowa. Promotion of ZORYVE in primary care and pediatrics under the Kowa agreement began in late September 2024. Effective January 23, 2026, we mutually agreed to terminate the promotion agreement. Following this termination, Kowa ceased all sales and promotions of ZORYVE, and we will not be required to make any further payments to Kowa. We have now assumed all responsibility for promotion of ZORYVE to primary care practitioners and pediatricians in the United States, and has built a dedicated commercial team to execute those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August 2023, we entered into a strategic collaboration and licensing agreement (the Huadong Agreement) for topical roflumilast in Greater China and Southeast Asia with Hangzhou Zhongmei Huadong Pharmaceutical Co., Ltd. (Huadong), a wholly owned subsidiary of Huadong Medicine Co., Ltd. In February 2024, we entered into a strategic collaboration and licensing agreement (the Sato Agreement) for topical roflumilast in Japan with Sato Pharmaceutical Co., Ltd. (Sato).</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September 2022, we acquired Ducentis BioTherapeutics LTD. (Ducentis) and its lead asset, DS-234 (now ARQ-234), a fusion protein that is a potent and highly selective checkpoint agonist of the CD200 receptor (CD200R). We are developing ARQ-234 for moderate to severe atopic dermatitis, where we believe it could be a highly complementary biologic treatment option to ZORYVE cream 0.15% in that indication, if approved. ARQ-234 could potentially be used to treat other inflammatory conditions as well. In March 2026, the first participant was enrolled in our Phase 1a/1b clinical study evaluating the safety and tolerability of ARQ-234.</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July 2018, we executed a licensing agreement with AstraZeneca AB (AstraZeneca) for exclusive worldwide rights to roflumilast as a topical product for use in humans solely for dermatological indications. Moreover, we have our own intellectual property portfolio around topical uses of roflumilast, with issued and pending formulation, pharmacokinetic, and method-of-use patents in the United States and other jurisdictions from several distinct patent families, which provides us with exclusivity in the United States for our product cream formulation through 2037 and foam formulation through 2042.</w:t>
      </w:r>
    </w:p>
    <w:p>
      <w:pPr>
        <w:pStyle w:val="TextBody"/>
        <w:bidi w:val="0"/>
        <w:spacing w:lineRule="auto" w:line="268" w:before="160" w:after="283"/>
        <w:ind w:left="0" w:right="0" w:firstLine="720"/>
        <w:jc w:val="left"/>
        <w:rPr/>
      </w:pPr>
      <w:r>
        <w:rPr>
          <w:rFonts w:ascii="Arial;sans-serif" w:hAnsi="Arial;sans-serif"/>
          <w:b w:val="false"/>
          <w:color w:val="000000"/>
          <w:sz w:val="20"/>
          <w:shd w:fill="FFFFFF" w:val="clear"/>
        </w:rPr>
        <w:t xml:space="preserve">We have incurred annual net losses in each year since inception. We had a net income of $3.7 million and a net </w:t>
      </w:r>
      <w:r>
        <w:rPr>
          <w:rFonts w:ascii="Arial;sans-serif" w:hAnsi="Arial;sans-serif"/>
          <w:b w:val="false"/>
          <w:color w:val="000000"/>
          <w:sz w:val="20"/>
        </w:rPr>
        <w:t xml:space="preserve">loss of $40.9 million for the six months ended June 30, 2026 and 2025, respectively. As of June 30, 2026, we had an accumulated deficit of $1,134.4 million, cash, cash equivalents, restricted cash, and marketable securities of $238.9 million, and $100.0 million outstanding under a loan and security agreement, as amended, with SLR Investment Corp. (SLR) and the lenders party thereto.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While we have generated net income for certain recent fiscal quarters, the extent of any net income or losses for future periods is uncertain, and we may continue to incur net losses in future periods. We expect to continue to incur significant expenses as we commercialize ZORYVE and as we advance our product candidates and label extensions through clinical trials, regulatory submissions, and potentially commercialization. We expect to incur commercialization expenses related to the sales, marketing, manufacturing, and distribution of ZORYVE, while we focus our clinical development spending on ARQ-234 and ZORYVE label expansions. While we do not anticipate the need to obtain funds through financings or other sources to support our current planned operations, if our available cash and marketable securities balances, amounts available under financing arrangements, and anticipated future cash flows from operations are insufficient to cover these expenses, we may need to fund our operations through equity or debt financings or other sources, such as potential future collaboration agreements. Adequate funding may not be available to us on acceptable terms, or at all. Any failure to obtain sufficient funds on acceptable terms if or when needed could have a material adverse effect on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do not own or independently operate any manufacturing facilities, and currently have no plans to establish any such facilities. We rely on third parties to conduct our nonclinical studies and clinical trials, as well as for the manufacturing and supply of our product candidates and for the commercial supply of our products. Many of these suppliers that we rely on are single-source suppliers.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Product Revenue, Net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August 2022, in conjunction with the launch of our first FDA-approved product, we began to recognize revenue from product sales, net of deductions. Below are the time periods in which we began to recognize product revenue, net of deductions, related to the launches of each of our products and indications:</w:t>
      </w:r>
    </w:p>
    <w:tbl>
      <w:tblPr>
        <w:tblW w:w="10205" w:type="dxa"/>
        <w:jc w:val="left"/>
        <w:tblInd w:w="0" w:type="dxa"/>
        <w:tblLayout w:type="fixed"/>
        <w:tblCellMar>
          <w:top w:w="28" w:type="dxa"/>
          <w:left w:w="28" w:type="dxa"/>
          <w:bottom w:w="28" w:type="dxa"/>
          <w:right w:w="28" w:type="dxa"/>
        </w:tblCellMar>
      </w:tblPr>
      <w:tblGrid>
        <w:gridCol w:w="1245"/>
        <w:gridCol w:w="1094"/>
        <w:gridCol w:w="1101"/>
        <w:gridCol w:w="440"/>
        <w:gridCol w:w="440"/>
        <w:gridCol w:w="441"/>
        <w:gridCol w:w="254"/>
        <w:gridCol w:w="254"/>
        <w:gridCol w:w="258"/>
        <w:gridCol w:w="251"/>
        <w:gridCol w:w="251"/>
        <w:gridCol w:w="253"/>
        <w:gridCol w:w="224"/>
        <w:gridCol w:w="224"/>
        <w:gridCol w:w="228"/>
        <w:gridCol w:w="249"/>
        <w:gridCol w:w="249"/>
        <w:gridCol w:w="253"/>
        <w:gridCol w:w="318"/>
        <w:gridCol w:w="318"/>
        <w:gridCol w:w="325"/>
        <w:gridCol w:w="318"/>
        <w:gridCol w:w="318"/>
        <w:gridCol w:w="325"/>
        <w:gridCol w:w="167"/>
        <w:gridCol w:w="167"/>
        <w:gridCol w:w="240"/>
      </w:tblGrid>
      <w:tr>
        <w:trPr/>
        <w:tc>
          <w:tcPr>
            <w:tcW w:w="124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Product/Indication</w:t>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Concentration</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Region</w:t>
            </w:r>
          </w:p>
        </w:tc>
        <w:tc>
          <w:tcPr>
            <w:tcW w:w="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Age</w:t>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74" w:type="dxa"/>
            <w:gridSpan w:val="3"/>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r>
      <w:tr>
        <w:trPr/>
        <w:tc>
          <w:tcPr>
            <w:tcW w:w="3440" w:type="dxa"/>
            <w:gridSpan w:val="3"/>
            <w:vMerge w:val="restart"/>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pPr>
            <w:r>
              <w:rPr>
                <w:rFonts w:ascii="Arial;sans-serif" w:hAnsi="Arial;sans-serif"/>
                <w:b w:val="false"/>
                <w:sz w:val="18"/>
              </w:rPr>
              <w:br/>
            </w:r>
            <w:r>
              <w:rPr>
                <w:rFonts w:ascii="Arial;sans-serif" w:hAnsi="Arial;sans-serif"/>
                <w:b w:val="false"/>
                <w:color w:val="000000"/>
                <w:sz w:val="18"/>
              </w:rPr>
              <w:t>ZORYVE cream for Plaque Psoriasis</w:t>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u w:val="single"/>
              </w:rPr>
              <w:t>&gt;</w:t>
            </w:r>
            <w:r>
              <w:rPr>
                <w:color w:val="000000"/>
              </w:rPr>
              <w:t xml:space="preserve"> </w:t>
            </w:r>
            <w:r>
              <w:rPr>
                <w:rFonts w:ascii="Arial;sans-serif" w:hAnsi="Arial;sans-serif"/>
                <w:b w:val="false"/>
                <w:color w:val="000000"/>
                <w:sz w:val="18"/>
              </w:rPr>
              <w:t>12 yrs</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4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u w:val="single"/>
              </w:rPr>
              <w:t>&gt;</w:t>
            </w:r>
            <w:r>
              <w:rPr>
                <w:color w:val="000000"/>
              </w:rPr>
              <w:t xml:space="preserve"> </w:t>
            </w:r>
            <w:r>
              <w:rPr>
                <w:rFonts w:ascii="Arial;sans-serif" w:hAnsi="Arial;sans-serif"/>
                <w:b w:val="false"/>
                <w:color w:val="000000"/>
                <w:sz w:val="18"/>
              </w:rPr>
              <w:t>12 yrs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4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6-11 yrs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4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 yrs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w:t>
            </w:r>
          </w:p>
        </w:tc>
      </w:tr>
      <w:tr>
        <w:trPr/>
        <w:tc>
          <w:tcPr>
            <w:tcW w:w="3440" w:type="dxa"/>
            <w:gridSpan w:val="3"/>
            <w:vMerge w:val="restart"/>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ZORYVE foam for Seborrheic Dermatitis</w:t>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u w:val="single"/>
              </w:rPr>
              <w:t>&gt;</w:t>
            </w:r>
            <w:r>
              <w:rPr>
                <w:color w:val="000000"/>
              </w:rPr>
              <w:t xml:space="preserve"> </w:t>
            </w:r>
            <w:r>
              <w:rPr>
                <w:rFonts w:ascii="Arial;sans-serif" w:hAnsi="Arial;sans-serif"/>
                <w:b w:val="false"/>
                <w:color w:val="000000"/>
                <w:sz w:val="18"/>
              </w:rPr>
              <w:t>9 yrs</w:t>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40" w:type="dxa"/>
            <w:gridSpan w:val="3"/>
            <w:vMerge w:val="continue"/>
            <w:tcBorders>
              <w:left w:val="single" w:sz="8" w:space="0" w:color="000000"/>
              <w:bottom w:val="single" w:sz="8" w:space="0" w:color="000000"/>
            </w:tcBorders>
            <w:shd w:fill="CCEEFF" w:val="clear"/>
            <w:tcMar>
              <w:top w:w="0" w:type="dxa"/>
              <w:bottom w:w="30" w:type="dxa"/>
              <w:right w:w="0" w:type="dxa"/>
            </w:tcMar>
            <w:vAlign w:val="center"/>
          </w:tcPr>
          <w:p>
            <w:pPr>
              <w:pStyle w:val="Normal"/>
              <w:bidi w:val="0"/>
              <w:jc w:val="left"/>
              <w:rPr/>
            </w:pPr>
            <w:r>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u w:val="single"/>
              </w:rPr>
              <w:t>&gt;</w:t>
            </w:r>
            <w:r>
              <w:rPr>
                <w:color w:val="000000"/>
              </w:rPr>
              <w:t xml:space="preserve"> </w:t>
            </w:r>
            <w:r>
              <w:rPr>
                <w:rFonts w:ascii="Arial;sans-serif" w:hAnsi="Arial;sans-serif"/>
                <w:b w:val="false"/>
                <w:color w:val="000000"/>
                <w:sz w:val="18"/>
              </w:rPr>
              <w:t>9 yrs</w:t>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40"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ZORYVE cream for Atopic Dermatitis</w:t>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0.15%</w:t>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u w:val="single"/>
              </w:rPr>
              <w:t>&gt;</w:t>
            </w:r>
            <w:r>
              <w:rPr>
                <w:color w:val="000000"/>
              </w:rPr>
              <w:t xml:space="preserve"> </w:t>
            </w:r>
            <w:r>
              <w:rPr>
                <w:rFonts w:ascii="Arial;sans-serif" w:hAnsi="Arial;sans-serif"/>
                <w:b w:val="false"/>
                <w:color w:val="000000"/>
                <w:sz w:val="18"/>
              </w:rPr>
              <w:t>6 yrs</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w:t>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4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0.15%</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u w:val="single"/>
              </w:rPr>
              <w:t>&gt;</w:t>
            </w:r>
            <w:r>
              <w:rPr>
                <w:color w:val="000000"/>
              </w:rPr>
              <w:t xml:space="preserve"> </w:t>
            </w:r>
            <w:r>
              <w:rPr>
                <w:rFonts w:ascii="Arial;sans-serif" w:hAnsi="Arial;sans-serif"/>
                <w:b w:val="false"/>
                <w:color w:val="000000"/>
                <w:sz w:val="18"/>
              </w:rPr>
              <w:t>6 yrs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w:t>
            </w:r>
          </w:p>
        </w:tc>
        <w:tc>
          <w:tcPr>
            <w:tcW w:w="5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40"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0.05%</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 yrs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w:t>
            </w:r>
          </w:p>
        </w:tc>
        <w:tc>
          <w:tcPr>
            <w:tcW w:w="5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40" w:type="dxa"/>
            <w:gridSpan w:val="3"/>
            <w:vMerge w:val="restart"/>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ZORYVE foam for Scalp &amp; Body Psoriasis</w:t>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u w:val="single"/>
              </w:rPr>
              <w:t>&gt;</w:t>
            </w:r>
            <w:r>
              <w:rPr>
                <w:color w:val="000000"/>
              </w:rPr>
              <w:t xml:space="preserve"> </w:t>
            </w:r>
            <w:r>
              <w:rPr>
                <w:rFonts w:ascii="Arial;sans-serif" w:hAnsi="Arial;sans-serif"/>
                <w:b w:val="false"/>
                <w:color w:val="000000"/>
                <w:sz w:val="18"/>
              </w:rPr>
              <w:t>12 yrs</w:t>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w:t>
            </w:r>
          </w:p>
        </w:tc>
        <w:tc>
          <w:tcPr>
            <w:tcW w:w="574"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40" w:type="dxa"/>
            <w:gridSpan w:val="3"/>
            <w:vMerge w:val="continue"/>
            <w:tcBorders>
              <w:left w:val="single" w:sz="8" w:space="0" w:color="000000"/>
              <w:bottom w:val="single" w:sz="8" w:space="0" w:color="000000"/>
            </w:tcBorders>
            <w:shd w:fill="CCEEFF" w:val="clear"/>
            <w:tcMar>
              <w:top w:w="0" w:type="dxa"/>
              <w:bottom w:w="30" w:type="dxa"/>
              <w:right w:w="0" w:type="dxa"/>
            </w:tcMar>
            <w:vAlign w:val="center"/>
          </w:tcPr>
          <w:p>
            <w:pPr>
              <w:pStyle w:val="Normal"/>
              <w:bidi w:val="0"/>
              <w:jc w:val="left"/>
              <w:rPr/>
            </w:pPr>
            <w:r>
              <w:rPr/>
            </w:r>
          </w:p>
        </w:tc>
        <w:tc>
          <w:tcPr>
            <w:tcW w:w="13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w:t>
            </w:r>
          </w:p>
        </w:tc>
        <w:tc>
          <w:tcPr>
            <w:tcW w:w="7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u w:val="single"/>
              </w:rPr>
              <w:t>&gt;</w:t>
            </w:r>
            <w:r>
              <w:rPr>
                <w:color w:val="000000"/>
              </w:rPr>
              <w:t xml:space="preserve"> </w:t>
            </w:r>
            <w:r>
              <w:rPr>
                <w:rFonts w:ascii="Arial;sans-serif" w:hAnsi="Arial;sans-serif"/>
                <w:b w:val="false"/>
                <w:color w:val="000000"/>
                <w:sz w:val="18"/>
              </w:rPr>
              <w:t>12 yrs</w:t>
            </w:r>
          </w:p>
        </w:tc>
        <w:tc>
          <w:tcPr>
            <w:tcW w:w="67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w:t>
            </w:r>
          </w:p>
        </w:tc>
        <w:tc>
          <w:tcPr>
            <w:tcW w:w="574"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Other Revenue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Other revenue recognized to date is derived primarily from upfront license fees and milestone payments received pursuant to the Sato Agreement and Huadong Agreement. We expect that any other revenue we generate pursuant to these agreements will fluctuate from period to period as a result of the timing of potential milestone achievements and any potential regulatory approvals within the respective Sato Territory and Huadong Territories.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Cost of Sales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Cost of sales includes direct and indirect costs related to the manufacturing and warehousing of ZORYVE, including raw materials, third-party manufacturing costs, packaging services, storage and freight-in, as well as third-party royalties payable on our net product sales and amortization of intangible assets associated with ZORYVE.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Prior to the date on which the initial regulatory approval was received for each product, costs of inventory production were recorded as research and development expense. As of June 30, 2026 and December 31, 2025, the value of this expensed inventory on hand was approximately $0.9 million and $2.6 million, respectively. Subsequent to initial regulatory approval, costs of production are capitalized into inventory, and as that inventory is sold and revenue is recognized, the cost of the inventory is recognized in cost of sales.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Since our inception, we have focused significant resources on our research and development activities, including conducting nonclinical studies and clinical trials, manufacturing development efforts, activities related to regulatory filings for our product candidates, and medical affairs activities related to ZORYVE. Research and development costs are expensed as incurred. These costs include direct program expenses, which are third-party expenses incurred related to our research and development programs, including for clinical research organizations, clinical investigators, the manufacturing of clinical material, nonclinical testing, and consultants. In addition, employee costs, including salaries, payroll taxes, benefits, stock-based compensation, and travel for employees contributing to research and development activities, are classified as research and development costs. Direct external costs relate to a specific program. Our internal costs are primarily related to personnel or professional services, apply across programs, and, thus, are not allocable to a specific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expect to continue to incur research and development expenses in the future as we develop our product candidates. In particular, we expect to incur research and development expenses for the development of ARQ-234 for atopic dermatitis and for ZORYVE label expansions and lifecycle management.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entered, and may continue to enter, into in-license agreements to access and utilize certain molecules for the treatment of dermatological diseases and disorders. We evaluate whether an in-license agreement is an acquisition of an asset or a business. To date, none of our in-license agreements have been considered to be an acquisition of a business. For asset acquisitions, the upfront payments, as well as any milestone payments made before regulatory approval, are immediately recognized as research and development expense, provided there is no alternative future use of the rights in other research and development projects.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successful development of our product candidates is highly uncertain. At this time, we cannot reasonably estimate the nature, timing, or costs required to complete the remaining development of ZORYVE cream and ZORYVE foam, ARQ-234, or any other product candidates. This is due to the numerous risks and uncertainties associated with the development of product candidates. See “Risk Factors” for a discussion of the risks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uncertainties associated with the development of our product candidates.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selling, general and administrative expenses consist primarily of salaries and related costs, including payroll taxes, benefits, stock-based compensation, and travel, for sales, commercial operations, human resources, information technology, legal, and finance employees. Other selling, general and administrative expenses include costs related to the sales and marketing of ZORYVE; outbound distribution; commissions earned by Kowa under our promotion agreement, which was terminated effective January 23, 2026; professional services costs for patent protection, accounting, auditing, tax, and general legal services; other outside services and consulting costs; information technology; and other overhead. </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income consists of interest earned on our cash, cash equivalents, and marketable securities.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expense is related to interest and fees incurred on our debt.</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Provision for Income Taxes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Provision for income taxes is primarily related to foreign income tax expense, foreign withholding taxes incurred in relation to payments received pursuant to our in-license agreements, and state income tax expense related to jurisdictions with minimum taxes or taxes based on revenue. </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60" w:after="283"/>
        <w:jc w:val="center"/>
        <w:rPr>
          <w:rFonts w:ascii="Arial;sans-serif" w:hAnsi="Arial;sans-serif"/>
          <w:b/>
          <w:i/>
          <w:color w:val="000000"/>
          <w:sz w:val="20"/>
        </w:rPr>
      </w:pPr>
      <w:r>
        <w:rPr>
          <w:rFonts w:ascii="Arial;sans-serif" w:hAnsi="Arial;sans-serif"/>
          <w:b/>
          <w:i/>
          <w:color w:val="000000"/>
          <w:sz w:val="20"/>
        </w:rPr>
        <w:t>Comparison of the Three Months Ended June 30, 2026 and 2025</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Product revenue, net</w:t>
      </w:r>
    </w:p>
    <w:tbl>
      <w:tblPr>
        <w:tblW w:w="7405" w:type="dxa"/>
        <w:jc w:val="left"/>
        <w:tblInd w:w="0" w:type="dxa"/>
        <w:tblLayout w:type="fixed"/>
        <w:tblCellMar>
          <w:top w:w="28" w:type="dxa"/>
          <w:left w:w="28" w:type="dxa"/>
          <w:bottom w:w="28" w:type="dxa"/>
          <w:right w:w="28" w:type="dxa"/>
        </w:tblCellMar>
      </w:tblPr>
      <w:tblGrid>
        <w:gridCol w:w="868"/>
        <w:gridCol w:w="763"/>
        <w:gridCol w:w="768"/>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188"/>
        <w:gridCol w:w="188"/>
        <w:gridCol w:w="331"/>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Product revenue, net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ZORYVE cream 0.3%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ZORYVE foam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ZORYVE cream 0.15%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ZORYVE cream 0.05%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product revenue,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160" w:after="283"/>
        <w:jc w:val="left"/>
        <w:rPr>
          <w:rFonts w:ascii="Arial;sans-serif" w:hAnsi="Arial;sans-serif"/>
          <w:b w:val="false"/>
          <w:color w:val="000000"/>
          <w:sz w:val="16"/>
        </w:rPr>
      </w:pPr>
      <w:r>
        <w:rPr>
          <w:rFonts w:ascii="Arial;sans-serif" w:hAnsi="Arial;sans-serif"/>
          <w:b w:val="false"/>
          <w:color w:val="000000"/>
          <w:sz w:val="16"/>
        </w:rPr>
        <w:t>*Not applicable</w:t>
      </w:r>
    </w:p>
    <w:p>
      <w:pPr>
        <w:pStyle w:val="TextBody"/>
        <w:bidi w:val="0"/>
        <w:spacing w:lineRule="auto" w:line="288" w:before="160" w:after="283"/>
        <w:jc w:val="left"/>
        <w:rPr>
          <w:color w:val="000000"/>
        </w:rPr>
      </w:pPr>
      <w:r>
        <w:rPr>
          <w:color w:val="000000"/>
        </w:rPr>
        <w:t>    </w:t>
      </w:r>
      <w:r>
        <w:rPr>
          <w:rFonts w:ascii="Arial;sans-serif" w:hAnsi="Arial;sans-serif"/>
          <w:b w:val="false"/>
          <w:color w:val="000000"/>
          <w:sz w:val="20"/>
        </w:rPr>
        <w:t>The increase in product revenue, net, for ZORYVE cream 0.3% was primarily driven by greater patient demand for ZORYVE cream.</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in product revenue, net, for ZORYVE foam was primarily driven by greater patient demand for ZORYVE foam for the treatment of seborrheic dermatitis and the commercial launch of ZORYVE foam for plaque psoriasis of the scalp and body in the United States in June 2025.</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in product revenue, net, for ZORYVE cream 0.15% was primarily driven by greater patient demand.</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in product revenue, net, for ZORYVE cream 0.05% was due to its commercial launch in the United States in October 2025.</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Cost of Sales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Cost of sales increased by $3.4 million for the three months ended June 30, 2026 compared to the three months ended June 30, 2025. The increase was primarily due to higher sales volumes and the associated increase in expenses recognized for product sold and royalties.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Research and Development Expenses</w:t>
      </w:r>
    </w:p>
    <w:tbl>
      <w:tblPr>
        <w:tblW w:w="8408" w:type="dxa"/>
        <w:jc w:val="left"/>
        <w:tblInd w:w="0" w:type="dxa"/>
        <w:tblLayout w:type="fixed"/>
        <w:tblCellMar>
          <w:top w:w="28" w:type="dxa"/>
          <w:left w:w="28" w:type="dxa"/>
          <w:bottom w:w="28" w:type="dxa"/>
          <w:right w:w="28" w:type="dxa"/>
        </w:tblCellMar>
      </w:tblPr>
      <w:tblGrid>
        <w:gridCol w:w="1343"/>
        <w:gridCol w:w="1178"/>
        <w:gridCol w:w="1183"/>
        <w:gridCol w:w="211"/>
        <w:gridCol w:w="751"/>
        <w:gridCol w:w="109"/>
        <w:gridCol w:w="109"/>
        <w:gridCol w:w="109"/>
        <w:gridCol w:w="109"/>
        <w:gridCol w:w="211"/>
        <w:gridCol w:w="751"/>
        <w:gridCol w:w="109"/>
        <w:gridCol w:w="109"/>
        <w:gridCol w:w="109"/>
        <w:gridCol w:w="109"/>
        <w:gridCol w:w="215"/>
        <w:gridCol w:w="490"/>
        <w:gridCol w:w="109"/>
        <w:gridCol w:w="109"/>
        <w:gridCol w:w="109"/>
        <w:gridCol w:w="109"/>
        <w:gridCol w:w="218"/>
        <w:gridCol w:w="218"/>
        <w:gridCol w:w="331"/>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external costs: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ARQ-234 program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Topical roflumilast program</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programs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costs: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personnel-related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Research and development expense remained materially consistent, with an increase in indirect costs primarily attributable to growth in headcount and investments in medical education. This was partially offset by a decrease in direct program development costs, which included lower topical roflumilast costs as we close out the INTEGUMENT-INFANT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expect research and development expenses to continue to increase in future periods, primarily due to our clinical development program for ARQ-234, as well as the development costs associated with ZORYVE label expansions and lifecycle management efforts.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Selling, general and administrative expenses increased by $13.0 million, or 19%, for the three months ended June 30, 2026 compared to the three months ended June 30, 2025 primarily due to increases in compensation and employee benefit related expenses of $9.5 million, sales and marketing expenses of $1.9 million, and other outside spend, partially offset by lower commissions paid out to Kowa following termination of our promotion agreement with Kowa in January 2026. A portion of the higher personnel costs was related to an increase in headcount, including the expansion of our dermatology sales force, to support our continued commercialization efforts for ZORYVE.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expect our selling, general and administrative expenses to continue to increase in future periods as we continue to commercialize ZORYVE and potentially other product candidates, as well as support our operations.</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Interest expense increased by $0.4 million for the three months ended June 30, 2026 compared to the three months ended June 30, 2025, primarily due to the extension fee incurred with respect to the tranche C-1 and C-2 term loans that remained unfunded after December 31, 2025 through June 30, 2026. </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Comparison of the Six Months Ended June 30, 2026 and 2025</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Product revenue, net</w:t>
      </w:r>
    </w:p>
    <w:tbl>
      <w:tblPr>
        <w:tblW w:w="7510" w:type="dxa"/>
        <w:jc w:val="left"/>
        <w:tblInd w:w="0" w:type="dxa"/>
        <w:tblLayout w:type="fixed"/>
        <w:tblCellMar>
          <w:top w:w="28" w:type="dxa"/>
          <w:left w:w="28" w:type="dxa"/>
          <w:bottom w:w="28" w:type="dxa"/>
          <w:right w:w="28" w:type="dxa"/>
        </w:tblCellMar>
      </w:tblPr>
      <w:tblGrid>
        <w:gridCol w:w="868"/>
        <w:gridCol w:w="763"/>
        <w:gridCol w:w="768"/>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88"/>
        <w:gridCol w:w="188"/>
        <w:gridCol w:w="331"/>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Product revenue, net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ZORYVE cream 0.3%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ZORYVE foam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ZORYVE cream 0.15%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ZORYVE cream 0.05%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product revenue,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160" w:after="283"/>
        <w:jc w:val="left"/>
        <w:rPr>
          <w:rFonts w:ascii="Arial;sans-serif" w:hAnsi="Arial;sans-serif"/>
          <w:b w:val="false"/>
          <w:color w:val="000000"/>
          <w:sz w:val="16"/>
        </w:rPr>
      </w:pPr>
      <w:r>
        <w:rPr>
          <w:rFonts w:ascii="Arial;sans-serif" w:hAnsi="Arial;sans-serif"/>
          <w:b w:val="false"/>
          <w:color w:val="000000"/>
          <w:sz w:val="16"/>
        </w:rPr>
        <w:t>*Not applicable</w:t>
      </w:r>
    </w:p>
    <w:p>
      <w:pPr>
        <w:pStyle w:val="TextBody"/>
        <w:bidi w:val="0"/>
        <w:spacing w:lineRule="auto" w:line="288" w:before="160" w:after="283"/>
        <w:jc w:val="left"/>
        <w:rPr>
          <w:color w:val="000000"/>
        </w:rPr>
      </w:pPr>
      <w:r>
        <w:rPr>
          <w:color w:val="000000"/>
        </w:rPr>
        <w:t>    </w:t>
      </w:r>
      <w:r>
        <w:rPr>
          <w:rFonts w:ascii="Arial;sans-serif" w:hAnsi="Arial;sans-serif"/>
          <w:b w:val="false"/>
          <w:color w:val="000000"/>
          <w:sz w:val="20"/>
        </w:rPr>
        <w:t>The increase in product revenue, net, for ZORYVE cream 0.3% was primarily driven by greater patient demand for ZORYVE cream.</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in product revenue, net, for ZORYVE foam was primarily driven by greater patient demand for ZORYVE foam for the treatment of seborrheic dermatitis and the commercial launch of ZORYVE foam for plaque psoriasis of the scalp and body in the United States in June 2025.</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in product revenue, net, for ZORYVE cream 0.15% was primarily driven by greater patient demand.</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in product revenue, net, for ZORYVE cream 0.05% was due to its commercial launch in the United States in October 2025.</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Other Revenue</w:t>
      </w:r>
    </w:p>
    <w:p>
      <w:pPr>
        <w:pStyle w:val="TextBody"/>
        <w:bidi w:val="0"/>
        <w:spacing w:lineRule="auto" w:line="288" w:before="160" w:after="283"/>
        <w:ind w:left="0" w:right="0" w:firstLine="720"/>
        <w:jc w:val="left"/>
        <w:rPr/>
      </w:pPr>
      <w:r>
        <w:rPr>
          <w:rFonts w:ascii="Arial;sans-serif" w:hAnsi="Arial;sans-serif"/>
          <w:b w:val="false"/>
          <w:color w:val="000000"/>
          <w:sz w:val="20"/>
        </w:rPr>
        <w:t>Other revenue of $2.0 million</w:t>
      </w:r>
      <w:r>
        <w:rPr>
          <w:color w:val="000000"/>
        </w:rPr>
        <w:t xml:space="preserve"> </w:t>
      </w:r>
      <w:r>
        <w:rPr>
          <w:rFonts w:ascii="Arial;sans-serif" w:hAnsi="Arial;sans-serif"/>
          <w:b w:val="false"/>
          <w:color w:val="000000"/>
          <w:sz w:val="20"/>
        </w:rPr>
        <w:t>for the six months ended June 30, 2025 was related to a milestone payment received in connection with the Huadong Agreement. See Note 6 to the condensed consolidated financial statements for additional information.</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Cost of Sales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Cost of sales increased by $4.4 million for the six months ended June 30, 2026, compared to the six months ended June 30, 2025, due to higher sales volumes and the associated increase in expenses recognized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pPr>
      <w:r>
        <w:rPr>
          <w:rFonts w:ascii="Arial;sans-serif" w:hAnsi="Arial;sans-serif"/>
          <w:b w:val="false"/>
          <w:color w:val="000000"/>
          <w:sz w:val="20"/>
        </w:rPr>
        <w:t>product sold and royalties</w:t>
      </w:r>
      <w:r>
        <w:rPr>
          <w:rFonts w:ascii="Arial;sans-serif" w:hAnsi="Arial;sans-serif"/>
          <w:b w:val="false"/>
          <w:color w:val="000000"/>
          <w:sz w:val="20"/>
          <w:shd w:fill="FFFFFF" w:val="clear"/>
        </w:rPr>
        <w:t>, partially offset by $2.7 million of catch-up amortization expense recognized in the comparative period for an AstraZeneca milestone achieved.</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Research and Development Expenses</w:t>
      </w:r>
    </w:p>
    <w:tbl>
      <w:tblPr>
        <w:tblW w:w="8710" w:type="dxa"/>
        <w:jc w:val="left"/>
        <w:tblInd w:w="0" w:type="dxa"/>
        <w:tblLayout w:type="fixed"/>
        <w:tblCellMar>
          <w:top w:w="28" w:type="dxa"/>
          <w:left w:w="28" w:type="dxa"/>
          <w:bottom w:w="28" w:type="dxa"/>
          <w:right w:w="28" w:type="dxa"/>
        </w:tblCellMar>
      </w:tblPr>
      <w:tblGrid>
        <w:gridCol w:w="1343"/>
        <w:gridCol w:w="1178"/>
        <w:gridCol w:w="118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40"/>
        <w:gridCol w:w="241"/>
        <w:gridCol w:w="331"/>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external costs: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ARQ-234 program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Topical roflumilast program</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programs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costs: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personnel-related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of $14.0 million in research and development expenses was primarily due to the $10.0 million milestone that became payable to certain former Ducentis stockholders in the first quarter of 2026 upon the dosing of the first patient in the ARQ-234 Phase 1a/1b trial, with the remaining increase primarily attributable to higher indirect costs, including growth in headcount and investments in medical education. The decrease in other program expenses primarily reflected lower JAK inhibitor–related direct costs, following the completion of the Phase 1b clinical study for our ARQ-255 program in 2025.</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Selling, general and administrative expenses increased by $23.0 million, or 17%, for the six months ended June 30, 2026 compared to the six months ended June 30, 2025, primarily due to increases in compensation and employee benefit related expenses of $13.9 million and sales and marketing expenses of $7.8 million, partially offset by lower commissions paid out to Kowa following termination of our promotion agreement with Kowa in January 2026. A portion of the higher personnel costs was related to an increase in headcount, including the expansion of our dermatology sales force, to support our continued commercialization efforts for ZORYVE.</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expense increased by $1.8 million for the six months ended June 30, 2026 compared to the six months ended June 30, 2025, primarily due to fees incurred to maintain the availability of the tranche C-1 and tranche C-2 term loans through March 31, 2026 and June 30,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Liquidity, Capital Resources, and Requirements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Sources of Liquidity</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primary sources of capital to date have been private placements of preferred stock, our IPO completed in January 2020, our follow-on financings in October 2020, February 2021, August 2022, October 2023, and March 2024, our Loan Agreement, our ATM program, and revenue from the sale of ZORYVE products. We have incurred annual operating losses since our inception and have an accumulated deficit as a result of ongoing efforts to develop and commercialize our products and product candidates, including conducting nonclinical and clinical trials and providing selling, general and administrative support for these operations. As of June 30, 2026, we had cash, cash equivalents, restricted cash, and marketable securities of $238.9 million, an accumulated deficit of $1,134.4 million, and $100.0 million outstanding under the Loan Agreement.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believe that our existing capital resources will be sufficient to meet the projected operating requirements for at least 12 months from the date of issuance of our financial statements.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If our capital resources are insufficient to satisfy our requirements, we may need to fund our operations through the sale of our equity securities, accessing or incurring additional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if or when needed, it may be necessary to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reduce our current rate of spending through, among other things, reductions in staff and delaying, scaling back, or stopping certain research and development programs, nonclinical studies, clinical trials, or other development activities, and commercialization efforts. In addition, market conditions impacting financial institutions could impact our ability to access some or all of our cash, cash equivalents, and marketable securities, and we may be unable to obtain alternative funding when and as needed on acceptable terms, if at all.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based our projected operating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Any future funding requirements will depend on many factors, including, but not limited to:</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timing, receipt, and amount of sales of any current and future products;</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scope, progress, results, and costs of researching and developing our product candidates or any future product candidates, and conducting nonclinical studies and clinical trials, in particular our planned or ongoing development activities and our formulation and nonclinical efforts;</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 xml:space="preserve">suspensions or delays in the enrollment or changes to the number of subjects we decide to enroll in our ongoing clinical trials; </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number and scope of clinical programs we decide to pursue, and the number and characteristics of any product candidates we develop or acquire;</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timing of, and the costs involved in, obtaining regulatory approvals for any future product candidates;</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number and characteristics of any additional product candidates we develop or acquire;</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cost of manufacturing ZORYVE or any future product candidates and any products we successfully commercialize, including costs associated with building out our supply chain;</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cost of commercialization activities for ZORYVE or any future product candidates that are approved for sale, including marketing, sales and distribution costs, and any discounts or rebates to obtain access;</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our ability to acquire attractive assets or businesses or to establish and maintain strategic collaborations, licensing or other arrangements and the financial terms of any such agreements that we may enter into;</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costs related to milestone payments to AstraZeneca or any future collaborator or licensing partner, upon the achievement of predetermined milestones;</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any product liability or other lawsuits related to our products;</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expenses needed to attract and retain skilled personnel;</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any disputes, lawsuits, or other legal proceedings related to contracts or employment matters;</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the costs involved in preparing, filing, prosecuting, maintaining, defending, and enforcing our intellectual property portfolio; and</w:t>
      </w:r>
    </w:p>
    <w:p>
      <w:pPr>
        <w:pStyle w:val="TextBody"/>
        <w:bidi w:val="0"/>
        <w:spacing w:lineRule="auto" w:line="288" w:before="160" w:after="283"/>
        <w:ind w:left="0" w:right="0" w:hanging="180"/>
        <w:jc w:val="left"/>
        <w:rPr/>
      </w:pPr>
      <w:r>
        <w:rPr>
          <w:color w:val="000000"/>
        </w:rPr>
        <w:t>•</w:t>
      </w:r>
      <w:r>
        <w:rPr>
          <w:rFonts w:ascii="Arial;sans-serif" w:hAnsi="Arial;sans-serif"/>
          <w:b w:val="false"/>
          <w:color w:val="000000"/>
          <w:sz w:val="20"/>
        </w:rPr>
        <w:t xml:space="preserve">costs associated with any adverse market conditions or other macroeconomic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Indebtedness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On December 22, 2021, we entered into a loan and security agreement (the Prior Loan Agreement) with SLR Investment Corp. (SLR) and the lenders party thereto. The Prior Loan Agreement was amended and restated on January 10, 2023 (the AR Loan Agreement) to include Arcutis Canada, Inc., a corporation incorporated under the laws of the Province of Ontario, as a borrower and party. On November 1, 2023, we entered into an amendment to the AR Loan Agreement to, among others, (i) modify the financial covenant relating to minimum net product revenue, and (ii) include an additional minimum financing covenant. On August 9, 2024, we entered into a second amendment to the AR Loan Agreement (the AR Loan Agreement, as amended by the first and second amendments, the Loan Agreement) to, among others, (i) permit, during the period commencing on October 7, 2024 and ending on December 15, 2024, an optional partial prepayment of term loans outstanding, subject to a 1.0% prepayment penalty (the 2024 Partial Prepayment), (ii) add the tranche C-1 and tranche C-2 term loans, and (iii) facilitate certain other changes, including with respect to the applicable interest rate and maturity date in the event of a 2024 Partial Prepayment. The term loan facility is comprised of (i) a tranche A term loan of $75.0 million, (ii) a tranche B-1 term loan of $50.0 million, (iii) a tranche B-2 term loan of up to $75.0 million, (iv) a tranche C-1 term loan of up to $50.0 million, and (v) a tranche C-2 term loan of up to $50.0 million (collectively, the Term Loans). The tranche A term loan was funded in December 2021. With the approval of ZORYVE cream 0.3% on July 29, 2022, the tranche B term loans were funded in August 2022. As of June 30, 2026 and December 31, 2025, the aggregate principal amount outstanding under the Loan Agreement was $100.0 million.</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October 2024, we made a 2024 Partial Prepayment of $100.0 million, which reduced the aggregate principal amount outstanding under the Loan Agreement to $100.0 million. In connection with the 2024 Partial Prepayment, we paid a prepayment penalty of $1.0 million during the second quarter of 2026 and are obligated to pay a final fee of $6.95 million, representing the final fee applicable to the amount of the 2024 Partial Prepayment, on January 4, 2027. As a result of such 2024 Partial Prepayment, subject to us generating a minimum net product revenue for the trailing six (6) month period ending as of the month prior to the borrowing date equal to 80% of our projected net product revenue as set forth in our annual plan for the respective period, we obtained the ability to draw down the tranche C-1 and tranche C-2 term loans. The tranche C-1 term loan availability expired on March 31, 2026, and the tranche C-2 term loan availability expired on June 30, 2026. Neither tranche was drawn prior to its expiration. In addition, as a result of the 2024 Partial Prepayment, (i) the maturity date of the Loan Agreement is August 1, 2029 (such date, the Maturity Date), (ii) the applicable per annum interest rate is equal to 5.95% plus the greater of (a) 2.50% per annum and (b) the one-month Secured Overnight Financing Rate (SOFR), (iii) we are no longer subject to certain cost and purchase price restrictions regarding acquisitions, and (iv) we may prepay principal amounts outstanding under the Term Loans in minimum increments of $25.0 million, subject to a prepayment premium of (a) 2.0% for any prepayment made after August 9, 2025 and prior to August 9, 2026 or (b) 1.0% for any prepayment made after August 9, 2026 and prior to the Maturity Date.</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Principal amounts outstanding under the Term Loans will accrue interest at a floating rate equal to the applicable rate in effect from time to time, as determined by SLR on the third business day prior to the funding date of the applicable Term Loan and on the first business day of the month prior to each payment date of each Term Loan. Prior to the 2024 Partial Prepayment, the applicable rate was a per annum interest rate equal to 7.45% plus the greater of (a) 0.10% and (b) the one-month SOFR. As a result of such 2024 Partial Prepayment, the applicable interest rate is a per annum interest rate equal to 5.95% plus the greater of (a) 2.50% and (b) the one-month SOFR. On June 30, 2026, the rate was 9.57%. The benchmark SOFR is subject to change in the event of certain events with respect to the benchmark rate. Interest payments are payable monthly following the funding of any Term Loan. Any principal amounts outstanding under the Term Loans, if not repaid or prepaid, are due and payable on August 1, 2029.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As security for the obligations under the Loan Agreement, we granted SLR, for the benefit of the lenders, a continuing security interest in substantially all of our assets, including our intellectual property, subject to certain exceptions.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If the Term Loans are accelerated due to, among others, the occurrence of a bankruptcy or insolvency event, we are required to make certain mandatory prepayments of (i) all principal amounts outstanding under the Term Loans, plus accrued and unpaid interest thereon through the prepayment date, (ii) any fees applicable by reason of such prepayment, (iii) the prepayment premiums set forth in the paragraph above, plus (iv) all other obligations that are due and payable, including expenses and interest at the Default Rate (as defined below) with respect to any past due amounts.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Loan Agreement contains customary representations and warranties and customary affirmative and negative covenants, including, among others, requirements as to financial reporting and insurance and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also agreed to a financial covenant whereby we must generate a minimum net product revenue equal to 75% of our projected net product revenue as set forth in our annual plan for the respective period, tested on a trailing six-month basis as of the end of each month. Each annual plan shall be approved by our board of directors and SLR, in its capacity as collateral agent, in its reasonable discretion. Any failure by us to deliver such annual plan on or before December 15 of the prior year shall be an immediate event of default.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the Loan Agreement contains customary events of default that entitle the lenders to cause any indebtedness under the Loan Agreement to become immediately due and payable, and to exercise remedies against us and the collateral securing the Term Loans. Upon the occurrence and for the duration of an event of default, an additional default interest rate (the Default Rate) equal to 4.0% per annum will apply to all obligations owed under the Loan Agreement.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Loan Agreement, we are obligated to pay a final fee equal to 6.95% of the aggregate original principal amount of the Term Loans outstanding as of the date of the second amendment, (A) with respect to any 2024 Partial Prepayment, upon the earliest to occur of (a) January 4, 2027, (b) the acceleration of all outstanding Term Loans, and (c) the prepayment, or refinancing, substitution or replacement of all outstanding Term Loans, and (B) with respect to the Term Loans outstanding as of the date of the second amendment (other than 2024 Partial Prepayment), upon the earliest to occur of (a) the Maturity Date, (b) the acceleration of all outstanding Term Loans and (c) the prepayment, or refinancing, substitution or replacement of all outstanding Term Loans. We were also obligated to pay (i) a $1.0 million facility fee with respect to tranche C term loans, which was paid in the second quarter of 2026, (ii) a $1.0 million extension fee with respect to tranche C term loans that remained unfunded after December 31, 2025, which was accrued for and paid out during the period commencing January 1, 2026, and ending on June 30, 2026, and (iii) a certain amount of lenders’ expenses incurred in connection with the execution of the Loan Agreement. Additionally, in connection with the original Prior Loan Agreement, we had previously entered into an Exit Fee Agreement, whereby we agreed to pay an exit fee in the amount of 3.0% of each Term Loan funded upon (i) any change of control transaction or (ii) a revenue milestone, calculated on a trailing six-month basis. Notwithstanding the prepayment or termination of the Term Loans, the exit fee will expire 10 years from the date of the Loan Agreement.</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were in compliance with all covenants under the Loan Agreement as of June 30, 2026.</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our cash flows for the periods indicated:</w:t>
      </w:r>
    </w:p>
    <w:tbl>
      <w:tblPr>
        <w:tblW w:w="8829" w:type="dxa"/>
        <w:jc w:val="left"/>
        <w:tblInd w:w="0" w:type="dxa"/>
        <w:tblLayout w:type="fixed"/>
        <w:tblCellMar>
          <w:top w:w="28" w:type="dxa"/>
          <w:left w:w="28" w:type="dxa"/>
          <w:bottom w:w="28" w:type="dxa"/>
          <w:right w:w="28" w:type="dxa"/>
        </w:tblCellMar>
      </w:tblPr>
      <w:tblGrid>
        <w:gridCol w:w="2263"/>
        <w:gridCol w:w="1993"/>
        <w:gridCol w:w="1999"/>
        <w:gridCol w:w="211"/>
        <w:gridCol w:w="751"/>
        <w:gridCol w:w="109"/>
        <w:gridCol w:w="109"/>
        <w:gridCol w:w="109"/>
        <w:gridCol w:w="109"/>
        <w:gridCol w:w="211"/>
        <w:gridCol w:w="811"/>
        <w:gridCol w:w="154"/>
      </w:tblGrid>
      <w:tr>
        <w:trPr/>
        <w:tc>
          <w:tcPr>
            <w:tcW w:w="226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 thousands)</w:t>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provided by (used in) investing activities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financing activities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Net Cash Provided by (Used in) Operating Activities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2026, net cash provided by operating activities consisted of net income of $3.7 million and net changes in operating assets and liabilities of $14.4 million. Non-cash items primarily related to stock-based compensation expense of $23.5 million. The overall decrease in cash from changes in our net operating assets and liabilities was the result of increasing accounts receivable primarily related to increased sales volume and higher prepaid assets primarily related to the timing of payments, partially offset by an increase in accrued liabilities. The increase in accrued liabilities was primarily due to higher accrued sales deductions from higher sales volume as well as the $10.0 million Ducentis milestone liability recorded and payable as of June 30, 2026, partially offset by a reduction in accrued compensation as a result of paying our prior year annual bonus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employees in the first quarter of the current year. Other fluctuations in our operating assets and liabilities were due to the timing of payments made to third parties.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June 30, 2025, net cash used in operating activities was $30.1 million, which consisted of a net loss of $40.9 million and a change in net operating assets and liabilities of $12.6 million, partially offset by net non-cash charges of $23.4 million. The net non-cash charges were primarily related to stock-based compensation expense of $20.3 million and amortization of intangible assets of $3.5 million.</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Net Cash Provided by (Used in) Investing Activities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June 30, 2026, net cash used in investing activities was comprised primarily of purchases of marketable securities of $127.7 million, partially offset by maturities of marketable securities of $101.3 million.</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June 30, 2025, net cash provided by investing activities was $29.2 million, which was comprised primarily of proceeds from the maturities of marketable securities of $129.1 million, offset by purchases of marketable securities of $89.3 million and a milestone payment made to AstraZeneca of $10.0 million.</w:t>
      </w:r>
    </w:p>
    <w:p>
      <w:pPr>
        <w:pStyle w:val="TextBody"/>
        <w:bidi w:val="0"/>
        <w:spacing w:lineRule="auto" w:line="288" w:before="160" w:after="283"/>
        <w:ind w:left="0" w:right="0" w:firstLine="720"/>
        <w:jc w:val="left"/>
        <w:rPr>
          <w:rFonts w:ascii="Arial;sans-serif" w:hAnsi="Arial;sans-serif"/>
          <w:b/>
          <w:i/>
          <w:color w:val="000000"/>
          <w:sz w:val="20"/>
        </w:rPr>
      </w:pPr>
      <w:r>
        <w:rPr>
          <w:rFonts w:ascii="Arial;sans-serif" w:hAnsi="Arial;sans-serif"/>
          <w:b/>
          <w:i/>
          <w:color w:val="000000"/>
          <w:sz w:val="20"/>
        </w:rPr>
        <w:t>Net Cash Provided by Financing Activities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June 30, 2026, net cash provided by financing activities was $3.1 million, which was comprised primarily of $2.4 million of proceeds from the issuance of common stock upon the exercise of stock options, and $1.6 million of proceeds from the issuance of our common stock pursuant to our employee stock purchase plan, partially offset by a $1.0 million payment of the prepayment penalty associated with our tranche A term loan.</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June 30, 2025, net cash provided by financing activities was $1.8 million, which was comprised primarily of $1.3 million of proceeds from the issuance of our common stock pursuant to our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Contractual Obligations and Contingent Liabilities</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Other than the change related to Ducentis described in Note 6 to the condensed consolidated financial statements in Item 1, there have been no material changes to our contractual obligations and commitments outside the ordinary course of business as described in “Management’s Discussion and Analysis of Financial Condition and Results of Operations”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 xml:space="preserve">Item 3. QUANTITATIVE AND QUALITATIVE DISCLOSURES ABOUT MARKET RISK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These risks primarily include interest rate sensitivities. As of June 30, 2026, we had cash and cash equivalents of $34.1 million, restricted cash of $0.3 million, and marketable securities of $204.4 million, which consist of bank deposits, money market funds, commercial paper, government securities, and corporate debt securities. The primary objective of our investment activities is to preserve capital to fund our operations. We also seek to maximize income from our investments without assuming significant risk. Because our investments are primarily short-term in duration, we believe that this exposure to interest rate risk is not significant, and a 1% movement in market interest rates would not have a significant impact on the total value of our portfolio.</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as of June 30, 2026, we had $100.0 million outstanding under our Loan Agreement. Amounts outstanding under our Loan Agreement bear interest at a floating per annum rate equal to 5.95% plus the greater of (a) 2.50% and (b) the one-month Secured Overnight Financing Rate (SOFR). The benchmark SOFR is subject to change in the event of certain events with respect to the benchmark rate. As a result, we are exposed to risks related to our indebtedness from changes in interest rates. Based on the amount outstanding under our Loan Agreement as of June 30, 2026, for every 100 basis point increase in the interest rates, we would incur approximately $1.0 million of additional annual interest expense. We do not currently engage in hedging transactions to manage our exposure to interest rate risk, but higher interest expense would be offset in part by higher earnings on our cash and marketable securities. We may in the future use swaps, caps, collars, structured collars or other common derivative financial instruments to reduce interest rate risk. It is difficult to predict the effect that future hedging activities would have on our operating results.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majority of our transactions occur in U.S. dollars; however, we are exposed to foreign currency exchange risk as our Canadian subsidiary operates with the Canadian dollar as its functional currency. The fluctuation in the value of the U.S. dollar against the Canadian dollar affects the reported amounts of expenses, assets, and liabilities. If we expand our international operations, our exposure to exchange rate fluctuations will increase. At June 30, 2026, we had cash balances denominated in Canadian dollars of $7.9 million. We currently do not hedge any foreign currency exposure. A hypothetical 10% change in foreign exchange rates during any of the periods presented would not have a material impact on our condensed consolidated financial statements.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Based on an evaluation under the supervision of and with the participation of our management, our Chief Executive Officer and Chief Financial Officer have concluded that our disclosure controls and procedures (as defined in Rules 13a-15(e) and 15d-15(e) under the Exchange Act) were effective as of June 30, 2026, to provide reasonable assurance that information required to be disclosed by us in reports that we file or submit under the Exchange Act is recorded, processed, summarized, and reported within the time periods specified in the rules and forms of the SEC, and that such required information is accumulated and communicated to our management, including our Chief Executive Officer and Chief Financial Officer, as appropriate to allow timely decisions regarding required disclosures.</w:t>
      </w:r>
    </w:p>
    <w:p>
      <w:pPr>
        <w:pStyle w:val="TextBody"/>
        <w:bidi w:val="0"/>
        <w:spacing w:lineRule="auto" w:line="268" w:before="160" w:after="283"/>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during the three months ended June 30, 2026, which were identified in connection with management's evaluation required by paragraph (d) of Rules 13a-15 and 15d-15 under the Exchange Act, that have materially affected, or are reasonably likely to materially affect, our internal control over financial reporting.</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1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6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Arcutis Biotherapeutics, Inc. filed a lawsuit against Padagis Israel Pharmaceuticals Ltd., Padagis US LLC, and Padagis LLC (collectively, Padagis) in the U.S. District Court for the District of Delaware on March 27, 2024, based on the submission to the FDA of an Abbreviated New Drug Application (ANDA) seeking approval to market and sell a generic version of Arcutis’ ZORYVE cream 0.3% for the treatment of plaque psoriasis. The Company asserts infringement of the following eleven patents, which are listed in the FDA’s Orange Book for Arcutis’ ZORYVE cream 0.3% : 9,884,050; 9,907,788; 10,940,142; 11,129,818; 11,793,796; 11,819,496; 11,992,480; 12,005,051; 12,005,052; 12,011,437; and 12,016,848 (collectively, Asserted Patents). Arcutis seeks a judgment that Padagis has infringed or will infringe one or more claims of each of the Asserted Patents, and, based on that judgment, a permanent injunction prohibiting the commercial manufacture, use, offer to sell, or sale within the United States or importation into the United States of Padagis’s proposed generic product before expiration of each of the Asserted Patents found to be infringed. </w:t>
      </w:r>
    </w:p>
    <w:p>
      <w:pPr>
        <w:pStyle w:val="TextBody"/>
        <w:bidi w:val="0"/>
        <w:spacing w:lineRule="auto" w:line="288" w:before="160" w:after="283"/>
        <w:ind w:left="0" w:right="0" w:firstLine="720"/>
        <w:jc w:val="left"/>
        <w:rPr/>
      </w:pPr>
      <w:r>
        <w:rPr>
          <w:rFonts w:ascii="Arial;sans-serif" w:hAnsi="Arial;sans-serif"/>
          <w:b w:val="false"/>
          <w:color w:val="000000"/>
          <w:sz w:val="20"/>
        </w:rPr>
        <w:t xml:space="preserve">In March 2025, Arcutis agreed to file a joint stipulation to stay the ongoing patent litigation with </w:t>
      </w:r>
      <w:r>
        <w:rPr>
          <w:rFonts w:ascii="Arial;sans-serif" w:hAnsi="Arial;sans-serif"/>
          <w:b w:val="false"/>
          <w:color w:val="000000"/>
          <w:sz w:val="20"/>
          <w:shd w:fill="FFFFFF" w:val="clear"/>
        </w:rPr>
        <w:t>Padagis at the request of Padagi</w:t>
      </w:r>
      <w:r>
        <w:rPr>
          <w:rFonts w:ascii="Arial;sans-serif" w:hAnsi="Arial;sans-serif"/>
          <w:b w:val="false"/>
          <w:color w:val="000000"/>
          <w:sz w:val="20"/>
        </w:rPr>
        <w:t>s.</w:t>
      </w:r>
      <w:r>
        <w:rPr>
          <w:color w:val="000000"/>
        </w:rPr>
        <w:t xml:space="preserve"> </w:t>
      </w:r>
      <w:r>
        <w:rPr>
          <w:rFonts w:ascii="Arial;sans-serif" w:hAnsi="Arial;sans-serif"/>
          <w:b w:val="false"/>
          <w:color w:val="000000"/>
          <w:sz w:val="20"/>
        </w:rPr>
        <w:t>On April 3, 2025, the court stayed the case and canceled all case deadlines, including the trial. The automatic 30-month stay of FDA approval of Padagis’s ANDA seeking approval for Arcutis’ ZORYVE cream 0.3% was set to expire on August 14, 2026. The 30-month stay will be extended for each day the stay is in place, starting March 24, 2025, until the stay is lifted.</w:t>
      </w:r>
    </w:p>
    <w:p>
      <w:pPr>
        <w:pStyle w:val="TextBody"/>
        <w:bidi w:val="0"/>
        <w:spacing w:lineRule="auto" w:line="276"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We may from time to time be involved in various legal proceedings of a character normally incident to the ordinary course of our business. We are not currently a defendant in any material litigation or other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For a discussion of our potential risks and uncertainties, see the information in Part I, "Part I, Item 1A. Risk Factors” in our Annual Report on Form 10-K for the year ended December 31, 2025. There have been no material changes to the risk factors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Trading Plans</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On June 4, 2026, Todd Franklin Watanabe, our Chief Executive Officer, terminated a Rule 10b5-1 trading plan, which plan was previously adopted on March 13, 2026 and intended to satisfy the affirmative defense of Rule 10b5-1(c) under the Exchange Act. The plan provided for the potential sale of up to 325,000 shares of common stock held by Mr. Watanabe between June 12, 2026 and June 11, 2027. Prior to its termination, no shares were sold under the plan.</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On June 5, 2026, Todd Franklin Watanabe, our Chief Executive Officer, entered into a Rule 10b5-1 trading plan, intended to satisfy the affirmative defense of Rule 10b5-1(c) under the Exchange Act. The plan provided for the potential exercise and sale of up to 325,000 options between August 27, 2026 and August 31, 2027.</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June 9, 2026, Masaru Matsuda, our Chief Legal Officer, entered into a Rule 10b5-1 trading plan, intended to satisfy the affirmative defense of Rule 10b5-1(c) under the Exchange Act. The plan provided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potential exercise and sale of up to 40,000 options, as well as the potential sale of 45,792 shares of common stock held by Mr. Matsuda between September 8, 2026 and September 1, 2027.</w:t>
      </w:r>
    </w:p>
    <w:p>
      <w:pPr>
        <w:pStyle w:val="TextBody"/>
        <w:bidi w:val="0"/>
        <w:spacing w:before="16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a266d29c27f4e00ba874d36288d65b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84"/>
        <w:gridCol w:w="249"/>
        <w:gridCol w:w="250"/>
        <w:gridCol w:w="109"/>
        <w:gridCol w:w="109"/>
        <w:gridCol w:w="109"/>
        <w:gridCol w:w="1964"/>
        <w:gridCol w:w="1580"/>
        <w:gridCol w:w="1584"/>
        <w:gridCol w:w="490"/>
        <w:gridCol w:w="490"/>
        <w:gridCol w:w="491"/>
        <w:gridCol w:w="176"/>
        <w:gridCol w:w="176"/>
        <w:gridCol w:w="177"/>
        <w:gridCol w:w="245"/>
        <w:gridCol w:w="245"/>
        <w:gridCol w:w="246"/>
        <w:gridCol w:w="358"/>
        <w:gridCol w:w="358"/>
        <w:gridCol w:w="515"/>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Document</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 Form</w:t>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Filed/Furnished Herewith</w:t>
            </w:r>
          </w:p>
        </w:tc>
      </w:tr>
      <w:tr>
        <w:trPr/>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Restated Certificate of Incorporation.</w:t>
              </w:r>
            </w:hyperlink>
          </w:p>
        </w:tc>
        <w:tc>
          <w:tcPr>
            <w:tcW w:w="1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5/12/20</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Restated Bylaws.</w:t>
              </w:r>
            </w:hyperlink>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5/12/20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Form of Common Stock Certificate.</w:t>
              </w:r>
            </w:hyperlink>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1/21/20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Investors’ Rights Agreement, dated October 8, 2019, by and among the Registrant and certain of its stockholders.</w:t>
              </w:r>
            </w:hyperlink>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1/21/20</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Arcutis Biotherapeutics, Inc. Amended and Restated 2022 Employment Inducement Incentive Plan.</w:t>
              </w:r>
            </w:hyperlink>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S-8</w:t>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4/21/26</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Amended and Restated Non-Employee Director Compensation Program.</w:t>
              </w:r>
            </w:hyperlink>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6/9/26</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ceoq22026.htm">
              <w:r>
                <w:rPr>
                  <w:rStyle w:val="InternetLink"/>
                  <w:rFonts w:ascii="Arial;sans-serif" w:hAnsi="Arial;sans-serif"/>
                  <w:b w:val="false"/>
                  <w:color w:val="000080"/>
                  <w:sz w:val="20"/>
                  <w:u w:val="single"/>
                </w:rPr>
                <w:t>Certification of Principal Executive Officer Pursuant to Rules 13a-14(a) and 15d-14(a) under the Securities</w:t>
              </w:r>
            </w:hyperlink>
            <w:hyperlink w:anchor="exhibit311ceoq22026.htm">
              <w:r>
                <w:rPr>
                  <w:rStyle w:val="InternetLink"/>
                  <w:rFonts w:ascii="Arial;sans-serif" w:hAnsi="Arial;sans-serif"/>
                  <w:b w:val="false"/>
                  <w:color w:val="000080"/>
                  <w:sz w:val="20"/>
                  <w:u w:val="single"/>
                </w:rPr>
                <w:t xml:space="preserve"> </w:t>
              </w:r>
            </w:hyperlink>
            <w:hyperlink w:anchor="exhibit311ceoq22026.htm">
              <w:r>
                <w:rPr>
                  <w:rStyle w:val="InternetLink"/>
                  <w:rFonts w:ascii="Arial;sans-serif" w:hAnsi="Arial;sans-serif"/>
                  <w:b w:val="false"/>
                  <w:color w:val="000080"/>
                  <w:sz w:val="20"/>
                  <w:u w:val="single"/>
                </w:rPr>
                <w:t>Exchange Act of 1934, as adopted pursuant to Section 302 of the Sarbanes-Oxley Act of 2002.</w:t>
              </w:r>
            </w:hyperlink>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cfoq22026.htm">
              <w:r>
                <w:rPr>
                  <w:rStyle w:val="InternetLink"/>
                  <w:rFonts w:ascii="Arial;sans-serif" w:hAnsi="Arial;sans-serif"/>
                  <w:b w:val="false"/>
                  <w:color w:val="000080"/>
                  <w:sz w:val="20"/>
                  <w:u w:val="single"/>
                </w:rPr>
                <w:t xml:space="preserve">Certification of Principal Financial Officer Pursuant to Rules 13a-14(a) and 15d-14(a) under the Securities </w:t>
              </w:r>
            </w:hyperlink>
            <w:hyperlink w:anchor="exhibit312cfoq22026.htm">
              <w:r>
                <w:rPr>
                  <w:rStyle w:val="InternetLink"/>
                  <w:rFonts w:ascii="Arial;sans-serif" w:hAnsi="Arial;sans-serif"/>
                  <w:b w:val="false"/>
                  <w:color w:val="000080"/>
                  <w:sz w:val="20"/>
                  <w:u w:val="single"/>
                </w:rPr>
                <w:t>Exchange Act of 1934, as adopted pursuant to Section 302 of the Sarbanes-Oxley Act of 2002.</w:t>
              </w:r>
            </w:hyperlink>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ceocfoq22026.htm">
              <w:r>
                <w:rPr>
                  <w:rStyle w:val="InternetLink"/>
                  <w:rFonts w:ascii="Arial;sans-serif" w:hAnsi="Arial;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    Registrant has omitted schedules (or similar attachments) pursuant to Item 601(a)(5) of Regulation S-K. The Registrant agrees to furnish supplementally a copy of the omitted schedules and exhibits to the SEC upon request.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    Indicates management contract or compensatory plan.</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    The certifications attached as Exhibit 32.1 that accompany this Quarterly Report on Form 10-Q are not deemed filed with the SEC and are not to be incorporated by reference into any filing of Arcutis Biotherapeutics, Inc. under the Securities Act of 1933, as amended, or the Securities Exchange Act of 1934, as amended, whether made before or after the date of this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72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6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Quarterly Report on Form 10-Q to be signed on its behalf by the undersigned, thereunto duly authorized.</w:t>
      </w:r>
    </w:p>
    <w:tbl>
      <w:tblPr>
        <w:tblW w:w="7946"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534"/>
        <w:gridCol w:w="534"/>
        <w:gridCol w:w="534"/>
        <w:gridCol w:w="1233"/>
        <w:gridCol w:w="1233"/>
        <w:gridCol w:w="176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ARCUTIS BIOTHERAPEUTICS,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05, 2026</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Todd Franklin Watanabe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Todd Franklin Watanabe</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President, Chief Executive Officer and Director</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p>
            <w:pPr>
              <w:pStyle w:val="TableContents"/>
              <w:bidi w:val="0"/>
              <w:spacing w:before="0" w:after="0"/>
              <w:jc w:val="left"/>
              <w:rPr/>
            </w:pPr>
            <w:r>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05, 2026</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Latha Vairavan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Latha Vairavan</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Chief Financial Officer</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p>
            <w:pPr>
              <w:pStyle w:val="TableContents"/>
              <w:bidi w:val="0"/>
              <w:spacing w:before="0" w:after="0"/>
              <w:jc w:val="left"/>
              <w:rPr/>
            </w:pPr>
            <w:r>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Todd Franklin Watanabe, certify that:</w:t>
      </w:r>
    </w:p>
    <w:p>
      <w:pPr>
        <w:pStyle w:val="TextBody"/>
        <w:bidi w:val="0"/>
        <w:spacing w:before="0" w:after="0"/>
        <w:jc w:val="left"/>
        <w:rPr/>
      </w:pPr>
      <w:r>
        <w:rPr/>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Arcutis Biotherapeutics, Inc.;</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8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210"/>
        <w:gridCol w:w="1210"/>
        <w:gridCol w:w="171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Todd Franklin Watanabe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Todd Franklin Watanabe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President, Chief Executive Officer and Director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lineRule="auto" w:line="300" w:before="0" w:after="160"/>
        <w:jc w:val="lef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Latha Vairavan, certify that:</w:t>
      </w:r>
    </w:p>
    <w:p>
      <w:pPr>
        <w:pStyle w:val="TextBody"/>
        <w:bidi w:val="0"/>
        <w:spacing w:before="0" w:after="0"/>
        <w:jc w:val="left"/>
        <w:rPr/>
      </w:pPr>
      <w:r>
        <w:rPr/>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Arcutis Biotherapeutics, Inc.;</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7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149"/>
        <w:gridCol w:w="1149"/>
        <w:gridCol w:w="163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Latha Vairavan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 Vairavan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Accounting and Financial Officer)</w:t>
            </w:r>
          </w:p>
        </w:tc>
      </w:tr>
    </w:tbl>
    <w:p>
      <w:pPr>
        <w:pStyle w:val="TextBody"/>
        <w:bidi w:val="0"/>
        <w:spacing w:lineRule="auto" w:line="300" w:before="0" w:after="160"/>
        <w:jc w:val="left"/>
        <w:rPr>
          <w:color w:val="000000"/>
        </w:rPr>
      </w:pP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Arcutis Biotherapeutics, Inc. (the “Company”) on Form 10-Q for the period ended June 30, 2026, as filed with the Securities and Exchange Commission on the date hereof (the “Report”), Todd Franklin Watanabe, Chief Executive Officer of the Company, and Latha Vairavan, Chief Financial Officer of the Company, respectively, do each hereby certify, pursuant to 18 U.S.C. Section 1350, as adopted pursuant to Section 906 of the Sarbanes-Oxley Act of 2002, that: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0" w:after="0"/>
        <w:jc w:val="left"/>
        <w:rPr/>
      </w:pPr>
      <w:r>
        <w:rPr/>
      </w:r>
    </w:p>
    <w:tbl>
      <w:tblPr>
        <w:tblW w:w="638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210"/>
        <w:gridCol w:w="1210"/>
        <w:gridCol w:w="171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Todd Franklin Watanabe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Todd Franklin Watanabe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President, Chief Executive Officer and Director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Latha Vairavan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 Vairavan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Accounting and Financial Officer)</w:t>
            </w:r>
          </w:p>
        </w:tc>
      </w:tr>
    </w:tbl>
    <w:p>
      <w:pPr>
        <w:pStyle w:val="TextBody"/>
        <w:bidi w:val="0"/>
        <w:spacing w:lineRule="auto" w:line="300" w:before="0" w:after="160"/>
        <w:jc w:val="left"/>
        <w:rPr>
          <w:color w:val="000000"/>
        </w:rPr>
      </w:pP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306/000178730620000010/exhibit31postipocertif.htm" TargetMode="External"/><Relationship Id="rId3" Type="http://schemas.openxmlformats.org/officeDocument/2006/relationships/hyperlink" Target="https://www.sec.gov/Archives/edgar/data/1787306/000178730620000010/exhibit32postipobylaws.htm" TargetMode="External"/><Relationship Id="rId4" Type="http://schemas.openxmlformats.org/officeDocument/2006/relationships/hyperlink" Target="https://www.sec.gov/Archives/edgar/data/1787306/000119312520010664/d784371dex41.htm" TargetMode="External"/><Relationship Id="rId5" Type="http://schemas.openxmlformats.org/officeDocument/2006/relationships/hyperlink" Target="https://www.sec.gov/Archives/edgar/data/1787306/000119312520001990/d784371dex42.htm" TargetMode="External"/><Relationship Id="rId6" Type="http://schemas.openxmlformats.org/officeDocument/2006/relationships/hyperlink" Target="https://www.sec.gov/Archives/edgar/data/1787306/000178730626000033/exhibit43firstamendedandre.htm" TargetMode="External"/><Relationship Id="rId7" Type="http://schemas.openxmlformats.org/officeDocument/2006/relationships/hyperlink" Target="https://www.sec.gov/Archives/edgar/data/1787306/000162828026041883/exhibit101amendedandrestat.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20958</Words>
  <Characters>115716</Characters>
  <CharactersWithSpaces>135325</CharactersWithSpaces>
  <Paragraphs>2234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