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599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599680"/>
                    </a:xfrm>
                    <a:prstGeom prst="rect">
                      <a:avLst/>
                    </a:prstGeom>
                    <a:noFill/>
                  </pic:spPr>
                </pic:pic>
              </a:graphicData>
            </a:graphic>
          </wp:anchor>
        </w:drawing>
      </w:r>
    </w:p>
    <w:p>
      <w:pPr>
        <w:spacing w:after="0" w:line="1243" w:lineRule="exact"/>
        <w:rPr>
          <w:sz w:val="24"/>
          <w:szCs w:val="24"/>
          <w:color w:val="auto"/>
        </w:rPr>
      </w:pPr>
    </w:p>
    <w:p>
      <w:pPr>
        <w:sectPr>
          <w:pgSz w:w="11900" w:h="16851"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Heron Patrick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ARCUTIS BIOTHERAPEUTICS,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3027 TOWNSGATE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Arcutis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ARQT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51" w:orient="portrait"/>
          <w:cols w:equalWidth="0" w:num="3">
            <w:col w:w="3200" w:space="720"/>
            <w:col w:w="3120" w:space="70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352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440" w:type="dxa"/>
            <w:vAlign w:val="bottom"/>
          </w:tcPr>
          <w:p>
            <w:pPr>
              <w:spacing w:after="0"/>
              <w:rPr>
                <w:sz w:val="13"/>
                <w:szCs w:val="13"/>
                <w:color w:val="auto"/>
              </w:rPr>
            </w:pPr>
          </w:p>
        </w:tc>
        <w:tc>
          <w:tcPr>
            <w:tcW w:w="3260" w:type="dxa"/>
            <w:vAlign w:val="bottom"/>
            <w:gridSpan w:val="5"/>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80" w:type="dxa"/>
            <w:vAlign w:val="bottom"/>
            <w:gridSpan w:val="4"/>
            <w:vMerge w:val="restart"/>
          </w:tcPr>
          <w:p>
            <w:pPr>
              <w:ind w:left="3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74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91361</w:t>
            </w: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80" w:type="dxa"/>
            <w:vAlign w:val="bottom"/>
            <w:gridSpan w:val="4"/>
            <w:vMerge w:val="restart"/>
          </w:tcPr>
          <w:p>
            <w:pPr>
              <w:ind w:left="3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78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vMerge w:val="restart"/>
          </w:tcPr>
          <w:p>
            <w:pPr>
              <w:ind w:left="3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ind w:left="100"/>
              <w:spacing w:after="0"/>
              <w:rPr>
                <w:sz w:val="20"/>
                <w:szCs w:val="20"/>
                <w:color w:val="auto"/>
              </w:rPr>
            </w:pPr>
            <w:r>
              <w:rPr>
                <w:rFonts w:ascii="Arial" w:cs="Arial" w:eastAsia="Arial" w:hAnsi="Arial"/>
                <w:sz w:val="13"/>
                <w:szCs w:val="13"/>
                <w:color w:val="auto"/>
              </w:rPr>
              <w:t>(State)</w:t>
            </w:r>
          </w:p>
        </w:tc>
        <w:tc>
          <w:tcPr>
            <w:tcW w:w="2140" w:type="dxa"/>
            <w:vAlign w:val="bottom"/>
            <w:gridSpan w:val="2"/>
          </w:tcPr>
          <w:p>
            <w:pPr>
              <w:ind w:left="54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4140" w:type="dxa"/>
            <w:vAlign w:val="bottom"/>
            <w:tcBorders>
              <w:bottom w:val="single" w:sz="8" w:color="2C2C2C"/>
            </w:tcBorders>
            <w:gridSpan w:val="7"/>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980" w:type="dxa"/>
            <w:vAlign w:val="bottom"/>
            <w:tcBorders>
              <w:top w:val="single" w:sz="8" w:color="2C2C2C"/>
            </w:tcBorders>
            <w:gridSpan w:val="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214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4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40" w:type="dxa"/>
            <w:vAlign w:val="bottom"/>
            <w:gridSpan w:val="2"/>
          </w:tcPr>
          <w:p>
            <w:pPr>
              <w:ind w:left="11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98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40" w:type="dxa"/>
            <w:vAlign w:val="bottom"/>
            <w:gridSpan w:val="2"/>
          </w:tcPr>
          <w:p>
            <w:pPr>
              <w:ind w:left="112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04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4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gridSpan w:val="2"/>
          </w:tcPr>
          <w:p>
            <w:pPr>
              <w:ind w:left="1220"/>
              <w:spacing w:after="0"/>
              <w:rPr>
                <w:sz w:val="20"/>
                <w:szCs w:val="20"/>
                <w:color w:val="auto"/>
              </w:rPr>
            </w:pPr>
            <w:r>
              <w:rPr>
                <w:rFonts w:ascii="Times New Roman" w:cs="Times New Roman" w:eastAsia="Times New Roman" w:hAnsi="Times New Roman"/>
                <w:sz w:val="17"/>
                <w:szCs w:val="17"/>
                <w:color w:val="0000FF"/>
              </w:rPr>
              <w:t>06/05/2026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5,778</w:t>
            </w:r>
            <w:r>
              <w:rPr>
                <w:rFonts w:ascii="Times New Roman" w:cs="Times New Roman" w:eastAsia="Times New Roman" w:hAnsi="Times New Roman"/>
                <w:sz w:val="21"/>
                <w:szCs w:val="21"/>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80" w:type="dxa"/>
            <w:vAlign w:val="bottom"/>
            <w:tcBorders>
              <w:bottom w:val="single" w:sz="8" w:color="2C2C2C"/>
            </w:tcBorders>
            <w:gridSpan w:val="2"/>
          </w:tcPr>
          <w:p>
            <w:pPr>
              <w:jc w:val="center"/>
              <w:ind w:left="142"/>
              <w:spacing w:after="0"/>
              <w:rPr>
                <w:sz w:val="20"/>
                <w:szCs w:val="20"/>
                <w:color w:val="auto"/>
              </w:rPr>
            </w:pPr>
            <w:r>
              <w:rPr>
                <w:rFonts w:ascii="Times New Roman" w:cs="Times New Roman" w:eastAsia="Times New Roman" w:hAnsi="Times New Roman"/>
                <w:sz w:val="17"/>
                <w:szCs w:val="17"/>
                <w:color w:val="0000FF"/>
                <w:w w:val="98"/>
              </w:rPr>
              <w:t>32,213</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Frazier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2"/>
            <w:vMerge w:val="restart"/>
          </w:tcPr>
          <w:p>
            <w:pPr>
              <w:jc w:val="center"/>
              <w:ind w:left="142"/>
              <w:spacing w:after="0"/>
              <w:rPr>
                <w:sz w:val="20"/>
                <w:szCs w:val="20"/>
                <w:color w:val="auto"/>
              </w:rPr>
            </w:pPr>
            <w:r>
              <w:rPr>
                <w:rFonts w:ascii="Times New Roman" w:cs="Times New Roman" w:eastAsia="Times New Roman" w:hAnsi="Times New Roman"/>
                <w:sz w:val="17"/>
                <w:szCs w:val="17"/>
                <w:color w:val="0000FF"/>
                <w:w w:val="98"/>
              </w:rPr>
              <w:t>24,802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Life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Sciences X,</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1"/>
                <w:szCs w:val="21"/>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Frazier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2"/>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9"/>
              </w:rPr>
              <w:t>8,785,284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Life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Sciences</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VIII, L.P.</w:t>
            </w:r>
            <w:r>
              <w:rPr>
                <w:rFonts w:ascii="Times New Roman" w:cs="Times New Roman" w:eastAsia="Times New Roman" w:hAnsi="Times New Roman"/>
                <w:sz w:val="21"/>
                <w:szCs w:val="21"/>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FHM</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2"/>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3"/>
              </w:rPr>
              <w:t>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Life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Sciences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VIII, L.L.C.</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2"/>
            <w:vMerge w:val="restart"/>
          </w:tcPr>
          <w:p>
            <w:pPr>
              <w:jc w:val="center"/>
              <w:ind w:left="142"/>
              <w:spacing w:after="0"/>
              <w:rPr>
                <w:sz w:val="20"/>
                <w:szCs w:val="20"/>
                <w:color w:val="auto"/>
              </w:rPr>
            </w:pPr>
            <w:r>
              <w:rPr>
                <w:rFonts w:ascii="Times New Roman" w:cs="Times New Roman" w:eastAsia="Times New Roman" w:hAnsi="Times New Roman"/>
                <w:sz w:val="17"/>
                <w:szCs w:val="17"/>
                <w:color w:val="0000FF"/>
                <w:w w:val="98"/>
              </w:rPr>
              <w:t>23,688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Heron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Living Trust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11/30/2004</w:t>
            </w:r>
            <w:r>
              <w:rPr>
                <w:rFonts w:ascii="Times New Roman" w:cs="Times New Roman" w:eastAsia="Times New Roman" w:hAnsi="Times New Roman"/>
                <w:sz w:val="21"/>
                <w:szCs w:val="21"/>
                <w:color w:val="008000"/>
                <w:vertAlign w:val="superscript"/>
              </w:rPr>
              <w:t>(5)</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21.23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16,667</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16,667</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16,667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in connection with the Reporting Person's service as a non-employee director as of the Company's 2026 annual meeting of stockholders. The Reporting Person is entitled to receive one (1) share of common stock for each one (1) RSU upon the vesting thereof, which shall occur on the earlier of the first anniversary of the grant date, June 5, 2026, or immediately before the next annual meeting of stockholders, subject to the continued service through the vesting date. Upon vesting of the RSUs, the settlement has been deferred by the Reporting Person, pursuant to the terms of the RSU Deferral Election Form adopted on October 21, 2025, maintained by the Company.</w:t>
      </w:r>
    </w:p>
    <w:p>
      <w:pPr>
        <w:spacing w:after="0" w:line="28"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are held of record by Frazier Life Sciences X, L.P. FHMLS X, L.P. is the general partner of Frazier Life Sciences X, L.P. and FHMLS X, L.L.C. is the general partner of FHMLS X, L.P. The Reporting Person is one of two managing members of FHMLS X, L.L.C. The Reporting Person disclaims beneficial ownership of such securities except to the extent of his pecuniary interest therein, and the inclusion of these securities in this report shall not be deemed an admission of beneficial ownership of such securities for purposes of Section 16 or for any other purposes.</w:t>
      </w:r>
    </w:p>
    <w:p>
      <w:pPr>
        <w:spacing w:after="0" w:line="26" w:lineRule="exact"/>
        <w:rPr>
          <w:rFonts w:ascii="Times New Roman" w:cs="Times New Roman" w:eastAsia="Times New Roman" w:hAnsi="Times New Roman"/>
          <w:sz w:val="13"/>
          <w:szCs w:val="13"/>
          <w:color w:val="008000"/>
        </w:rPr>
      </w:pPr>
    </w:p>
    <w:p>
      <w:pPr>
        <w:ind w:left="40" w:right="280" w:firstLine="2"/>
        <w:spacing w:after="0" w:line="296"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reported herein are held of record by Frazier Life Sciences VIII, L.P. FHM Life Sciences VIII, L.P. is the general partner of Frazier Life Sciences VIII, L.P. and FHM Life Sciences VIII, L.L.C. is the general partner of FHM Life Sciences VIII, L.P. The Reporting Person is one of two managing members of FHM Life Sciences VIII, L.L.C. The Reporting Person disclaims beneficial ownership of such</w:t>
      </w:r>
    </w:p>
    <w:p>
      <w:pPr>
        <w:sectPr>
          <w:pgSz w:w="11900" w:h="16851" w:orient="portrait"/>
          <w:cols w:equalWidth="0" w:num="1">
            <w:col w:w="11080"/>
          </w:cols>
          <w:pgMar w:left="460" w:top="217" w:right="359" w:bottom="0" w:gutter="0" w:footer="0" w:header="0"/>
          <w:type w:val="continuous"/>
        </w:sectPr>
      </w:pPr>
    </w:p>
    <w:bookmarkStart w:id="1" w:name="page2"/>
    <w:bookmarkEnd w:id="1"/>
    <w:p>
      <w:pPr>
        <w:ind w:right="360"/>
        <w:spacing w:after="0" w:line="255" w:lineRule="auto"/>
        <w:rPr>
          <w:sz w:val="20"/>
          <w:szCs w:val="20"/>
          <w:color w:val="auto"/>
        </w:rPr>
      </w:pPr>
      <w:r>
        <w:rPr>
          <w:rFonts w:ascii="Times New Roman" w:cs="Times New Roman" w:eastAsia="Times New Roman" w:hAnsi="Times New Roman"/>
          <w:sz w:val="13"/>
          <w:szCs w:val="13"/>
          <w:color w:val="008000"/>
        </w:rPr>
        <w:t>securities except to the extent of his pecuniary interest therein, and the inclusion of these securities in this report shall not be deemed an admission of beneficial ownership of such securities for purposes of Section 16 or for any other purposes.</w:t>
      </w:r>
    </w:p>
    <w:p>
      <w:pPr>
        <w:spacing w:after="0" w:line="18" w:lineRule="exact"/>
        <w:rPr>
          <w:sz w:val="20"/>
          <w:szCs w:val="20"/>
          <w:color w:val="auto"/>
        </w:rPr>
      </w:pPr>
    </w:p>
    <w:p>
      <w:pPr>
        <w:jc w:val="both"/>
        <w:ind w:right="160" w:firstLine="2"/>
        <w:spacing w:after="0" w:line="241"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are held of record by FHM Life Sciences VIII, L.L.C. The Reporting Person is one of two managing members of FHM Life Sciences VIII, L.L.C. The Reporting Person disclaims beneficial ownership of such securities except to the extent of his pecuniary interest therein, and the inclusion of these securities in this report shall not be deemed an admission of beneficial ownership of such securities for purposes of Section 16 or for any other purposes.</w:t>
      </w:r>
    </w:p>
    <w:p>
      <w:pPr>
        <w:spacing w:after="0" w:line="26" w:lineRule="exact"/>
        <w:rPr>
          <w:rFonts w:ascii="Times New Roman" w:cs="Times New Roman" w:eastAsia="Times New Roman" w:hAnsi="Times New Roman"/>
          <w:sz w:val="13"/>
          <w:szCs w:val="13"/>
          <w:color w:val="008000"/>
        </w:rPr>
      </w:pPr>
    </w:p>
    <w:p>
      <w:pPr>
        <w:jc w:val="both"/>
        <w:ind w:firstLine="2"/>
        <w:spacing w:after="0" w:line="241"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The Heron Living Trust 11/30/2004. The Reporting Person is the co-trustee of The Heron Living Trust 11/30/2004 and has voting and investment power of the securities held by The Heron Living Trust 11/30/2004. The Reporting Person disclaims beneficial ownership of such securities except to the extent of his pecuniary interest therein, and the inclusion of these securities in this report shall not be deemed an admission of beneficial ownership of such securities for purposes of Section 16 or for any other purposes.</w:t>
      </w:r>
    </w:p>
    <w:p>
      <w:pPr>
        <w:spacing w:after="0" w:line="26" w:lineRule="exact"/>
        <w:rPr>
          <w:rFonts w:ascii="Times New Roman" w:cs="Times New Roman" w:eastAsia="Times New Roman" w:hAnsi="Times New Roman"/>
          <w:sz w:val="13"/>
          <w:szCs w:val="13"/>
          <w:color w:val="008000"/>
        </w:rPr>
      </w:pPr>
    </w:p>
    <w:p>
      <w:pPr>
        <w:ind w:right="300"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on the earlier of the first anniversary of the grant date, June 5, 2026, or immediately before the next annual meeting of stockholders, subject to the continued service through the vesting date.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60"/>
        <w:spacing w:after="0" w:line="222" w:lineRule="auto"/>
        <w:rPr>
          <w:sz w:val="20"/>
          <w:szCs w:val="20"/>
          <w:color w:val="auto"/>
        </w:rPr>
      </w:pPr>
      <w:r>
        <w:rPr>
          <w:rFonts w:ascii="Times New Roman" w:cs="Times New Roman" w:eastAsia="Times New Roman" w:hAnsi="Times New Roman"/>
          <w:sz w:val="17"/>
          <w:szCs w:val="17"/>
          <w:color w:val="0000FF"/>
        </w:rPr>
        <w:t xml:space="preserve">/s/ Latha Vairavan, Attorney-in- </w:t>
      </w:r>
      <w:r>
        <w:rPr>
          <w:rFonts w:ascii="Times New Roman" w:cs="Times New Roman" w:eastAsia="Times New Roman" w:hAnsi="Times New Roman"/>
          <w:sz w:val="33"/>
          <w:szCs w:val="33"/>
          <w:color w:val="0000FF"/>
          <w:vertAlign w:val="subscript"/>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-27305</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Patrick J. Heron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49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9655"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6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65617" TargetMode="External"/><Relationship Id="rId14" Type="http://schemas.openxmlformats.org/officeDocument/2006/relationships/hyperlink" Target="http://www.sec.gov/cgi-bin/browse-edgar?action=getcompany&amp;CIK=0001787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2026-06-09T20:22:23Z</dcterms:created>
  <dcterms:modified xsi:type="dcterms:W3CDTF">2026-06-09T20:22:23Z</dcterms:modified>
</cp:coreProperties>
</file>