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4318668.xml.htm"/>
      <w:bookmarkStart w:id="1" w:name="kswkform3_1784318668"/>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Peetz Christopher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ARCUTIS BIOTHERAPEUTICS,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3027 TOWNSGATE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 VILLAGE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91361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07/15/2026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Arcutis Biotherapeutics, Inc.</w:t>
              </w:r>
            </w:hyperlink>
            <w:r>
              <w:rPr/>
              <w:t xml:space="preserve"> [ </w:t>
            </w:r>
            <w:r>
              <w:rPr>
                <w:rFonts w:ascii="Times;serif" w:hAnsi="Times;serif"/>
                <w:color w:val="0000FF"/>
                <w:sz w:val="24"/>
                <w:shd w:fill="FFFFFF" w:val="clear"/>
              </w:rPr>
              <w:t>ARQT</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187,500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Peetz Family Trust</w:t>
            </w:r>
            <w:r>
              <w:rPr>
                <w:rFonts w:ascii="Times;serif" w:hAnsi="Times;serif"/>
                <w:color w:val="008000"/>
                <w:position w:val="7"/>
                <w:sz w:val="16"/>
                <w:sz w:val="20"/>
                <w:shd w:fill="FFFFFF" w:val="clear"/>
              </w:rPr>
              <w:t>(1)</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held by The Peetz Family Trust dated February 15, 2017, of which the Reporting Person is a trustee. The Reporting Person disclaims beneficial ownership of such securities except to the extent of his pecuniary interest therein, and the inclusion of these securities in this report shall not be deemed an admission of beneficial ownership of such securities for purposes of Section 16 or for any other purposes.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/s/Latha Vairavan, as Attorney-in-Fact for Christopher Peetz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peetzpowerofattorney.htm"/>
      <w:bookmarkStart w:id="3" w:name="kspeetzpowerofattorney"/>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each of (i) the Chief Executive Officer, who is currently Todd Franklin Watanabe, of Arcutis Biotherapeutics, Inc., a Delaware corporation (the “Company”), (ii) the Company’s Chief Financial Officer, who is currently Latha Vairavan, and (iii) the Company’s Chief Legal Officer, who is currently Masaru Matsuda, and their respective successors (including anyone serving in such capacities on an interim or acting basis), signing singly, with full powers of substitution, as the undersigned’s true and lawful attorney-in fact to: 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 2. execute for and on behalf of the undersigned, in the undersigned’s capacity as an officer and/or director of the Company, Forms 3, 4, and 5 and any amendments thereto in accordance with Section 16(a) of the Securities Exchange Act of 1934 and the rules thereunder; 3.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 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 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15th day of July 2026. /s/ Christopher Peetz Christopher Peetz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14740" TargetMode="External"/><Relationship Id="rId3" Type="http://schemas.openxmlformats.org/officeDocument/2006/relationships/hyperlink" Target="http://www.sec.gov/cgi-bin/browse-edgar?action=getcompany&amp;CIK=000178730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1047</Words>
  <Characters>5604</Characters>
  <CharactersWithSpaces>6610</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peetzpowerofattorney</dc:title>
</cp:coreProperties>
</file>