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5" w:lineRule="exact"/>
        <w:rPr>
          <w:sz w:val="24"/>
          <w:szCs w:val="24"/>
          <w:color w:val="auto"/>
        </w:rPr>
      </w:pPr>
    </w:p>
    <w:p>
      <w:pPr>
        <w:ind w:left="4900"/>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22860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-199390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0"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(Mark One)</w:t>
      </w:r>
    </w:p>
    <w:p>
      <w:pPr>
        <w:spacing w:after="0" w:line="14" w:lineRule="exact"/>
        <w:rPr>
          <w:sz w:val="24"/>
          <w:szCs w:val="24"/>
          <w:color w:val="auto"/>
        </w:rPr>
      </w:pPr>
    </w:p>
    <w:p>
      <w:pPr>
        <w:ind w:left="1000" w:hanging="212"/>
        <w:spacing w:after="0"/>
        <w:tabs>
          <w:tab w:leader="none" w:pos="1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 w:lineRule="exact"/>
        <w:rPr>
          <w:sz w:val="24"/>
          <w:szCs w:val="24"/>
          <w:color w:val="auto"/>
        </w:rPr>
      </w:pPr>
    </w:p>
    <w:p>
      <w:pPr>
        <w:ind w:left="1000" w:hanging="225"/>
        <w:spacing w:after="0"/>
        <w:tabs>
          <w:tab w:leader="none" w:pos="10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 w:lineRule="exact"/>
        <w:rPr>
          <w:rFonts w:ascii="MS PGothic" w:cs="MS PGothic" w:eastAsia="MS PGothic" w:hAnsi="MS PGothic"/>
          <w:sz w:val="18"/>
          <w:szCs w:val="18"/>
          <w:color w:val="auto"/>
          <w:highlight w:val="black"/>
        </w:rPr>
      </w:pPr>
    </w:p>
    <w:p>
      <w:pPr>
        <w:ind w:left="462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transition period from to</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001-39186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-207645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11"/>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2040" w:type="dxa"/>
            <w:vAlign w:val="bottom"/>
            <w:gridSpan w:val="2"/>
          </w:tcPr>
          <w:p>
            <w:pPr>
              <w:jc w:val="center"/>
              <w:ind w:left="101"/>
              <w:spacing w:after="0"/>
              <w:rPr>
                <w:sz w:val="20"/>
                <w:szCs w:val="20"/>
                <w:color w:val="auto"/>
              </w:rPr>
            </w:pPr>
            <w:r>
              <w:rPr>
                <w:rFonts w:ascii="Arial" w:cs="Arial" w:eastAsia="Arial" w:hAnsi="Arial"/>
                <w:sz w:val="16"/>
                <w:szCs w:val="16"/>
                <w:b w:val="1"/>
                <w:bCs w:val="1"/>
                <w:color w:val="auto"/>
                <w:w w:val="93"/>
              </w:rPr>
              <w:t>Delaware</w:t>
            </w: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2"/>
          </w:tcPr>
          <w:p>
            <w:pPr>
              <w:jc w:val="right"/>
              <w:ind w:right="1419"/>
              <w:spacing w:after="0"/>
              <w:rPr>
                <w:sz w:val="20"/>
                <w:szCs w:val="20"/>
                <w:color w:val="auto"/>
              </w:rPr>
            </w:pPr>
            <w:r>
              <w:rPr>
                <w:rFonts w:ascii="Arial" w:cs="Arial" w:eastAsia="Arial" w:hAnsi="Arial"/>
                <w:sz w:val="16"/>
                <w:szCs w:val="16"/>
                <w:b w:val="1"/>
                <w:bCs w:val="1"/>
                <w:color w:val="auto"/>
              </w:rPr>
              <w:t>81-2974255</w:t>
            </w:r>
          </w:p>
        </w:tc>
        <w:tc>
          <w:tcPr>
            <w:tcW w:w="0" w:type="dxa"/>
            <w:vAlign w:val="bottom"/>
          </w:tcPr>
          <w:p>
            <w:pPr>
              <w:spacing w:after="0"/>
              <w:rPr>
                <w:sz w:val="1"/>
                <w:szCs w:val="1"/>
                <w:color w:val="auto"/>
              </w:rPr>
            </w:pPr>
          </w:p>
        </w:tc>
      </w:tr>
      <w:tr>
        <w:trPr>
          <w:trHeight w:val="210"/>
        </w:trPr>
        <w:tc>
          <w:tcPr>
            <w:tcW w:w="4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(State or Other Jurisdiction of Incorporation or Organization)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20" w:type="dxa"/>
            <w:vAlign w:val="bottom"/>
            <w:gridSpan w:val="4"/>
          </w:tcPr>
          <w:p>
            <w:pPr>
              <w:ind w:left="1000"/>
              <w:spacing w:after="0"/>
              <w:rPr>
                <w:sz w:val="20"/>
                <w:szCs w:val="20"/>
                <w:color w:val="auto"/>
              </w:rPr>
            </w:pPr>
            <w:r>
              <w:rPr>
                <w:rFonts w:ascii="Arial" w:cs="Arial" w:eastAsia="Arial" w:hAnsi="Arial"/>
                <w:sz w:val="16"/>
                <w:szCs w:val="16"/>
                <w:b w:val="1"/>
                <w:bCs w:val="1"/>
                <w:color w:val="auto"/>
              </w:rPr>
              <w:t>(I.R.S. Employer Identification Number)</w:t>
            </w: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3280" w:type="dxa"/>
            <w:vAlign w:val="bottom"/>
            <w:gridSpan w:val="3"/>
          </w:tcPr>
          <w:p>
            <w:pPr>
              <w:jc w:val="center"/>
              <w:ind w:right="979"/>
              <w:spacing w:after="0" w:line="181" w:lineRule="exact"/>
              <w:rPr>
                <w:sz w:val="20"/>
                <w:szCs w:val="20"/>
                <w:color w:val="auto"/>
              </w:rPr>
            </w:pPr>
            <w:r>
              <w:rPr>
                <w:rFonts w:ascii="Arial" w:cs="Arial" w:eastAsia="Arial" w:hAnsi="Arial"/>
                <w:sz w:val="16"/>
                <w:szCs w:val="16"/>
                <w:b w:val="1"/>
                <w:bCs w:val="1"/>
                <w:color w:val="auto"/>
                <w:w w:val="89"/>
              </w:rPr>
              <w:t>3027 Townsgate Road Suite 300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2"/>
          </w:tcPr>
          <w:p>
            <w:pPr>
              <w:jc w:val="right"/>
              <w:ind w:right="1599"/>
              <w:spacing w:after="0" w:line="181" w:lineRule="exact"/>
              <w:rPr>
                <w:sz w:val="20"/>
                <w:szCs w:val="20"/>
                <w:color w:val="auto"/>
              </w:rPr>
            </w:pPr>
            <w:r>
              <w:rPr>
                <w:rFonts w:ascii="Arial" w:cs="Arial" w:eastAsia="Arial" w:hAnsi="Arial"/>
                <w:sz w:val="16"/>
                <w:szCs w:val="16"/>
                <w:b w:val="1"/>
                <w:bCs w:val="1"/>
                <w:color w:val="auto"/>
              </w:rPr>
              <w:t>91361</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3280" w:type="dxa"/>
            <w:vAlign w:val="bottom"/>
            <w:gridSpan w:val="3"/>
          </w:tcPr>
          <w:p>
            <w:pPr>
              <w:jc w:val="center"/>
              <w:ind w:right="979"/>
              <w:spacing w:after="0"/>
              <w:rPr>
                <w:sz w:val="20"/>
                <w:szCs w:val="20"/>
                <w:color w:val="auto"/>
              </w:rPr>
            </w:pPr>
            <w:r>
              <w:rPr>
                <w:rFonts w:ascii="Arial" w:cs="Arial" w:eastAsia="Arial" w:hAnsi="Arial"/>
                <w:sz w:val="16"/>
                <w:szCs w:val="16"/>
                <w:b w:val="1"/>
                <w:bCs w:val="1"/>
                <w:color w:val="auto"/>
                <w:w w:val="93"/>
              </w:rPr>
              <w:t>Westlake Village, California</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420"/>
              <w:spacing w:after="0"/>
              <w:rPr>
                <w:sz w:val="20"/>
                <w:szCs w:val="20"/>
                <w:color w:val="auto"/>
              </w:rPr>
            </w:pPr>
            <w:r>
              <w:rPr>
                <w:rFonts w:ascii="Arial" w:cs="Arial" w:eastAsia="Arial" w:hAnsi="Arial"/>
                <w:sz w:val="16"/>
                <w:szCs w:val="16"/>
                <w:b w:val="1"/>
                <w:bCs w:val="1"/>
                <w:color w:val="auto"/>
              </w:rPr>
              <w:t>(Zip Code)</w:t>
            </w:r>
          </w:p>
        </w:tc>
        <w:tc>
          <w:tcPr>
            <w:tcW w:w="0" w:type="dxa"/>
            <w:vAlign w:val="bottom"/>
          </w:tcPr>
          <w:p>
            <w:pPr>
              <w:spacing w:after="0"/>
              <w:rPr>
                <w:sz w:val="1"/>
                <w:szCs w:val="1"/>
                <w:color w:val="auto"/>
              </w:rPr>
            </w:pPr>
          </w:p>
        </w:tc>
      </w:tr>
      <w:tr>
        <w:trPr>
          <w:trHeight w:val="210"/>
        </w:trPr>
        <w:tc>
          <w:tcPr>
            <w:tcW w:w="43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2500" w:type="dxa"/>
            <w:vAlign w:val="bottom"/>
            <w:gridSpan w:val="3"/>
            <w:vMerge w:val="restart"/>
          </w:tcPr>
          <w:p>
            <w:pPr>
              <w:jc w:val="center"/>
              <w:ind w:right="1119"/>
              <w:spacing w:after="0"/>
              <w:rPr>
                <w:sz w:val="20"/>
                <w:szCs w:val="20"/>
                <w:color w:val="auto"/>
              </w:rPr>
            </w:pPr>
            <w:r>
              <w:rPr>
                <w:rFonts w:ascii="Arial" w:cs="Arial" w:eastAsia="Arial" w:hAnsi="Arial"/>
                <w:sz w:val="16"/>
                <w:szCs w:val="16"/>
                <w:b w:val="1"/>
                <w:bCs w:val="1"/>
                <w:color w:val="auto"/>
                <w:w w:val="93"/>
              </w:rPr>
              <w:t>(805) 418-5006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40" w:type="dxa"/>
            <w:vAlign w:val="bottom"/>
            <w:gridSpan w:val="4"/>
          </w:tcPr>
          <w:p>
            <w:pPr>
              <w:jc w:val="center"/>
              <w:ind w:right="1360"/>
              <w:spacing w:after="0"/>
              <w:rPr>
                <w:sz w:val="20"/>
                <w:szCs w:val="20"/>
                <w:color w:val="auto"/>
              </w:rPr>
            </w:pPr>
            <w:r>
              <w:rPr>
                <w:rFonts w:ascii="Arial" w:cs="Arial" w:eastAsia="Arial" w:hAnsi="Arial"/>
                <w:sz w:val="16"/>
                <w:szCs w:val="16"/>
                <w:b w:val="1"/>
                <w:bCs w:val="1"/>
                <w:color w:val="auto"/>
                <w:w w:val="92"/>
              </w:rPr>
              <w:t>Not Applicable</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40" w:type="dxa"/>
            <w:vAlign w:val="bottom"/>
            <w:gridSpan w:val="8"/>
          </w:tcPr>
          <w:p>
            <w:pPr>
              <w:ind w:left="32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6"/>
          </w:tcPr>
          <w:p>
            <w:pPr>
              <w:jc w:val="center"/>
              <w:ind w:left="75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3280" w:type="dxa"/>
            <w:vAlign w:val="bottom"/>
            <w:gridSpan w:val="3"/>
          </w:tcPr>
          <w:p>
            <w:pPr>
              <w:jc w:val="center"/>
              <w:ind w:right="2119"/>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50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2"/>
              </w:rPr>
              <w:t>Trading Symbol</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gridSpan w:val="4"/>
          </w:tcPr>
          <w:p>
            <w:pPr>
              <w:jc w:val="center"/>
              <w:ind w:right="1059"/>
              <w:spacing w:after="0"/>
              <w:rPr>
                <w:sz w:val="20"/>
                <w:szCs w:val="20"/>
                <w:color w:val="auto"/>
              </w:rPr>
            </w:pPr>
            <w:r>
              <w:rPr>
                <w:rFonts w:ascii="Arial" w:cs="Arial" w:eastAsia="Arial" w:hAnsi="Arial"/>
                <w:sz w:val="16"/>
                <w:szCs w:val="16"/>
                <w:b w:val="1"/>
                <w:bCs w:val="1"/>
                <w:color w:val="auto"/>
                <w:w w:val="91"/>
              </w:rPr>
              <w:t>Common Stock, par value $0.0001</w:t>
            </w:r>
          </w:p>
        </w:tc>
        <w:tc>
          <w:tcPr>
            <w:tcW w:w="140" w:type="dxa"/>
            <w:vAlign w:val="bottom"/>
          </w:tcPr>
          <w:p>
            <w:pPr>
              <w:spacing w:after="0"/>
              <w:rPr>
                <w:sz w:val="21"/>
                <w:szCs w:val="21"/>
                <w:color w:val="auto"/>
              </w:rPr>
            </w:pPr>
          </w:p>
        </w:tc>
        <w:tc>
          <w:tcPr>
            <w:tcW w:w="250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rPr>
              <w:t>ARQT</w:t>
            </w:r>
          </w:p>
        </w:tc>
        <w:tc>
          <w:tcPr>
            <w:tcW w:w="2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c>
          <w:tcPr>
            <w:tcW w:w="0" w:type="dxa"/>
            <w:vAlign w:val="bottom"/>
          </w:tcPr>
          <w:p>
            <w:pPr>
              <w:spacing w:after="0"/>
              <w:rPr>
                <w:sz w:val="1"/>
                <w:szCs w:val="1"/>
                <w:color w:val="auto"/>
              </w:rPr>
            </w:pPr>
          </w:p>
        </w:tc>
      </w:tr>
    </w:tbl>
    <w:p>
      <w:pPr>
        <w:spacing w:after="0" w:line="328" w:lineRule="exact"/>
        <w:rPr>
          <w:sz w:val="24"/>
          <w:szCs w:val="24"/>
          <w:color w:val="auto"/>
        </w:rPr>
      </w:pPr>
    </w:p>
    <w:p>
      <w:pPr>
        <w:ind w:right="320"/>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96"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97" w:lineRule="exact"/>
        <w:rPr>
          <w:sz w:val="24"/>
          <w:szCs w:val="24"/>
          <w:color w:val="auto"/>
        </w:rPr>
      </w:pPr>
    </w:p>
    <w:p>
      <w:pPr>
        <w:ind w:right="360"/>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6"/>
        </w:trPr>
        <w:tc>
          <w:tcPr>
            <w:tcW w:w="26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00" w:type="dxa"/>
            <w:vAlign w:val="bottom"/>
          </w:tcPr>
          <w:p>
            <w:pPr>
              <w:spacing w:after="0"/>
              <w:rPr>
                <w:sz w:val="20"/>
                <w:szCs w:val="20"/>
                <w:color w:val="auto"/>
              </w:rPr>
            </w:pPr>
            <w:r>
              <w:rPr>
                <w:rFonts w:ascii="Arial" w:cs="Arial" w:eastAsia="Arial" w:hAnsi="Arial"/>
                <w:sz w:val="16"/>
                <w:szCs w:val="16"/>
                <w:color w:val="auto"/>
              </w:rPr>
              <w:t>Non-accelerated filer</w:t>
            </w:r>
          </w:p>
        </w:tc>
        <w:tc>
          <w:tcPr>
            <w:tcW w:w="274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144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760" w:type="dxa"/>
            <w:vAlign w:val="bottom"/>
          </w:tcPr>
          <w:p>
            <w:pPr>
              <w:ind w:left="144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right="2940"/>
        <w:spacing w:after="0" w:line="27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The number of shares of the registrant’s Common Stock outstanding as of April 30, 2021 was 50,205,046.</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March 31, 2021.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3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Class A common stock. The principal risks and uncertainties affecting our business include the following:</w:t>
      </w:r>
    </w:p>
    <w:p>
      <w:pPr>
        <w:spacing w:after="0" w:line="229" w:lineRule="exact"/>
        <w:rPr>
          <w:sz w:val="20"/>
          <w:szCs w:val="20"/>
          <w:color w:val="auto"/>
        </w:rPr>
      </w:pPr>
    </w:p>
    <w:p>
      <w:pPr>
        <w:jc w:val="both"/>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future operating results to fall below expectations;</w:t>
      </w:r>
    </w:p>
    <w:p>
      <w:pPr>
        <w:ind w:left="660" w:right="9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market opportunities for our product candidates are subject to numerous uncertainties and may prove to be inaccurate. If we have overestimated the size of our market opportunities, our future growth may be limited;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dependent on the development, regulatory approval and commercialization of our current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ind w:left="328" w:right="2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 w:lineRule="exact"/>
        <w:rPr>
          <w:rFonts w:ascii="Arial" w:cs="Arial" w:eastAsia="Arial" w:hAnsi="Arial"/>
          <w:sz w:val="18"/>
          <w:szCs w:val="18"/>
          <w:color w:val="auto"/>
        </w:rPr>
      </w:pPr>
    </w:p>
    <w:p>
      <w:pPr>
        <w:jc w:val="both"/>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 w:lineRule="exact"/>
        <w:rPr>
          <w:rFonts w:ascii="Arial" w:cs="Arial" w:eastAsia="Arial" w:hAnsi="Arial"/>
          <w:sz w:val="18"/>
          <w:szCs w:val="18"/>
          <w:color w:val="auto"/>
        </w:rPr>
      </w:pPr>
    </w:p>
    <w:p>
      <w:pPr>
        <w:ind w:left="328" w:right="12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ind w:left="328" w:right="14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 w:lineRule="exact"/>
        <w:rPr>
          <w:rFonts w:ascii="Arial" w:cs="Arial" w:eastAsia="Arial" w:hAnsi="Arial"/>
          <w:sz w:val="18"/>
          <w:szCs w:val="18"/>
          <w:color w:val="auto"/>
        </w:rPr>
      </w:pPr>
    </w:p>
    <w:p>
      <w:pPr>
        <w:ind w:left="328" w:right="1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Enrollment and retention of subjects in clinical trials is expensive and time-consuming and may result in additional costs and delays in our product development activities, or in the failure of such activities;</w:t>
      </w:r>
    </w:p>
    <w:p>
      <w:pPr>
        <w:ind w:left="328" w:right="2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company, we have never obtained marketing approval for any product candidate and we may be unable to successfully do so in a timely manner, if at all, for any of our product candidates;</w:t>
      </w:r>
    </w:p>
    <w:p>
      <w:pPr>
        <w:ind w:left="328" w:right="52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 w:lineRule="exact"/>
        <w:rPr>
          <w:rFonts w:ascii="Arial" w:cs="Arial" w:eastAsia="Arial" w:hAnsi="Arial"/>
          <w:sz w:val="18"/>
          <w:szCs w:val="18"/>
          <w:color w:val="auto"/>
        </w:rPr>
      </w:pPr>
    </w:p>
    <w:p>
      <w:pPr>
        <w:ind w:left="328" w:right="4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have limited sales, marketing or distribution capabilities and have no experience as a company in commercializing products;</w:t>
      </w:r>
    </w:p>
    <w:p>
      <w:pPr>
        <w:ind w:left="328" w:right="64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increase the size of our organization, and we may experience difficulties in executing our growth strategy and managing any growth;</w:t>
      </w:r>
    </w:p>
    <w:p>
      <w:pPr>
        <w:ind w:left="328" w:right="54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ind w:left="328" w:right="3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rely on single source third-party manufacturers to manufacture preclinical and clinical supplies of our product candidates and we intend to rely on third parties to produce commercial supplies of any approved product candidate. The loss of these manufacturers, or their failure to provide us with sufficient quantities at acceptable quality levels or prices, or at all, would materially and adversely affect our business;</w:t>
      </w:r>
    </w:p>
    <w:p>
      <w:pPr>
        <w:spacing w:after="0" w:line="1" w:lineRule="exact"/>
        <w:rPr>
          <w:rFonts w:ascii="Arial" w:cs="Arial" w:eastAsia="Arial" w:hAnsi="Arial"/>
          <w:sz w:val="18"/>
          <w:szCs w:val="18"/>
          <w:color w:val="auto"/>
        </w:rPr>
      </w:pPr>
    </w:p>
    <w:p>
      <w:pPr>
        <w:ind w:left="328" w:right="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 w:lineRule="exact"/>
        <w:rPr>
          <w:rFonts w:ascii="Arial" w:cs="Arial" w:eastAsia="Arial" w:hAnsi="Arial"/>
          <w:sz w:val="18"/>
          <w:szCs w:val="18"/>
          <w:color w:val="auto"/>
        </w:rPr>
      </w:pPr>
    </w:p>
    <w:p>
      <w:pPr>
        <w:ind w:left="328" w:right="4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intellectual property could materially adversely impact our business, competitive position, financial condition, and results of operations;</w:t>
      </w:r>
    </w:p>
    <w:p>
      <w:pPr>
        <w:ind w:left="328" w:right="6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government regulation of our industry and required approvals could materially adversely impact our business, competitive position, financial condition, and results of operations; and</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 could have a material adverse effect on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550545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3" w:name="page4"/>
    <w:bookmarkEnd w:id="3"/>
    <w:p>
      <w:pPr>
        <w:spacing w:after="0" w:line="200" w:lineRule="exact"/>
        <w:rPr>
          <w:sz w:val="20"/>
          <w:szCs w:val="20"/>
          <w:color w:val="auto"/>
        </w:rPr>
      </w:pPr>
    </w:p>
    <w:p>
      <w:pPr>
        <w:spacing w:after="0" w:line="308"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p>
      <w:pPr>
        <w:spacing w:after="0" w:line="333"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3.</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4.</w:t>
        </w:r>
      </w:hyperlink>
    </w:p>
    <w:p>
      <w:pPr>
        <w:spacing w:after="0" w:line="293" w:lineRule="exact"/>
        <w:rPr>
          <w:sz w:val="20"/>
          <w:szCs w:val="20"/>
          <w:color w:val="auto"/>
        </w:rPr>
      </w:pPr>
    </w:p>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PART II</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1A.</w:t>
        </w:r>
      </w:hyperlink>
    </w:p>
    <w:p>
      <w:pPr>
        <w:spacing w:after="0" w:line="387" w:lineRule="exact"/>
        <w:rPr>
          <w:sz w:val="20"/>
          <w:szCs w:val="20"/>
          <w:color w:val="auto"/>
        </w:rPr>
      </w:pPr>
    </w:p>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3.</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4.</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5.</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6.</w:t>
        </w:r>
      </w:hyperlink>
    </w:p>
    <w:p>
      <w:pPr>
        <w:spacing w:after="0" w:line="293" w:lineRule="exact"/>
        <w:rPr>
          <w:sz w:val="20"/>
          <w:szCs w:val="20"/>
          <w:color w:val="auto"/>
        </w:rPr>
      </w:pPr>
    </w:p>
    <w:p>
      <w:pPr>
        <w:spacing w:after="0"/>
        <w:rPr>
          <w:rFonts w:ascii="Arial" w:cs="Arial" w:eastAsia="Arial" w:hAnsi="Arial"/>
          <w:sz w:val="17"/>
          <w:szCs w:val="17"/>
          <w:u w:val="single" w:color="auto"/>
          <w:color w:val="0000FF"/>
        </w:rPr>
      </w:pPr>
      <w:hyperlink w:anchor="page85">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br w:type="column"/>
      </w:r>
    </w:p>
    <w:p>
      <w:pPr>
        <w:ind w:left="4000"/>
        <w:spacing w:after="0"/>
        <w:rPr>
          <w:sz w:val="20"/>
          <w:szCs w:val="20"/>
          <w:color w:val="auto"/>
        </w:rPr>
      </w:pPr>
      <w:r>
        <w:rPr>
          <w:rFonts w:ascii="Arial" w:cs="Arial" w:eastAsia="Arial" w:hAnsi="Arial"/>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2240" w:type="dxa"/>
            <w:vAlign w:val="bottom"/>
            <w:tcBorders>
              <w:bottom w:val="single" w:sz="8" w:color="0000FF"/>
            </w:tcBorders>
            <w:gridSpan w:val="9"/>
          </w:tcPr>
          <w:p>
            <w:pPr>
              <w:spacing w:after="0" w:line="189"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FINANCIAL INFORMATION</w:t>
              </w:r>
            </w:hyperlink>
          </w:p>
        </w:tc>
        <w:tc>
          <w:tcPr>
            <w:tcW w:w="6000" w:type="dxa"/>
            <w:vAlign w:val="bottom"/>
            <w:gridSpan w:val="9"/>
          </w:tcPr>
          <w:p>
            <w:pPr>
              <w:spacing w:after="0"/>
              <w:rPr>
                <w:sz w:val="16"/>
                <w:szCs w:val="16"/>
                <w:color w:val="auto"/>
              </w:rPr>
            </w:pPr>
          </w:p>
        </w:tc>
        <w:tc>
          <w:tcPr>
            <w:tcW w:w="1580" w:type="dxa"/>
            <w:vAlign w:val="bottom"/>
          </w:tcPr>
          <w:p>
            <w:pPr>
              <w:spacing w:after="0"/>
              <w:rPr>
                <w:sz w:val="16"/>
                <w:szCs w:val="16"/>
                <w:color w:val="auto"/>
              </w:rPr>
            </w:pPr>
          </w:p>
        </w:tc>
      </w:tr>
      <w:tr>
        <w:trPr>
          <w:trHeight w:val="493"/>
        </w:trPr>
        <w:tc>
          <w:tcPr>
            <w:tcW w:w="168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Financial Statements</w:t>
              </w:r>
            </w:hyperlink>
          </w:p>
        </w:tc>
        <w:tc>
          <w:tcPr>
            <w:tcW w:w="6560" w:type="dxa"/>
            <w:vAlign w:val="bottom"/>
            <w:gridSpan w:val="13"/>
          </w:tcPr>
          <w:p>
            <w:pPr>
              <w:spacing w:after="0"/>
              <w:rPr>
                <w:sz w:val="24"/>
                <w:szCs w:val="24"/>
                <w:color w:val="auto"/>
              </w:rPr>
            </w:pPr>
          </w:p>
        </w:tc>
        <w:tc>
          <w:tcPr>
            <w:tcW w:w="1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36"/>
        </w:trPr>
        <w:tc>
          <w:tcPr>
            <w:tcW w:w="824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Balance Sheets</w:t>
              </w:r>
            </w:hyperlink>
          </w:p>
        </w:tc>
        <w:tc>
          <w:tcPr>
            <w:tcW w:w="1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510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Statements of Condensed Operations and Comprehensive Loss</w:t>
              </w:r>
            </w:hyperlink>
          </w:p>
        </w:tc>
        <w:tc>
          <w:tcPr>
            <w:tcW w:w="3140" w:type="dxa"/>
            <w:vAlign w:val="bottom"/>
            <w:gridSpan w:val="3"/>
          </w:tcPr>
          <w:p>
            <w:pPr>
              <w:spacing w:after="0"/>
              <w:rPr>
                <w:sz w:val="18"/>
                <w:szCs w:val="18"/>
                <w:color w:val="auto"/>
              </w:rPr>
            </w:pPr>
          </w:p>
        </w:tc>
        <w:tc>
          <w:tcPr>
            <w:tcW w:w="1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r>
      <w:tr>
        <w:trPr>
          <w:trHeight w:val="209"/>
        </w:trPr>
        <w:tc>
          <w:tcPr>
            <w:tcW w:w="704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Statements of Condensed Convertible Preferred Stock and Stockholders’ Equity (Deficit)</w:t>
              </w:r>
            </w:hyperlink>
          </w:p>
        </w:tc>
        <w:tc>
          <w:tcPr>
            <w:tcW w:w="1200" w:type="dxa"/>
            <w:vAlign w:val="bottom"/>
            <w:gridSpan w:val="2"/>
          </w:tcPr>
          <w:p>
            <w:pPr>
              <w:spacing w:after="0"/>
              <w:rPr>
                <w:sz w:val="18"/>
                <w:szCs w:val="18"/>
                <w:color w:val="auto"/>
              </w:rPr>
            </w:pPr>
          </w:p>
        </w:tc>
        <w:tc>
          <w:tcPr>
            <w:tcW w:w="15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10"/>
        </w:trPr>
        <w:tc>
          <w:tcPr>
            <w:tcW w:w="824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Statements of Condensed Cash Flows</w:t>
              </w:r>
            </w:hyperlink>
          </w:p>
        </w:tc>
        <w:tc>
          <w:tcPr>
            <w:tcW w:w="158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18"/>
        </w:trPr>
        <w:tc>
          <w:tcPr>
            <w:tcW w:w="424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Notes to Unaudited Condensed Financial Statements</w:t>
              </w:r>
            </w:hyperlink>
          </w:p>
        </w:tc>
        <w:tc>
          <w:tcPr>
            <w:tcW w:w="4000" w:type="dxa"/>
            <w:vAlign w:val="bottom"/>
            <w:gridSpan w:val="6"/>
          </w:tcPr>
          <w:p>
            <w:pPr>
              <w:spacing w:after="0"/>
              <w:rPr>
                <w:sz w:val="24"/>
                <w:szCs w:val="24"/>
                <w:color w:val="auto"/>
              </w:rPr>
            </w:pPr>
          </w:p>
        </w:tc>
        <w:tc>
          <w:tcPr>
            <w:tcW w:w="158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5</w:t>
              </w:r>
            </w:hyperlink>
          </w:p>
        </w:tc>
      </w:tr>
      <w:tr>
        <w:trPr>
          <w:trHeight w:val="223"/>
        </w:trPr>
        <w:tc>
          <w:tcPr>
            <w:tcW w:w="708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Management’s Discussion and Analysis of Financial Condition and Results of Operations</w:t>
              </w:r>
            </w:hyperlink>
          </w:p>
        </w:tc>
        <w:tc>
          <w:tcPr>
            <w:tcW w:w="1160" w:type="dxa"/>
            <w:vAlign w:val="bottom"/>
          </w:tcPr>
          <w:p>
            <w:pPr>
              <w:spacing w:after="0"/>
              <w:rPr>
                <w:sz w:val="19"/>
                <w:szCs w:val="19"/>
                <w:color w:val="auto"/>
              </w:rPr>
            </w:pPr>
          </w:p>
        </w:tc>
        <w:tc>
          <w:tcPr>
            <w:tcW w:w="158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237"/>
        </w:trPr>
        <w:tc>
          <w:tcPr>
            <w:tcW w:w="824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31</w:t>
              </w:r>
            </w:hyperlink>
          </w:p>
        </w:tc>
      </w:tr>
      <w:tr>
        <w:trPr>
          <w:trHeight w:val="209"/>
        </w:trPr>
        <w:tc>
          <w:tcPr>
            <w:tcW w:w="4680" w:type="dxa"/>
            <w:vAlign w:val="bottom"/>
            <w:tcBorders>
              <w:top w:val="single" w:sz="8" w:color="0000FF"/>
            </w:tcBorders>
            <w:gridSpan w:val="1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3560" w:type="dxa"/>
            <w:vAlign w:val="bottom"/>
            <w:gridSpan w:val="5"/>
          </w:tcPr>
          <w:p>
            <w:pPr>
              <w:spacing w:after="0"/>
              <w:rPr>
                <w:sz w:val="18"/>
                <w:szCs w:val="18"/>
                <w:color w:val="auto"/>
              </w:rPr>
            </w:pPr>
          </w:p>
        </w:tc>
        <w:tc>
          <w:tcPr>
            <w:tcW w:w="1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31</w:t>
              </w:r>
            </w:hyperlink>
          </w:p>
        </w:tc>
      </w:tr>
      <w:tr>
        <w:trPr>
          <w:trHeight w:val="480"/>
        </w:trPr>
        <w:tc>
          <w:tcPr>
            <w:tcW w:w="1980" w:type="dxa"/>
            <w:vAlign w:val="bottom"/>
            <w:tcBorders>
              <w:top w:val="single" w:sz="8" w:color="0000FF"/>
            </w:tcBorders>
            <w:gridSpan w:val="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6260" w:type="dxa"/>
            <w:vAlign w:val="bottom"/>
            <w:gridSpan w:val="11"/>
          </w:tcPr>
          <w:p>
            <w:pPr>
              <w:spacing w:after="0"/>
              <w:rPr>
                <w:sz w:val="24"/>
                <w:szCs w:val="24"/>
                <w:color w:val="auto"/>
              </w:rPr>
            </w:pPr>
          </w:p>
        </w:tc>
        <w:tc>
          <w:tcPr>
            <w:tcW w:w="1580" w:type="dxa"/>
            <w:vAlign w:val="bottom"/>
          </w:tcPr>
          <w:p>
            <w:pPr>
              <w:spacing w:after="0"/>
              <w:rPr>
                <w:sz w:val="24"/>
                <w:szCs w:val="24"/>
                <w:color w:val="auto"/>
              </w:rPr>
            </w:pPr>
          </w:p>
        </w:tc>
      </w:tr>
      <w:tr>
        <w:trPr>
          <w:trHeight w:val="209"/>
        </w:trPr>
        <w:tc>
          <w:tcPr>
            <w:tcW w:w="1920" w:type="dxa"/>
            <w:vAlign w:val="bottom"/>
            <w:tcBorders>
              <w:top w:val="single" w:sz="8" w:color="0000FF"/>
            </w:tcBorders>
            <w:gridSpan w:val="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6320" w:type="dxa"/>
            <w:vAlign w:val="bottom"/>
            <w:gridSpan w:val="12"/>
          </w:tcPr>
          <w:p>
            <w:pPr>
              <w:spacing w:after="0"/>
              <w:rPr>
                <w:sz w:val="18"/>
                <w:szCs w:val="18"/>
                <w:color w:val="auto"/>
              </w:rPr>
            </w:pPr>
          </w:p>
        </w:tc>
        <w:tc>
          <w:tcPr>
            <w:tcW w:w="158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33</w:t>
              </w:r>
            </w:hyperlink>
          </w:p>
        </w:tc>
      </w:tr>
      <w:tr>
        <w:trPr>
          <w:trHeight w:val="210"/>
        </w:trPr>
        <w:tc>
          <w:tcPr>
            <w:tcW w:w="10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7"/>
              </w:rPr>
            </w:pPr>
            <w:hyperlink w:anchor="page37">
              <w:r>
                <w:rPr>
                  <w:rFonts w:ascii="Arial" w:cs="Arial" w:eastAsia="Arial" w:hAnsi="Arial"/>
                  <w:sz w:val="18"/>
                  <w:szCs w:val="18"/>
                  <w:color w:val="0000FF"/>
                  <w:w w:val="97"/>
                </w:rPr>
                <w:t>Risk Factors</w:t>
              </w:r>
            </w:hyperlink>
          </w:p>
        </w:tc>
        <w:tc>
          <w:tcPr>
            <w:tcW w:w="480" w:type="dxa"/>
            <w:vAlign w:val="bottom"/>
            <w:tcBorders>
              <w:top w:val="single" w:sz="8" w:color="0000FF"/>
            </w:tcBorders>
            <w:gridSpan w:val="2"/>
          </w:tcPr>
          <w:p>
            <w:pPr>
              <w:spacing w:after="0"/>
              <w:rPr>
                <w:sz w:val="18"/>
                <w:szCs w:val="18"/>
                <w:color w:val="auto"/>
              </w:rPr>
            </w:pPr>
          </w:p>
        </w:tc>
        <w:tc>
          <w:tcPr>
            <w:tcW w:w="6760" w:type="dxa"/>
            <w:vAlign w:val="bottom"/>
            <w:gridSpan w:val="14"/>
          </w:tcPr>
          <w:p>
            <w:pPr>
              <w:spacing w:after="0"/>
              <w:rPr>
                <w:sz w:val="18"/>
                <w:szCs w:val="18"/>
                <w:color w:val="auto"/>
              </w:rPr>
            </w:pPr>
          </w:p>
        </w:tc>
        <w:tc>
          <w:tcPr>
            <w:tcW w:w="158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33</w:t>
              </w:r>
            </w:hyperlink>
          </w:p>
        </w:tc>
      </w:tr>
      <w:tr>
        <w:trPr>
          <w:trHeight w:val="547"/>
        </w:trPr>
        <w:tc>
          <w:tcPr>
            <w:tcW w:w="484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83">
              <w:r>
                <w:rPr>
                  <w:rFonts w:ascii="Arial" w:cs="Arial" w:eastAsia="Arial" w:hAnsi="Arial"/>
                  <w:sz w:val="18"/>
                  <w:szCs w:val="18"/>
                  <w:color w:val="0000FF"/>
                  <w:w w:val="99"/>
                </w:rPr>
                <w:t>Unregistered Sales of Equity Securities and Use of Proceeds</w:t>
              </w:r>
            </w:hyperlink>
          </w:p>
        </w:tc>
        <w:tc>
          <w:tcPr>
            <w:tcW w:w="3400" w:type="dxa"/>
            <w:vAlign w:val="bottom"/>
            <w:gridSpan w:val="4"/>
          </w:tcPr>
          <w:p>
            <w:pPr>
              <w:spacing w:after="0"/>
              <w:rPr>
                <w:sz w:val="24"/>
                <w:szCs w:val="24"/>
                <w:color w:val="auto"/>
              </w:rPr>
            </w:pPr>
          </w:p>
        </w:tc>
        <w:tc>
          <w:tcPr>
            <w:tcW w:w="1580" w:type="dxa"/>
            <w:vAlign w:val="bottom"/>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80</w:t>
              </w:r>
            </w:hyperlink>
          </w:p>
        </w:tc>
      </w:tr>
      <w:tr>
        <w:trPr>
          <w:trHeight w:val="250"/>
        </w:trPr>
        <w:tc>
          <w:tcPr>
            <w:tcW w:w="8240" w:type="dxa"/>
            <w:vAlign w:val="bottom"/>
            <w:gridSpan w:val="1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Defaults Upon Senior Securities</w:t>
              </w:r>
            </w:hyperlink>
          </w:p>
        </w:tc>
        <w:tc>
          <w:tcPr>
            <w:tcW w:w="1580" w:type="dxa"/>
            <w:vAlign w:val="bottom"/>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80</w:t>
              </w:r>
            </w:hyperlink>
          </w:p>
        </w:tc>
      </w:tr>
      <w:tr>
        <w:trPr>
          <w:trHeight w:val="250"/>
        </w:trPr>
        <w:tc>
          <w:tcPr>
            <w:tcW w:w="2540" w:type="dxa"/>
            <w:vAlign w:val="bottom"/>
            <w:tcBorders>
              <w:top w:val="single" w:sz="8" w:color="0000FF"/>
            </w:tcBorders>
            <w:gridSpan w:val="1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Mine Safety Disclosures</w:t>
              </w:r>
            </w:hyperlink>
          </w:p>
        </w:tc>
        <w:tc>
          <w:tcPr>
            <w:tcW w:w="5700" w:type="dxa"/>
            <w:vAlign w:val="bottom"/>
            <w:gridSpan w:val="8"/>
          </w:tcPr>
          <w:p>
            <w:pPr>
              <w:spacing w:after="0"/>
              <w:rPr>
                <w:sz w:val="21"/>
                <w:szCs w:val="21"/>
                <w:color w:val="auto"/>
              </w:rPr>
            </w:pPr>
          </w:p>
        </w:tc>
        <w:tc>
          <w:tcPr>
            <w:tcW w:w="1580" w:type="dxa"/>
            <w:vAlign w:val="bottom"/>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80</w:t>
              </w:r>
            </w:hyperlink>
          </w:p>
        </w:tc>
      </w:tr>
      <w:tr>
        <w:trPr>
          <w:trHeight w:val="236"/>
        </w:trPr>
        <w:tc>
          <w:tcPr>
            <w:tcW w:w="14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8"/>
              </w:rPr>
            </w:pPr>
            <w:hyperlink w:anchor="page84">
              <w:r>
                <w:rPr>
                  <w:rFonts w:ascii="Arial" w:cs="Arial" w:eastAsia="Arial" w:hAnsi="Arial"/>
                  <w:sz w:val="18"/>
                  <w:szCs w:val="18"/>
                  <w:color w:val="0000FF"/>
                  <w:w w:val="98"/>
                </w:rPr>
                <w:t>Other Information</w:t>
              </w:r>
            </w:hyperlink>
          </w:p>
        </w:tc>
        <w:tc>
          <w:tcPr>
            <w:tcW w:w="520" w:type="dxa"/>
            <w:vAlign w:val="bottom"/>
            <w:tcBorders>
              <w:top w:val="single" w:sz="8" w:color="0000FF"/>
            </w:tcBorders>
            <w:gridSpan w:val="3"/>
          </w:tcPr>
          <w:p>
            <w:pPr>
              <w:spacing w:after="0"/>
              <w:rPr>
                <w:sz w:val="20"/>
                <w:szCs w:val="20"/>
                <w:color w:val="auto"/>
              </w:rPr>
            </w:pPr>
          </w:p>
        </w:tc>
        <w:tc>
          <w:tcPr>
            <w:tcW w:w="6320" w:type="dxa"/>
            <w:vAlign w:val="bottom"/>
            <w:gridSpan w:val="12"/>
          </w:tcPr>
          <w:p>
            <w:pPr>
              <w:spacing w:after="0"/>
              <w:rPr>
                <w:sz w:val="20"/>
                <w:szCs w:val="20"/>
                <w:color w:val="auto"/>
              </w:rPr>
            </w:pPr>
          </w:p>
        </w:tc>
        <w:tc>
          <w:tcPr>
            <w:tcW w:w="1580" w:type="dxa"/>
            <w:vAlign w:val="bottom"/>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80</w:t>
              </w:r>
            </w:hyperlink>
          </w:p>
        </w:tc>
      </w:tr>
      <w:tr>
        <w:trPr>
          <w:trHeight w:val="223"/>
        </w:trPr>
        <w:tc>
          <w:tcPr>
            <w:tcW w:w="8240" w:type="dxa"/>
            <w:vAlign w:val="bottom"/>
            <w:gridSpan w:val="1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Exhibits</w:t>
              </w:r>
            </w:hyperlink>
          </w:p>
        </w:tc>
        <w:tc>
          <w:tcPr>
            <w:tcW w:w="1580" w:type="dxa"/>
            <w:vAlign w:val="bottom"/>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80</w:t>
              </w:r>
            </w:hyperlink>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1118870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60" w:space="460"/>
            <w:col w:w="9820"/>
          </w:cols>
          <w:pgMar w:left="340" w:top="1129"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r>
        <w:rPr>
          <w:rFonts w:ascii="Arial" w:cs="Arial" w:eastAsia="Arial" w:hAnsi="Arial"/>
          <w:sz w:val="18"/>
          <w:szCs w:val="18"/>
          <w:b w:val="1"/>
          <w:bCs w:val="1"/>
          <w:i w:val="1"/>
          <w:iCs w:val="1"/>
          <w:color w:val="auto"/>
        </w:rPr>
        <w: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4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160"/>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b w:val="1"/>
                <w:bCs w:val="1"/>
                <w:color w:val="auto"/>
                <w:w w:val="98"/>
              </w:rPr>
              <w:t>(unaudited)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288,690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65,082</w:t>
            </w: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219,359</w:t>
            </w:r>
          </w:p>
        </w:tc>
      </w:tr>
      <w:tr>
        <w:trPr>
          <w:trHeight w:val="229"/>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r>
      <w:tr>
        <w:trPr>
          <w:trHeight w:val="223"/>
        </w:trPr>
        <w:tc>
          <w:tcPr>
            <w:tcW w:w="84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292,826</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298,269</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w:t>
            </w:r>
          </w:p>
        </w:tc>
      </w:tr>
      <w:tr>
        <w:trPr>
          <w:trHeight w:val="229"/>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15,462</w:t>
            </w:r>
          </w:p>
        </w:tc>
      </w:tr>
      <w:tr>
        <w:trPr>
          <w:trHeight w:val="223"/>
        </w:trPr>
        <w:tc>
          <w:tcPr>
            <w:tcW w:w="8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22,602</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4,964</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27,648</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88"/>
        </w:trPr>
        <w:tc>
          <w:tcPr>
            <w:tcW w:w="8460" w:type="dxa"/>
            <w:vAlign w:val="bottom"/>
            <w:shd w:val="clear" w:color="auto" w:fill="CCEEFF"/>
          </w:tcPr>
          <w:p>
            <w:pPr>
              <w:ind w:left="520"/>
              <w:spacing w:after="0" w:line="189" w:lineRule="exact"/>
              <w:rPr>
                <w:sz w:val="20"/>
                <w:szCs w:val="20"/>
                <w:color w:val="auto"/>
              </w:rPr>
            </w:pPr>
            <w:r>
              <w:rPr>
                <w:rFonts w:ascii="Arial" w:cs="Arial" w:eastAsia="Arial" w:hAnsi="Arial"/>
                <w:sz w:val="18"/>
                <w:szCs w:val="18"/>
                <w:color w:val="auto"/>
              </w:rPr>
              <w:t>Preferred stock, $0.0001 par value; 10,000,000 shares authorized at March 31, 2021 and</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7"/>
        </w:trPr>
        <w:tc>
          <w:tcPr>
            <w:tcW w:w="8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2020; no shares issued and outstanding at March 31, 2021 and December 31, 2020;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460" w:type="dxa"/>
            <w:vAlign w:val="bottom"/>
          </w:tcPr>
          <w:p>
            <w:pPr>
              <w:ind w:left="520"/>
              <w:spacing w:after="0" w:line="189" w:lineRule="exact"/>
              <w:rPr>
                <w:sz w:val="20"/>
                <w:szCs w:val="20"/>
                <w:color w:val="auto"/>
              </w:rPr>
            </w:pPr>
            <w:r>
              <w:rPr>
                <w:rFonts w:ascii="Arial" w:cs="Arial" w:eastAsia="Arial" w:hAnsi="Arial"/>
                <w:sz w:val="18"/>
                <w:szCs w:val="18"/>
                <w:color w:val="auto"/>
              </w:rPr>
              <w:t>Common stock, $0.0001 par value; 300,000,000 shares authorized at March 31, 2021 and</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6"/>
        </w:trPr>
        <w:tc>
          <w:tcPr>
            <w:tcW w:w="8460" w:type="dxa"/>
            <w:vAlign w:val="bottom"/>
          </w:tcPr>
          <w:p>
            <w:pPr>
              <w:ind w:left="520"/>
              <w:spacing w:after="0" w:line="176" w:lineRule="exact"/>
              <w:rPr>
                <w:sz w:val="20"/>
                <w:szCs w:val="20"/>
                <w:color w:val="auto"/>
              </w:rPr>
            </w:pPr>
            <w:r>
              <w:rPr>
                <w:rFonts w:ascii="Arial" w:cs="Arial" w:eastAsia="Arial" w:hAnsi="Arial"/>
                <w:sz w:val="18"/>
                <w:szCs w:val="18"/>
                <w:color w:val="auto"/>
              </w:rPr>
              <w:t>December 31, 2020; 50,146,461 and 43,677,817 shares issued at March 31, 2021 and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8460" w:type="dxa"/>
            <w:vAlign w:val="bottom"/>
          </w:tcPr>
          <w:p>
            <w:pPr>
              <w:ind w:left="520"/>
              <w:spacing w:after="0" w:line="176" w:lineRule="exact"/>
              <w:rPr>
                <w:sz w:val="20"/>
                <w:szCs w:val="20"/>
                <w:color w:val="auto"/>
              </w:rPr>
            </w:pPr>
            <w:r>
              <w:rPr>
                <w:rFonts w:ascii="Arial" w:cs="Arial" w:eastAsia="Arial" w:hAnsi="Arial"/>
                <w:sz w:val="18"/>
                <w:szCs w:val="18"/>
                <w:color w:val="auto"/>
              </w:rPr>
              <w:t>December 31, 2020, respectively; 49,887,007 and 43,338,438 shares outstanding at March 31,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7"/>
        </w:trPr>
        <w:tc>
          <w:tcPr>
            <w:tcW w:w="8460" w:type="dxa"/>
            <w:vAlign w:val="bottom"/>
          </w:tcPr>
          <w:p>
            <w:pPr>
              <w:ind w:left="520"/>
              <w:spacing w:after="0"/>
              <w:rPr>
                <w:sz w:val="20"/>
                <w:szCs w:val="20"/>
                <w:color w:val="auto"/>
              </w:rPr>
            </w:pPr>
            <w:r>
              <w:rPr>
                <w:rFonts w:ascii="Arial" w:cs="Arial" w:eastAsia="Arial" w:hAnsi="Arial"/>
                <w:sz w:val="18"/>
                <w:szCs w:val="18"/>
                <w:color w:val="auto"/>
              </w:rPr>
              <w:t>2021 and December 31, 2020, respectively</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472,569</w:t>
            </w:r>
          </w:p>
        </w:tc>
      </w:tr>
      <w:tr>
        <w:trPr>
          <w:trHeight w:val="229"/>
        </w:trPr>
        <w:tc>
          <w:tcPr>
            <w:tcW w:w="84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(201,950)</w:t>
            </w:r>
          </w:p>
        </w:tc>
      </w:tr>
      <w:tr>
        <w:trPr>
          <w:trHeight w:val="223"/>
        </w:trPr>
        <w:tc>
          <w:tcPr>
            <w:tcW w:w="84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270,621</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298,269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r>
        <w:rPr>
          <w:rFonts w:ascii="Arial" w:cs="Arial" w:eastAsia="Arial" w:hAnsi="Arial"/>
          <w:sz w:val="18"/>
          <w:szCs w:val="18"/>
          <w:b w:val="1"/>
          <w:bCs w:val="1"/>
          <w:i w:val="1"/>
          <w:i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21,631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25,182</w:t>
            </w: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28,651</w:t>
            </w: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(28,651)</w:t>
            </w:r>
          </w:p>
        </w:tc>
        <w:tc>
          <w:tcPr>
            <w:tcW w:w="0" w:type="dxa"/>
            <w:vAlign w:val="bottom"/>
          </w:tcPr>
          <w:p>
            <w:pPr>
              <w:spacing w:after="0"/>
              <w:rPr>
                <w:sz w:val="1"/>
                <w:szCs w:val="1"/>
                <w:color w:val="auto"/>
              </w:rPr>
            </w:pPr>
          </w:p>
        </w:tc>
      </w:tr>
      <w:tr>
        <w:trPr>
          <w:trHeight w:val="27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gains on marketable securities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(27,993)</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60" w:type="dxa"/>
            <w:vAlign w:val="bottom"/>
            <w:tcBorders>
              <w:bottom w:val="single" w:sz="8" w:color="CCEEFF"/>
            </w:tcBorders>
            <w:shd w:val="clear" w:color="auto" w:fill="CCEEFF"/>
          </w:tcPr>
          <w:p>
            <w:pPr>
              <w:ind w:left="360"/>
              <w:spacing w:after="0" w:line="197" w:lineRule="exact"/>
              <w:rPr>
                <w:sz w:val="20"/>
                <w:szCs w:val="20"/>
                <w:color w:val="auto"/>
              </w:rPr>
            </w:pPr>
            <w:r>
              <w:rPr>
                <w:rFonts w:ascii="Arial" w:cs="Arial" w:eastAsia="Arial" w:hAnsi="Arial"/>
                <w:sz w:val="18"/>
                <w:szCs w:val="18"/>
                <w:color w:val="auto"/>
              </w:rPr>
              <w:t>Weighted-average shares used in computing net loss per share, basic and diluted</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47,280,769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24,256,402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jc w:val="center"/>
        <w:spacing w:after="0" w:line="203" w:lineRule="auto"/>
        <w:rPr>
          <w:sz w:val="20"/>
          <w:szCs w:val="20"/>
          <w:color w:val="auto"/>
        </w:rPr>
      </w:pPr>
      <w:r>
        <w:rPr>
          <w:rFonts w:ascii="Arial" w:cs="Arial" w:eastAsia="Arial" w:hAnsi="Arial"/>
          <w:sz w:val="18"/>
          <w:szCs w:val="18"/>
          <w:b w:val="1"/>
          <w:bCs w:val="1"/>
          <w:color w:val="auto"/>
        </w:rPr>
        <w:t>(In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540" w:type="dxa"/>
            <w:vAlign w:val="bottom"/>
          </w:tcPr>
          <w:p>
            <w:pPr>
              <w:spacing w:after="0"/>
              <w:rPr>
                <w:sz w:val="23"/>
                <w:szCs w:val="23"/>
                <w:color w:val="auto"/>
              </w:rPr>
            </w:pPr>
          </w:p>
        </w:tc>
        <w:tc>
          <w:tcPr>
            <w:tcW w:w="1360" w:type="dxa"/>
            <w:vAlign w:val="bottom"/>
            <w:gridSpan w:val="3"/>
          </w:tcPr>
          <w:p>
            <w:pPr>
              <w:jc w:val="center"/>
              <w:ind w:left="652"/>
              <w:spacing w:after="0"/>
              <w:rPr>
                <w:sz w:val="20"/>
                <w:szCs w:val="20"/>
                <w:color w:val="auto"/>
              </w:rPr>
            </w:pPr>
            <w:r>
              <w:rPr>
                <w:rFonts w:ascii="Arial" w:cs="Arial" w:eastAsia="Arial" w:hAnsi="Arial"/>
                <w:sz w:val="11"/>
                <w:szCs w:val="11"/>
                <w:b w:val="1"/>
                <w:bCs w:val="1"/>
                <w:color w:val="auto"/>
                <w:w w:val="99"/>
              </w:rPr>
              <w:t>Convertible</w:t>
            </w:r>
          </w:p>
        </w:tc>
        <w:tc>
          <w:tcPr>
            <w:tcW w:w="7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20" w:type="dxa"/>
            <w:vAlign w:val="bottom"/>
            <w:gridSpan w:val="3"/>
            <w:vMerge w:val="restart"/>
          </w:tcPr>
          <w:p>
            <w:pPr>
              <w:jc w:val="right"/>
              <w:ind w:right="314"/>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218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w w:val="97"/>
              </w:rPr>
              <w:t>Preferred Stock</w:t>
            </w:r>
          </w:p>
        </w:tc>
        <w:tc>
          <w:tcPr>
            <w:tcW w:w="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0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9"/>
              </w:rPr>
              <w:t>Total Stockholders’</w:t>
            </w: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9"/>
                <w:szCs w:val="9"/>
                <w:color w:val="auto"/>
              </w:rPr>
            </w:pPr>
          </w:p>
        </w:tc>
        <w:tc>
          <w:tcPr>
            <w:tcW w:w="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9"/>
                <w:szCs w:val="9"/>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Paid-In</w:t>
            </w:r>
          </w:p>
        </w:tc>
        <w:tc>
          <w:tcPr>
            <w:tcW w:w="10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40" w:type="dxa"/>
            <w:vAlign w:val="bottom"/>
          </w:tcPr>
          <w:p>
            <w:pPr>
              <w:jc w:val="right"/>
              <w:ind w:right="9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2,120,853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4"/>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(65,029)</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3" w:lineRule="exact"/>
              <w:rPr>
                <w:sz w:val="20"/>
                <w:szCs w:val="20"/>
                <w:color w:val="auto"/>
              </w:rPr>
            </w:pPr>
            <w:r>
              <w:rPr>
                <w:rFonts w:ascii="Arial" w:cs="Arial" w:eastAsia="Arial" w:hAnsi="Arial"/>
                <w:sz w:val="14"/>
                <w:szCs w:val="14"/>
                <w:color w:val="auto"/>
              </w:rPr>
              <w:t>Conversion of preferred stock into</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common stock upon initial public</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(166,491)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24,385,388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166,489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166,491</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4"/>
                <w:szCs w:val="14"/>
                <w:color w:val="auto"/>
              </w:rPr>
              <w:t>offering</w:t>
            </w: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shares of common stock</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for initial public offering, net of</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10,781,250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167,240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167,241</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of $16,040</w:t>
            </w:r>
          </w:p>
        </w:tc>
        <w:tc>
          <w:tcPr>
            <w:tcW w:w="11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of common stock</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51,147</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4"/>
                <w:szCs w:val="14"/>
                <w:color w:val="auto"/>
              </w:rPr>
              <w:t>upon the exercise of stock options</w:t>
            </w: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Vesting of founder shares subject to</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68,931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w:t>
            </w:r>
          </w:p>
        </w:tc>
        <w:tc>
          <w:tcPr>
            <w:tcW w:w="11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3" w:lineRule="exact"/>
              <w:rPr>
                <w:sz w:val="20"/>
                <w:szCs w:val="20"/>
                <w:color w:val="auto"/>
              </w:rPr>
            </w:pPr>
            <w:r>
              <w:rPr>
                <w:rFonts w:ascii="Arial" w:cs="Arial" w:eastAsia="Arial" w:hAnsi="Arial"/>
                <w:sz w:val="14"/>
                <w:szCs w:val="14"/>
                <w:color w:val="auto"/>
              </w:rPr>
              <w:t>Lapse of repurchase rights related to</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common stock issued pursuant to early</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64,428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3" w:lineRule="exact"/>
              <w:rPr>
                <w:sz w:val="20"/>
                <w:szCs w:val="20"/>
                <w:color w:val="auto"/>
              </w:rPr>
            </w:pPr>
            <w:r>
              <w:rPr>
                <w:rFonts w:ascii="Arial" w:cs="Arial" w:eastAsia="Arial" w:hAnsi="Arial"/>
                <w:sz w:val="14"/>
                <w:szCs w:val="14"/>
                <w:color w:val="auto"/>
              </w:rPr>
              <w:t>Unrealized gain on marketable</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(28,013)</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line="155" w:lineRule="exact"/>
              <w:rPr>
                <w:sz w:val="20"/>
                <w:szCs w:val="20"/>
                <w:color w:val="auto"/>
              </w:rPr>
            </w:pPr>
            <w:r>
              <w:rPr>
                <w:rFonts w:ascii="Arial" w:cs="Arial" w:eastAsia="Arial" w:hAnsi="Arial"/>
                <w:sz w:val="14"/>
                <w:szCs w:val="14"/>
                <w:color w:val="auto"/>
              </w:rPr>
              <w:t>Balance—March 31, 2020</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37,471,997</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336,145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(94,285)</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241,882</w:t>
            </w:r>
          </w:p>
        </w:tc>
        <w:tc>
          <w:tcPr>
            <w:tcW w:w="0" w:type="dxa"/>
            <w:vAlign w:val="bottom"/>
          </w:tcPr>
          <w:p>
            <w:pPr>
              <w:spacing w:after="0"/>
              <w:rPr>
                <w:sz w:val="1"/>
                <w:szCs w:val="1"/>
                <w:color w:val="auto"/>
              </w:rPr>
            </w:pPr>
          </w:p>
        </w:tc>
      </w:tr>
      <w:tr>
        <w:trPr>
          <w:trHeight w:val="278"/>
        </w:trPr>
        <w:tc>
          <w:tcPr>
            <w:tcW w:w="2540" w:type="dxa"/>
            <w:vAlign w:val="bottom"/>
          </w:tcPr>
          <w:p>
            <w:pPr>
              <w:spacing w:after="0"/>
              <w:rPr>
                <w:sz w:val="24"/>
                <w:szCs w:val="24"/>
                <w:color w:val="auto"/>
              </w:rPr>
            </w:pPr>
          </w:p>
        </w:tc>
        <w:tc>
          <w:tcPr>
            <w:tcW w:w="1360" w:type="dxa"/>
            <w:vAlign w:val="bottom"/>
            <w:gridSpan w:val="3"/>
            <w:vMerge w:val="restart"/>
          </w:tcPr>
          <w:p>
            <w:pPr>
              <w:jc w:val="center"/>
              <w:ind w:left="652"/>
              <w:spacing w:after="0"/>
              <w:rPr>
                <w:sz w:val="20"/>
                <w:szCs w:val="20"/>
                <w:color w:val="auto"/>
              </w:rPr>
            </w:pPr>
            <w:r>
              <w:rPr>
                <w:rFonts w:ascii="Arial" w:cs="Arial" w:eastAsia="Arial" w:hAnsi="Arial"/>
                <w:sz w:val="11"/>
                <w:szCs w:val="11"/>
                <w:b w:val="1"/>
                <w:bCs w:val="1"/>
                <w:color w:val="auto"/>
                <w:w w:val="99"/>
              </w:rPr>
              <w:t>Convertible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3"/>
            <w:vMerge w:val="restart"/>
          </w:tcPr>
          <w:p>
            <w:pPr>
              <w:jc w:val="right"/>
              <w:ind w:right="314"/>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24"/>
                <w:szCs w:val="2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2180" w:type="dxa"/>
            <w:vAlign w:val="bottom"/>
            <w:tcBorders>
              <w:right w:val="single" w:sz="8" w:color="auto"/>
            </w:tcBorders>
            <w:gridSpan w:val="5"/>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Preferred Stock</w:t>
            </w:r>
          </w:p>
        </w:tc>
        <w:tc>
          <w:tcPr>
            <w:tcW w:w="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Paid-In</w:t>
            </w:r>
          </w:p>
        </w:tc>
        <w:tc>
          <w:tcPr>
            <w:tcW w:w="1080" w:type="dxa"/>
            <w:vAlign w:val="bottom"/>
            <w:gridSpan w:val="3"/>
            <w:vMerge w:val="restart"/>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060" w:type="dxa"/>
            <w:vAlign w:val="bottom"/>
            <w:gridSpan w:val="2"/>
            <w:vMerge w:val="restart"/>
          </w:tcPr>
          <w:p>
            <w:pPr>
              <w:ind w:left="20"/>
              <w:spacing w:after="0" w:line="108" w:lineRule="exact"/>
              <w:rPr>
                <w:sz w:val="20"/>
                <w:szCs w:val="20"/>
                <w:color w:val="auto"/>
              </w:rPr>
            </w:pPr>
            <w:r>
              <w:rPr>
                <w:rFonts w:ascii="Arial" w:cs="Arial" w:eastAsia="Arial" w:hAnsi="Arial"/>
                <w:sz w:val="11"/>
                <w:szCs w:val="11"/>
                <w:b w:val="1"/>
                <w:bCs w:val="1"/>
                <w:color w:val="auto"/>
                <w:w w:val="99"/>
              </w:rPr>
              <w:t>Total Stockholders’</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2"/>
                <w:szCs w:val="2"/>
                <w:color w:val="auto"/>
              </w:rPr>
            </w:pPr>
          </w:p>
        </w:tc>
        <w:tc>
          <w:tcPr>
            <w:tcW w:w="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940" w:type="dxa"/>
            <w:vAlign w:val="bottom"/>
          </w:tcPr>
          <w:p>
            <w:pPr>
              <w:jc w:val="right"/>
              <w:ind w:right="9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43,338,438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4"/>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472,569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270,621</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3" w:lineRule="exact"/>
              <w:rPr>
                <w:sz w:val="20"/>
                <w:szCs w:val="20"/>
                <w:color w:val="auto"/>
              </w:rPr>
            </w:pPr>
            <w:r>
              <w:rPr>
                <w:rFonts w:ascii="Arial" w:cs="Arial" w:eastAsia="Arial" w:hAnsi="Arial"/>
                <w:sz w:val="14"/>
                <w:szCs w:val="14"/>
                <w:color w:val="auto"/>
              </w:rPr>
              <w:t>Issuance of shares of common stock</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for public offering, net of issuance</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6,325,000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207,489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207,490</w:t>
            </w: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Arial" w:cs="Arial" w:eastAsia="Arial" w:hAnsi="Arial"/>
                <w:sz w:val="14"/>
                <w:szCs w:val="14"/>
                <w:color w:val="auto"/>
              </w:rPr>
              <w:t>costs of $603</w:t>
            </w: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shares of common stock</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111,282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upon the exercise of stock options</w:t>
            </w:r>
          </w:p>
        </w:tc>
        <w:tc>
          <w:tcPr>
            <w:tcW w:w="11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Issuance of restricted stock units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32,362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Lapse of repurchase rights related to</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 issued pursuant to early</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79,925</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11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8,503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8,503</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Unrealized gain on marketable</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1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(36,042)</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Balance—March 31, 2021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49,887,007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4"/>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688,939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450,994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In thousands</w:t>
      </w:r>
      <w:r>
        <w:rPr>
          <w:rFonts w:ascii="Arial" w:cs="Arial" w:eastAsia="Arial" w:hAnsi="Arial"/>
          <w:sz w:val="18"/>
          <w:szCs w:val="18"/>
          <w:b w:val="1"/>
          <w:bCs w:val="1"/>
          <w:i w:val="1"/>
          <w:i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3140" w:type="dxa"/>
            <w:vAlign w:val="bottom"/>
            <w:tcBorders>
              <w:bottom w:val="single" w:sz="8" w:color="auto"/>
            </w:tcBorders>
            <w:gridSpan w:val="5"/>
          </w:tcPr>
          <w:p>
            <w:pPr>
              <w:jc w:val="right"/>
              <w:ind w:right="427"/>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(36,042)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(28,013)</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Non-cash lease expense</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8100" w:type="dxa"/>
            <w:vAlign w:val="bottom"/>
          </w:tcPr>
          <w:p>
            <w:pPr>
              <w:ind w:left="680"/>
              <w:spacing w:after="0"/>
              <w:rPr>
                <w:sz w:val="20"/>
                <w:szCs w:val="20"/>
                <w:color w:val="auto"/>
              </w:rPr>
            </w:pPr>
            <w:r>
              <w:rPr>
                <w:rFonts w:ascii="Arial" w:cs="Arial" w:eastAsia="Arial" w:hAnsi="Arial"/>
                <w:sz w:val="14"/>
                <w:szCs w:val="14"/>
                <w:color w:val="auto"/>
              </w:rPr>
              <w:t>Net amortization/accretion on marketable securities</w:t>
            </w:r>
          </w:p>
        </w:tc>
        <w:tc>
          <w:tcPr>
            <w:tcW w:w="9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89"/>
        </w:trPr>
        <w:tc>
          <w:tcPr>
            <w:tcW w:w="8100" w:type="dxa"/>
            <w:vAlign w:val="bottom"/>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89"/>
        </w:trPr>
        <w:tc>
          <w:tcPr>
            <w:tcW w:w="8100" w:type="dxa"/>
            <w:vAlign w:val="bottom"/>
          </w:tcPr>
          <w:p>
            <w:pPr>
              <w:ind w:left="100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Accrued liabilities</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3,868</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1000"/>
              <w:spacing w:after="0"/>
              <w:rPr>
                <w:sz w:val="20"/>
                <w:szCs w:val="20"/>
                <w:color w:val="auto"/>
              </w:rPr>
            </w:pPr>
            <w:r>
              <w:rPr>
                <w:rFonts w:ascii="Arial" w:cs="Arial" w:eastAsia="Arial" w:hAnsi="Arial"/>
                <w:sz w:val="14"/>
                <w:szCs w:val="14"/>
                <w:color w:val="auto"/>
              </w:rPr>
              <w:t>Operating lease liabilities</w:t>
            </w: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used in operating activities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(21,010)</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9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(35,285)</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9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62,550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3"/>
        </w:trPr>
        <w:tc>
          <w:tcPr>
            <w:tcW w:w="8100" w:type="dxa"/>
            <w:vAlign w:val="bottom"/>
          </w:tcPr>
          <w:p>
            <w:pPr>
              <w:ind w:left="1440"/>
              <w:spacing w:after="0"/>
              <w:rPr>
                <w:sz w:val="20"/>
                <w:szCs w:val="20"/>
                <w:color w:val="auto"/>
              </w:rPr>
            </w:pPr>
            <w:r>
              <w:rPr>
                <w:rFonts w:ascii="Arial" w:cs="Arial" w:eastAsia="Arial" w:hAnsi="Arial"/>
                <w:sz w:val="14"/>
                <w:szCs w:val="14"/>
                <w:color w:val="auto"/>
              </w:rPr>
              <w:t>Net cash provided by (used in) investing activities</w:t>
            </w:r>
          </w:p>
        </w:tc>
        <w:tc>
          <w:tcPr>
            <w:tcW w:w="94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61,996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(20,326)</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9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initial public offering, net of issuance costs</w:t>
            </w:r>
          </w:p>
        </w:tc>
        <w:tc>
          <w:tcPr>
            <w:tcW w:w="9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168,646</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issuance of common stock, net of issuance costs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207,490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Net cash provided by financing activities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207,815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168,893</w:t>
            </w: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9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223,608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127,557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66,624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63,336</w:t>
            </w:r>
          </w:p>
        </w:tc>
        <w:tc>
          <w:tcPr>
            <w:tcW w:w="0" w:type="dxa"/>
            <w:vAlign w:val="bottom"/>
          </w:tcPr>
          <w:p>
            <w:pPr>
              <w:spacing w:after="0"/>
              <w:rPr>
                <w:sz w:val="1"/>
                <w:szCs w:val="1"/>
                <w:color w:val="auto"/>
              </w:rPr>
            </w:pPr>
          </w:p>
        </w:tc>
      </w:tr>
      <w:tr>
        <w:trPr>
          <w:trHeight w:val="183"/>
        </w:trPr>
        <w:tc>
          <w:tcPr>
            <w:tcW w:w="81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290,232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190,893</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10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9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Deferred financing costs included in accounts payable and accrued 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00" w:type="dxa"/>
            <w:vAlign w:val="bottom"/>
            <w:vMerge w:val="continue"/>
          </w:tcPr>
          <w:p>
            <w:pPr>
              <w:spacing w:after="0"/>
              <w:rPr>
                <w:sz w:val="14"/>
                <w:szCs w:val="14"/>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Organization and Description of Business</w:t>
      </w:r>
    </w:p>
    <w:p>
      <w:pPr>
        <w:spacing w:after="0" w:line="16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Arcutis Biotherapeutics, Inc., or the Company, is a late-stage biopharmaceutical company focused on developing and commercializing treatments for dermatological diseases with high unmet medical needs. The Company’s current portfolio is comprised of highly differentiated topical treatments with significant promise to treat immune-mediated dermatological diseases and conditions. The Company believes it has built the industry's leading platform for dermatologic product development. The Company’s strategy is to focus on validated biological targets and to use our platform and deep dermatology expertise to develop differentiated products that have the potential to address the major shortcomings of existing therapies in its targeted indications. The Company believes this strategy uniquely positions it to rapidly advance its goal of bridging the treatment innovation gap in dermatology while maximizing its probability of technical success.</w:t>
      </w:r>
    </w:p>
    <w:p>
      <w:pPr>
        <w:spacing w:after="0" w:line="13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On January 17, 2020, the Company's board of directors approved a 1-for-2.0007 reverse stock split of the Company’s capital stock and the Company filed a certificate of amendment to its restated certificate of incorporation to effect the split. The par value and authorized shares of common stock and convertible preferred stock were not adjusted as a result of the reverse split. All share and per share information included in the accompanying financial statements has been adjusted to reflect this reverse stock split.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Follow-On Financings</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February 4, 2020, the Company closed an initial public offering (IPO) issuing and selling 10,781,250 shares of common stock at a public offering price of $17.00 per share, including 1,406,250 shares sold pursuant to the underwriters’ full exercise of their option to purchase additional shares. The aggregate net proceeds received by the Company from the offering were approximately $167.2 million, after deducting underwriting discounts, commissions and offering related transaction costs. Upon the closing of the IPO, all of the outstanding shares of convertible preferred stock automatically converted into shares of common stock. Subsequent to the closing of the IPO, there were no shares of convertible preferred stock outstanding.</w:t>
      </w:r>
    </w:p>
    <w:p>
      <w:pPr>
        <w:spacing w:after="0" w:line="14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On October 6, 2020, the Company completed a public offering of 4,000,000 shares of common stock at an offering price of $25.00 per share, receiving aggregate net proceeds of approximately $93.4 million after deducting the underwriting discounts, commissions and offering related transaction costs. In addition, the Company concurrently sold 1,400,000 shares of common stock in a private placement exempt from the registration requirements of the Securities Act of 1933, as amended, at a price per share equal to the public offering price, receiving net proceeds of $35.0 million.</w:t>
      </w:r>
    </w:p>
    <w:p>
      <w:pPr>
        <w:spacing w:after="0" w:line="13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February 5, 2021, the Company completed a public offering of 6,325,000 shares of stock at an offering price of $35.00 per share, including 825,000 shares sold pursuant to the underwriters full exercise of their option to purchase additional shares. The aggregate net proceeds received by the Company were approximately $207.5 million, after deducting underwriting discounts, commissions, and offering related transaction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Company has incurred significant losses and negative cash flows from operations since its inception and had an accumulated deficit of $238.0 million and $202.0 million as of March 31, 2021 and December 31, 2020, respectively. The Company had cash, cash equivalents, restricted cash, and marketable securities of $446.5 million and $286.0 million as of March 31, 2021 and December 31, 2020, respectively. Prior to selling common stock in its IPO and follow-on financings, the Company had historically financed its operations primarily through the sale of its convertible preferred stock. Management expects operating losses to continue for the foreseeable future.</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believes that its existing capital resources will be sufficient to meet the projected operating requirements for at least 12 months from the date of issuance of its financial statements.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significantly reduce its operating expenses. Failure to manage discretionary spending or raise additional financing, as needed, may adversely impact the Company’s ability to achieve its intended business objectives and have an adverse effect on its results of operations and future prospects.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Outbreak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March 2020, the World Health Organization declared a pandemic related to the global novel coronavirus disease 2019 (COVID-</w:t>
      </w:r>
    </w:p>
    <w:p>
      <w:pPr>
        <w:spacing w:after="0" w:line="9" w:lineRule="exact"/>
        <w:rPr>
          <w:sz w:val="20"/>
          <w:szCs w:val="20"/>
          <w:color w:val="auto"/>
        </w:rPr>
      </w:pPr>
    </w:p>
    <w:p>
      <w:pPr>
        <w:ind w:right="40" w:firstLine="8"/>
        <w:spacing w:after="0" w:line="254" w:lineRule="auto"/>
        <w:tabs>
          <w:tab w:leader="none" w:pos="3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outbreak. As of May 6, 2021, the Company’s operations have not been significantly impacted by the COVID-19 pandemic. The Company is monitoring the impact COVID-19 may have on the clinical development of its product candidates, including potential delays or modifications to its ongoing and planned trials. However, the Company cannot at this time predict the specific extent, duration, or full impact that the COVID-19 outbreak will have on its financial condition and operations, including ongoing and planned clinical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right="840" w:firstLine="648"/>
        <w:spacing w:after="0" w:line="261" w:lineRule="auto"/>
        <w:rPr>
          <w:sz w:val="20"/>
          <w:szCs w:val="20"/>
          <w:color w:val="auto"/>
        </w:rPr>
      </w:pPr>
      <w:r>
        <w:rPr>
          <w:rFonts w:ascii="Arial" w:cs="Arial" w:eastAsia="Arial" w:hAnsi="Arial"/>
          <w:sz w:val="18"/>
          <w:szCs w:val="18"/>
          <w:color w:val="auto"/>
        </w:rPr>
        <w:t>The Company’s condensed financial statements have been prepared in accordance with United States generally accepted accounting principles (U.S. GAAP).</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0"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condensed financial statements and accompanying notes. On an ongoing basis, management evaluates such estimates and assumptions for continued reasonableness. In particular, management makes estimates with respect to accruals for research and development activities, fair value of common stock and convertible preferred stock (prior to the IPO completed in January</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2020), stock-based compensation expense and income taxes. Appropriate adjustments, if any, to the estimates used are made prospectively based upon such periodic evaluation. Actual results could differ from those estimates.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80" w:lineRule="exact"/>
        <w:rPr>
          <w:sz w:val="20"/>
          <w:szCs w:val="20"/>
          <w:color w:val="auto"/>
        </w:rPr>
      </w:pPr>
    </w:p>
    <w:p>
      <w:pPr>
        <w:ind w:right="900" w:firstLine="648"/>
        <w:spacing w:after="0" w:line="291" w:lineRule="auto"/>
        <w:rPr>
          <w:sz w:val="20"/>
          <w:szCs w:val="20"/>
          <w:color w:val="auto"/>
        </w:rPr>
      </w:pPr>
      <w:r>
        <w:rPr>
          <w:rFonts w:ascii="Arial" w:cs="Arial" w:eastAsia="Arial" w:hAnsi="Arial"/>
          <w:sz w:val="17"/>
          <w:szCs w:val="17"/>
          <w:color w:val="auto"/>
        </w:rPr>
        <w:t>To date, the Company has viewed its financial information on an aggregate basis for the purposes of evaluating financial performance and allocating the Company’s resources. Accordingly, the Company has determined that it operates in one segment.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interim condensed balance sheet as of March 31, 2021, the interim condensed statements of operations and comprehensive loss, and the condensed changes in convertible preferred stock and stockholders’ equity (deficit) and cash flows for the three months ended March 31, 2021, and 2020 are unaudited. These unaudited interim condensed financial statements have been prepared on the same basis as the Company’s audited annual financial statements and, in the opinion of management, reflect all adjustments (consisting only of normal recurring adjustments) that are necessary for a fair statement of the Company’s financial information. The financial data and the other financial information disclosed in these notes to the condensed financial statements related to the three-month periods are also unaudited. The condensed results of operations for the three months ended March 31, 2021 are not necessarily indicative of the results to be expected for the year ending December 31, 2021 or for any other future annual or interim period. The condensed balance sheet as of December 31, 2020 included herein was derived from the audited financial statements as of that date. Certain information and footnote disclosures normally included in annual financial statements prepared in accordance with U.S. GAAP have been condensed or omitted. Therefore, these unaudited interim condensed financial statements should be read in conjunction with the Company’s audited financial statements included in its Annual Report on Form 10-K for the year ended December 31, 2020.</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0"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money market funds, commercial paper, and U.S. Treasury securities.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66"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As of March 31, 2021 and December 31, 2020, the Company held $1.5 million of restricted cash as collateral for a letter of credit related to our amended office space lease. See Note 7.</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8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Marketable securities consist of investment grade short to intermediate-term fixed income investments that have been classified as available-for-sale and are carried at estimated fair value as determined based upon quoted market prices or pricing models for similar securities. Management determines the appropriate classification of its investments in fixed income securities at the time of purchase. Available-for-sale securities with original maturities beyond three months at the date of purchase are classified as current based on their availability for use in current operations.</w:t>
      </w:r>
    </w:p>
    <w:p>
      <w:pPr>
        <w:spacing w:after="0" w:line="1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Unrealized gains and losses are excluded from earnings and are reported as a component of other comprehensive income (loss). Realized gains and losses as well as credit losses, if any, on marketable securities are included in other income, net. The Company evaluated the underlying credit quality and credit ratings of the issuers during the period. To date, no such credit losses have occurred or have been recorded. The cost of investments sold is based on the specific-identification method. As of March 31, 2021, there were net unrealized gains on marketable securities of $42,000, and as of December 31, 2020, there were net unrealized losses on marketable securities of $2,000. Unrealized gains and losses on marketable securities are reported as a component of accumulated other comprehensive income (loss) on the balance sheets. Realized gains or losses on investments for the three months ended March 31, 2021 were not material. There were no realized gains or losses on investments for the three months ended March 31, 2020. Interest on marketable securities is included in other income, net.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0"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The Company is exposed to credit risk in the event of a default by the financial institutions holding its cash to the extent recorded on the balance sheets.</w:t>
      </w:r>
    </w:p>
    <w:p>
      <w:pPr>
        <w:spacing w:after="0" w:line="123"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Management believes the Company is not exposed to significant credit risk due to the financial position of the depository institutions in which those deposits are held.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80"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The Company’s financial instruments, in addition to those presented in Note 3, include cash equivalents, accounts payable, and accrued liabilities. The carrying amount of cash equivalents, accounts payable, and accrued liabilities approximate their fair values due to their short maturities.</w:t>
      </w:r>
    </w:p>
    <w:p>
      <w:pPr>
        <w:spacing w:after="0" w:line="121"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Assets and liabilities recorded at fair value on a recurring basis on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0" w:lineRule="exact"/>
        <w:rPr>
          <w:sz w:val="20"/>
          <w:szCs w:val="20"/>
          <w:color w:val="auto"/>
        </w:rPr>
      </w:pPr>
    </w:p>
    <w:p>
      <w:pPr>
        <w:ind w:left="660" w:right="560" w:firstLine="648"/>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for identical assets or liabilities at the measurement date;</w:t>
      </w:r>
    </w:p>
    <w:p>
      <w:pPr>
        <w:spacing w:after="0" w:line="130" w:lineRule="exact"/>
        <w:rPr>
          <w:sz w:val="20"/>
          <w:szCs w:val="20"/>
          <w:color w:val="auto"/>
        </w:rPr>
      </w:pPr>
    </w:p>
    <w:p>
      <w:pPr>
        <w:ind w:left="660" w:right="160" w:firstLine="648"/>
        <w:spacing w:after="0" w:line="256"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21" w:lineRule="exact"/>
        <w:rPr>
          <w:sz w:val="20"/>
          <w:szCs w:val="20"/>
          <w:color w:val="auto"/>
        </w:rPr>
      </w:pPr>
    </w:p>
    <w:p>
      <w:pPr>
        <w:ind w:left="660" w:right="120" w:firstLine="648"/>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Property and equipment are stated at cost less accumulated depreciation. Depreciation on property and equipment is calculated using the straight-line method over the estimated useful lives of the assets which range from three to five years. Leasehold improvements are depreciated on a straight-line basis over the shorter of their estimated useful lives or lease terms. Maintenance and repairs are expensed as incurred. The Company reviews the carrying values of its property and equipment for possible impairment whenever events or changes in circumstances indicate that the carrying amount of an asset may not be recoverable. There were no impairments recognized during the three months ended March 31, 2021 and 2020.</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Company determines if an arrangement is or contains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is adjusted for lease incentives and initial direct costs incurred, as applicable. Lease expense for the Company’s operating leases is recognized on a straight-line basis over the lease term.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29"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The Company’s lease agreements includes lease and non-lease components and the Company has elected to not separate such components for all classes of assets. Further, the Company elected the short-term lease exception policy, permitting it to not apply the recognition requirements of this standard to leases with terms of 12 months or less (short-term leases) for all classes of assets.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and Clinical Accruals and Costs</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records accrued liabilities for estimated costs of research and development activities conducted by third-party service providers, which include the conduct of preclinical studies, clinical trials and contract manufacturing activities.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three months ended March 31, 2021 and 2020, the Company has not experienced any material differences between accrued costs and actual costs incurred.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80"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Prior to its IPO, the Company classified its outstanding convertible preferred stock outside of stockholders’ equity (deficit) on its balance sheets as the requirements of triggering a deemed liquidation event, as defined within its amended and restated certificate of incorporation, were not entirely within the Company’s control. In the event of such a deemed liquidation event, the proceeds from the event were to be distributed in accordance with the liquidation preferences, provided that the holders of convertible preferred stock had not converted their shares into common stock. The Company recorded the issuance of convertible preferred stock at the issuance price less related issuance costs. The Company did not adjust the carrying values of the convertible preferred stock to the liquidation preferences of such shares because of the uncertainty as to whether or when a deemed liquidation event may have occurred. In connection with the IPO in February 2020, the Company’s outstanding shares of convertible preferred stock were automatically converted into 24,385,388 shares of common stock.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license fees, stock-based compensation expense, materials, supplies, and the cost of services provided by outside contractors. All costs associated with research and development are expensed as incurred. Payments made prior to the receipt of goods or services to be used in research and development are capitalized until the goods are received or services are rendered. Such payments are evaluated for current or long-term classification based on when they will be realized.</w:t>
      </w:r>
    </w:p>
    <w:p>
      <w:pPr>
        <w:spacing w:after="0" w:line="13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when paid or become payable, provided there is no alternative future use of the rights in other research and development projects.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Company accounts for share-based payments at fair value. The fair value of stock options is measured using the Black-Scholes option-pricing model.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 performance condition, the Company will recognize compensation cost for awards if and when the Company concludes that it is probable that the awards with a performance condition will be achieved on an accelerated attribution method. The Company accounts for forfeitures as they occur.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 Due to the Company’s historical operating performance and the recorded cumulative net losses in prior fiscal periods, the net deferred tax assets have been fully offset by a valuation allowance.</w:t>
      </w:r>
    </w:p>
    <w:p>
      <w:pPr>
        <w:spacing w:after="0" w:line="126"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spacing w:after="0" w:line="13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United States Congress enacted the American Rescue Plan Act on March 10, 2021, Families First Coronavirus Response Act (FFCR Act) on March 18, 2020 and the Coronavirus Aid, Relief, and Economic Security Act (CARES Act) on March 27, 2020. The American Rescue Plan Act is a follow-up to the CARES Act, which continue the emergency economic stimulus package and includes spending and tax breaks to strengthen the U.S. economy and fund a nationwide effort to curtail the effect of COVID-19. The American Rescue Plan Act, FFCR Act and CARES Act include numerous tax-related provisions including modifications to the limitations on business interest expense and net operating losses (NOLs), certain refundable employee retention credits, as well as a payment delay of employer payroll taxes in 2020 after the date of enactment. On June 29, 2020, the California State Assembly Bill 85 (Trailer Bill) was enacted which suspends the use of California NOL deductions and certain tax credits, including research and development credits, for the 2020, 2021, and 2022 tax years. The Company does not expect the American Rescue Plan Act FFCR Act, CARES Act or Trailer Bill to have a material impact on the Company’s financial statements.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6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Company reviews agreements it enters into with third-party entities, pursuant to which the Company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If the Company determines it is the primary beneficiary of a VIE, it consolidates that VIE into the Company’s financial statements. The Company’s determination about whether it should consolidate such VIEs is made continuously as changes to existing relationships or future transactions may result in a consolidation or deconsolidation event. The Company currently does not consolidate any VIEs.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0"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6" w:lineRule="exact"/>
        <w:rPr>
          <w:sz w:val="20"/>
          <w:szCs w:val="20"/>
          <w:color w:val="auto"/>
        </w:rPr>
      </w:pPr>
    </w:p>
    <w:p>
      <w:pPr>
        <w:ind w:right="720" w:firstLine="648"/>
        <w:spacing w:after="0" w:line="261" w:lineRule="auto"/>
        <w:rPr>
          <w:sz w:val="20"/>
          <w:szCs w:val="20"/>
          <w:color w:val="auto"/>
        </w:rPr>
      </w:pPr>
      <w:r>
        <w:rPr>
          <w:rFonts w:ascii="Arial" w:cs="Arial" w:eastAsia="Arial" w:hAnsi="Arial"/>
          <w:sz w:val="18"/>
          <w:szCs w:val="18"/>
          <w:color w:val="auto"/>
        </w:rPr>
        <w:t>There have been no new accounting pronouncements issued or effective that are expected to have a material impact on the Company's condensed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80"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45"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March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70"/>
        </w:trPr>
        <w:tc>
          <w:tcPr>
            <w:tcW w:w="5560" w:type="dxa"/>
            <w:vAlign w:val="bottom"/>
          </w:tcPr>
          <w:p>
            <w:pPr>
              <w:ind w:left="36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288,690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288,690</w:t>
            </w:r>
          </w:p>
        </w:tc>
      </w:tr>
      <w:tr>
        <w:trPr>
          <w:trHeight w:val="27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r>
      <w:tr>
        <w:trPr>
          <w:trHeight w:val="27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145,247</w:t>
            </w:r>
          </w:p>
        </w:tc>
      </w:tr>
      <w:tr>
        <w:trPr>
          <w:trHeight w:val="243"/>
        </w:trPr>
        <w:tc>
          <w:tcPr>
            <w:tcW w:w="5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433,937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444,927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03"/>
        </w:trPr>
        <w:tc>
          <w:tcPr>
            <w:tcW w:w="55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5560" w:type="dxa"/>
            <w:vAlign w:val="bottom"/>
          </w:tcPr>
          <w:p>
            <w:pPr>
              <w:ind w:left="36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65,082</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65,082</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45,518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r>
      <w:tr>
        <w:trPr>
          <w:trHeight w:val="27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173,841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r>
      <w:tr>
        <w:trPr>
          <w:trHeight w:val="243"/>
        </w:trPr>
        <w:tc>
          <w:tcPr>
            <w:tcW w:w="5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238,923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45,518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13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Commercial paper, money market funds, and U.S. Treasury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38"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The following table summarizes the estimated value of the Company’s cash, cash equivalents and marketable securities and the gross unrealized holding gains and losses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Unrealized</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6"/>
        </w:trPr>
        <w:tc>
          <w:tcPr>
            <w:tcW w:w="5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cost</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gains</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288,690</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288,690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145,247</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marketable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156,237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Unrealized</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5"/>
        </w:trPr>
        <w:tc>
          <w:tcPr>
            <w:tcW w:w="5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gains</w:t>
            </w: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219,359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balance includes cash requirements settled on a nightly basis.</w:t>
      </w:r>
    </w:p>
    <w:p>
      <w:pPr>
        <w:spacing w:after="0" w:line="3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Realized gains or losses on investments for the three months ended March 31, 2021 and 2020 were not material. As of December 31, 2020, unrealized losses on marketable securities were not material, and accordingly, no allowance for credit losses were recorded. There were no unrealized losses on marketable securities as of March 31, 2021. As of March 31, 2021 and December 31, 2020, all securities have a maturity of one year or less and all securities with gross unrealized losses have been in a continuous loss position for less than one year.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rPr>
              <w:t>March 31, 2021</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clinical trial costs</w:t>
            </w:r>
          </w:p>
        </w:tc>
        <w:tc>
          <w:tcPr>
            <w:tcW w:w="2340" w:type="dxa"/>
            <w:vAlign w:val="bottom"/>
            <w:gridSpan w:val="4"/>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2,149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340" w:type="dxa"/>
            <w:vAlign w:val="bottom"/>
            <w:gridSpan w:val="4"/>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19,506</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34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3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rPr>
              <w:t>March 31, 2021</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accruals</w:t>
            </w:r>
          </w:p>
        </w:tc>
        <w:tc>
          <w:tcPr>
            <w:tcW w:w="2340" w:type="dxa"/>
            <w:vAlign w:val="bottom"/>
            <w:gridSpan w:val="4"/>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1,713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 liability, current</w:t>
            </w: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2,788</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2340" w:type="dxa"/>
            <w:vAlign w:val="bottom"/>
            <w:gridSpan w:val="4"/>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5. Property and Equipment, net</w:t>
            </w: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5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80" w:type="dxa"/>
            <w:vAlign w:val="bottom"/>
            <w:gridSpan w:val="6"/>
          </w:tcPr>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Useful life (in years)</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2340" w:type="dxa"/>
            <w:vAlign w:val="bottom"/>
            <w:gridSpan w:val="4"/>
            <w:shd w:val="clear" w:color="auto" w:fill="CCEEFF"/>
          </w:tcPr>
          <w:p>
            <w:pPr>
              <w:jc w:val="right"/>
              <w:ind w:right="80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41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340" w:type="dxa"/>
            <w:vAlign w:val="bottom"/>
            <w:gridSpan w:val="4"/>
          </w:tcPr>
          <w:p>
            <w:pPr>
              <w:jc w:val="right"/>
              <w:ind w:right="80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340" w:type="dxa"/>
            <w:vAlign w:val="bottom"/>
            <w:gridSpan w:val="4"/>
            <w:shd w:val="clear" w:color="auto" w:fill="CCEEFF"/>
          </w:tcPr>
          <w:p>
            <w:pPr>
              <w:jc w:val="right"/>
              <w:ind w:right="80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Property and equipment, gross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(176)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jc w:val="center"/>
              <w:ind w:right="4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7"/>
        </w:trPr>
        <w:tc>
          <w:tcPr>
            <w:tcW w:w="8420" w:type="dxa"/>
            <w:vAlign w:val="bottom"/>
            <w:gridSpan w:val="7"/>
          </w:tcPr>
          <w:p>
            <w:pPr>
              <w:ind w:left="660"/>
              <w:spacing w:after="0"/>
              <w:rPr>
                <w:sz w:val="20"/>
                <w:szCs w:val="20"/>
                <w:color w:val="auto"/>
              </w:rPr>
            </w:pPr>
            <w:r>
              <w:rPr>
                <w:rFonts w:ascii="Arial" w:cs="Arial" w:eastAsia="Arial" w:hAnsi="Arial"/>
                <w:sz w:val="18"/>
                <w:szCs w:val="18"/>
                <w:color w:val="auto"/>
                <w:w w:val="99"/>
              </w:rPr>
              <w:t>Leasehold improvements are depreciated over the term of the lease. Depreciation expense was $</w:t>
            </w:r>
          </w:p>
        </w:tc>
        <w:tc>
          <w:tcPr>
            <w:tcW w:w="2820" w:type="dxa"/>
            <w:vAlign w:val="bottom"/>
            <w:gridSpan w:val="7"/>
          </w:tcPr>
          <w:p>
            <w:pPr>
              <w:jc w:val="right"/>
              <w:ind w:right="111"/>
              <w:spacing w:after="0"/>
              <w:rPr>
                <w:sz w:val="20"/>
                <w:szCs w:val="20"/>
                <w:color w:val="auto"/>
              </w:rPr>
            </w:pPr>
            <w:r>
              <w:rPr>
                <w:rFonts w:ascii="Arial" w:cs="Arial" w:eastAsia="Arial" w:hAnsi="Arial"/>
                <w:sz w:val="18"/>
                <w:szCs w:val="18"/>
                <w:color w:val="auto"/>
                <w:w w:val="99"/>
              </w:rPr>
              <w:t>98,000 and $27,000 for the three</w:t>
            </w: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months ended March 31, 2021 and 2020, respectively.</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534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License Agreements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8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July 2018, the Company entered into an exclusive license agreement, or the AstraZeneca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4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Company paid AstraZeneca an upfront non-refundable cash payment of $1.0 million and issued 484,388 shares of Series B convertible preferred stock, valued at $3.0 million on the date of the AstraZeneca License Agreement. The Company subsequently paid AstraZeneca the first milestone cash payment of $2.0 million upon the completion of a Phase 2b study of roflumilast cream in plaque psoriasis in August 2019 for the achievement of positive Phase 2 data for an AZ-Licensed Product, which was recorded in research and development expense. The Company has agreed to make additional cash payments to AstraZeneca of up to an aggregate of $12.5 million upon the achievement of specified regulatory approval milestones with respect to the AZ-Licensed Products and payments up to an additional aggregate amount of $15.0 million upon the achievement of certain aggregate worldwide net sales milestones.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payments made or due in connection with AZ-Licensed Products for the three months ended March 31,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the Company entered into an exclusive option and license agreement, or the Hengrui License Agreement, with Jiangsu Hengrui Medicine Co., Ltd. (Hengrui), whereby Hengrui granted the Company an exclusive option to obtain certain exclusive rights to research, develop, and commercialize products containing the compound designated by Hengrui as SHR0302, a Janus kinase type 1 inhibitor, in topical formulations for the treatment of skin diseases, disorders, and conditions in the United States, Japan, Canada, and the European Union (including for clarity the United Kingdom). The Company made a $0.4 million upfront non-refundable cash payment to Hengrui upon execution of the Hengrui Option and License Agreement, which was recorded as research and development expense. In December 2019, the Company exercised its exclusive option under the agreement, for which it made a $1.5 million cash payment, which was recorded in research and development expense, and also contemporaneously amended the agreement to expand the territory to additionally include Canada. In addition, the Company has agreed to make cash payments of up to an aggregate of $20.5 million upon achievement of specified clinical development and regulatory approval milestones with respect to the licensed products and cash payments of up to an additional aggregate of $200.0 million in sales-based milestones based on certain aggregate annual net sales volumes with respect to a licensed product.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With respect to any products the Company commercializes under the Hengrui License Agreement, it will pay tiered royalties to Hengrui on net sales of each licensed product by the Company, or its affiliates, or its sublicensees, ranging from mid single-digit to sub-teen percentage rates based on tiered annual net sales bands subject to specified reductions. The Company is obligated to pay royalties until the later of (1) expiration of the last valid claim of the licensed patent rights covering such licensed product in such country and (2) expiration of regulatory exclusivity for the relevant licensed product in the relevant country, on a licensed product-by-licensed product and country-by-country basis. Additionally, the Company is obligated to pay Hengrui a specified percentage, ranging from the low-thirties to the sub-teens, of certain non-royalty sublicensing income it receives from sublicensees of its rights to the licensed products, such percentage decreasing as the development stage of the licensed products advance.</w:t>
      </w:r>
    </w:p>
    <w:p>
      <w:pPr>
        <w:spacing w:after="0" w:line="124" w:lineRule="exact"/>
        <w:rPr>
          <w:sz w:val="20"/>
          <w:szCs w:val="20"/>
          <w:color w:val="auto"/>
        </w:rPr>
      </w:pPr>
    </w:p>
    <w:p>
      <w:pPr>
        <w:ind w:left="660" w:right="1020"/>
        <w:spacing w:after="0" w:line="422" w:lineRule="auto"/>
        <w:rPr>
          <w:sz w:val="20"/>
          <w:szCs w:val="20"/>
          <w:color w:val="auto"/>
        </w:rPr>
      </w:pPr>
      <w:r>
        <w:rPr>
          <w:rFonts w:ascii="Arial" w:cs="Arial" w:eastAsia="Arial" w:hAnsi="Arial"/>
          <w:sz w:val="18"/>
          <w:szCs w:val="18"/>
          <w:color w:val="auto"/>
        </w:rPr>
        <w:t xml:space="preserve">There were no payments made or due in connection with Hengrui for the three months ended March 31, 2021 and 2020. </w:t>
      </w:r>
      <w:r>
        <w:rPr>
          <w:rFonts w:ascii="Arial" w:cs="Arial" w:eastAsia="Arial" w:hAnsi="Arial"/>
          <w:sz w:val="18"/>
          <w:szCs w:val="18"/>
          <w:b w:val="1"/>
          <w:bCs w:val="1"/>
          <w:i w:val="1"/>
          <w:iCs w:val="1"/>
          <w:color w:val="auto"/>
        </w:rPr>
        <w:t>Hawkeye Collaboration Agreement</w:t>
      </w:r>
    </w:p>
    <w:p>
      <w:pPr>
        <w:spacing w:after="0" w:line="1" w:lineRule="exact"/>
        <w:rPr>
          <w:sz w:val="20"/>
          <w:szCs w:val="20"/>
          <w:color w:val="auto"/>
        </w:rPr>
      </w:pPr>
    </w:p>
    <w:p>
      <w:pPr>
        <w:ind w:right="580" w:firstLine="648"/>
        <w:spacing w:after="0" w:line="254" w:lineRule="auto"/>
        <w:rPr>
          <w:sz w:val="20"/>
          <w:szCs w:val="20"/>
          <w:color w:val="auto"/>
        </w:rPr>
      </w:pPr>
      <w:r>
        <w:rPr>
          <w:rFonts w:ascii="Arial" w:cs="Arial" w:eastAsia="Arial" w:hAnsi="Arial"/>
          <w:sz w:val="18"/>
          <w:szCs w:val="18"/>
          <w:color w:val="auto"/>
        </w:rPr>
        <w:t>In June 2019, the Company entered into a collaboration agreement, or Hawkeye Agreement, with Hawkeye Therapeutics, Inc. (Hawkeye), a related party with common ownership, for the development of one or more new applications of roflumilast. The Hawkeye Agreement grants Hawkeye an exclusive license to certain intellectual property developed under the agreement as it relates to the applications.</w:t>
      </w:r>
    </w:p>
    <w:p>
      <w:pPr>
        <w:spacing w:after="0" w:line="12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Contemporaneously with the execution of the Hawkeye Agreement, the Company entered into a stock purchase agreement, purchasing 995,000 shares of Hawkeye’s common stock at $ 0.0001 per share, representing 19.9% of the outstanding common stock of Hawkeye. In the event that Hawkeye issues shares of Series A preferred stock with proceeds over $5.0 million, Hawkeye is required to issue to the Company a number of fully-paid fully-vested shares of common stock determined by dividing (i) $ 2,000,000 by (ii) an amount equal to the cash price per share for Series A preferred stock. Other than the potential issuance of this common stock, there are no upfront payments, milestones, or royalties pursuant to the Hawkeye Agreement. The Company determined that Hawkeye is a VIE for which consolidation is not required as it is not the primary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Commitments and Contingencies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leases a facility in Westlake Village, California under an operating lease that commenced in February 2019. This lease was amended in April 2020 in order to relocate to a new expanded space comprising 22,643 square feet. At the time of the amendment, the Company reassessed the lease term of the original space in accordance with the option to terminate if leasing additional space in the same property. In connection with the reduction of the lease term for the original space, the Company reduced the ROU asset and lease liability balance by $123,000.</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recognized the ROU asset and lease liability for the new space on May 1, 2020, which was determined to be the lease commencement date, or the date on which the new space was made available to the Company for purposes of planning and constructing the leasehold improvements. The lease payment term for the new space began on December 30, 2020, which was 15 days after the leasehold improvements were substantially complete. The lease payments terminate 91 months thereafter, with a renewal option for a term of five years. The Company will have a one-time option to cancel the lease after month 67. The renewal and one-time cancellation options have not been considered in the determination of the ROU asset or lease liability as the Company did not consider it reasonably certain it would exercise these options.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one year. As a result, the Company recognizes rent expense on a straight-line basis for the full amount of the commitment including the minimum rent increases over the life of the lease and the free rent period. The amended lease agreement provided for a leasehold improvement allowance up to $ 1.25 million. It also required the Company to have an available letter of credit of $1.5 million upon occupying the space, which is allowed to be reduced throughout the lease period as rent obligations are met. Accordingly, in November 2020, the Company entered into a letter of credit for $1.5 million, which it secured with a restricted cash account in the same amount. The restricted cash will be reduced by $308,000 on the first, second, third, and fourth anniversary and by $45,000 on the fifth anniversary from when the lease payment term began on December 30, 2020, with no further reductions thereafter.</w:t>
      </w:r>
    </w:p>
    <w:p>
      <w:pPr>
        <w:spacing w:after="0" w:line="124"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In association with commencement of this new lease, the Company recorded lease liabilities and ROU assets of $3.6 million on its condensed balance sheet as of June 30, 2020. Since the Company was reasonably certain to incur costs equal to or exceeding the leasehold improvement allowance of $1.25 million, the allowance was treated as a lease incentive that was payable to the Company at the lease commencement date. Accordingly, the leasehold improvement allowance was included in the measurement of the consideration in the contract at commencement, and was recognized as a reduction in the ROU asset and lease liability. Upon completion of the leasehold improvements in December 2020, the $1.25 million allowance was reclassified from the lease liability to property and equipment on the condensed balance sheet as of December 31, 2020. The Company capitalized $320,000 of additional leasehold improvements, in excess of the $1.25 million allowance, which were also reflected in property and equipment as of December 31, 2020. All leasehold improvements will be depreciated over the remaining term of the lease.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annual rental payments of the Company’s operating lease liability as of March 31, 2021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Amounts</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(April through December)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r>
      <w:tr>
        <w:trPr>
          <w:trHeight w:val="221"/>
        </w:trPr>
        <w:tc>
          <w:tcPr>
            <w:tcW w:w="980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5,050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80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Operating lease liability, noncurrent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5,050</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Straight-line rent expense recognized for operating leases was $175,000 and $43,000 for the three months ended March 31, 2021 and 2020, respectively. There were no significant variable lease payments, including non-lease components such as common area maintenance fees, recognized as rent expense for operating leases for the three months ended March 31, 2021 and 2020.</w:t>
      </w:r>
    </w:p>
    <w:p>
      <w:pPr>
        <w:spacing w:after="0" w:line="200" w:lineRule="exact"/>
        <w:rPr>
          <w:sz w:val="20"/>
          <w:szCs w:val="20"/>
          <w:color w:val="auto"/>
        </w:rPr>
      </w:pPr>
    </w:p>
    <w:p>
      <w:pPr>
        <w:spacing w:after="0" w:line="326"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following information represents supplemental disclosure for the statement of cash flows related to the Company’s operating lease (in thousands):</w:t>
      </w:r>
    </w:p>
    <w:p>
      <w:pPr>
        <w:spacing w:after="0" w:line="145"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17780</wp:posOffset>
            </wp:positionV>
            <wp:extent cx="2152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22" w:lineRule="exact"/>
        <w:rPr>
          <w:sz w:val="20"/>
          <w:szCs w:val="20"/>
          <w:color w:val="auto"/>
        </w:rPr>
      </w:pPr>
    </w:p>
    <w:p>
      <w:pPr>
        <w:ind w:left="8480"/>
        <w:spacing w:after="0"/>
        <w:tabs>
          <w:tab w:leader="none" w:pos="10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34" w:lineRule="exact"/>
        <w:rPr>
          <w:sz w:val="20"/>
          <w:szCs w:val="20"/>
          <w:color w:val="auto"/>
        </w:rPr>
      </w:pPr>
    </w:p>
    <w:p>
      <w:pPr>
        <w:ind w:left="20"/>
        <w:spacing w:after="0"/>
        <w:tabs>
          <w:tab w:leader="none" w:pos="7820" w:val="left"/>
          <w:tab w:leader="none" w:pos="9200" w:val="left"/>
          <w:tab w:leader="none" w:pos="9560" w:val="left"/>
          <w:tab w:leader="none" w:pos="10920" w:val="left"/>
        </w:tabs>
        <w:rPr>
          <w:sz w:val="20"/>
          <w:szCs w:val="20"/>
          <w:color w:val="auto"/>
        </w:rPr>
      </w:pPr>
      <w:r>
        <w:rPr>
          <w:rFonts w:ascii="Arial" w:cs="Arial" w:eastAsia="Arial" w:hAnsi="Arial"/>
          <w:sz w:val="18"/>
          <w:szCs w:val="18"/>
          <w:color w:val="auto"/>
        </w:rPr>
        <w:t>Cash paid for amounts included in the measurement of lease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47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additional information related to the operating lease: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7.0 %</w:t>
            </w:r>
          </w:p>
        </w:tc>
      </w:tr>
    </w:tbl>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the provisions of the Company’s Bylaws and the Delaware General Corporation Law. The Company currently has directors’ and officers’ insurance coverage that reduces its exposure and enables the Company to recover a portion of any future amounts paid. The Company believes any potential loss exposure under these indemnification agreements in excess of applicable insurance coverage is minimal.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Convertible Preferred Stock and Stockholders’ Equity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connection with the Company's IPO in February 2020, all of the Company’s outstanding shares of convertible preferred stock were automatically converted into 24,385,388 shares of common stock.</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18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holders of the Company’s common stock have one vote for each share of common stock. Common stockholders are entitled to dividends when, as, and if declared by the board of directors. The holders have no preemptive or other subscription rights and there are no redemption or sinking fund provisions with respect to such shares. As of March 31, 2021, no dividends had been declared by the board of directors.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reserved the following shares of common stock for issuance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06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 2021</w:t>
            </w:r>
          </w:p>
        </w:tc>
        <w:tc>
          <w:tcPr>
            <w:tcW w:w="198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Options issued and outstanding</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4,540,255</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3,655,945</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awards available for grant under employee benefit plans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3,509,044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2,501,329</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 outstanding</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310,068</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162,930</w:t>
            </w:r>
          </w:p>
        </w:tc>
      </w:tr>
      <w:tr>
        <w:trPr>
          <w:trHeight w:val="248"/>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common stock reserved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8,359,367</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6,320,204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80"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On February 4, 2020, the Company’s certificate of incorporation was amended and restated to provide for 300,000,000 authorized shares of common stock with a par value of $0.0001 per share and 10,000,000 authorized shares of preferred stock with a par value of $0.0001 per share. There were no shares of preferred stock outstanding as of March 31, 2021 and December 31, 2020.</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Stock-Based Compensation</w:t>
      </w:r>
    </w:p>
    <w:p>
      <w:pPr>
        <w:spacing w:after="0" w:line="16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January 2020, the Company’s board of directors approved the 2020 Equity Incentive Plan, (2020 Plan), which became effective January 30, 2020 in connection with the IPO. The 2020 Plan serves as the successor incentive award plan to the Company’s 2017 Equity Incentive Plan (2017 Plan) and has 2,134,000 shares of common stock available for issuance pursuant to a variety of stock-based compensation awards, including stock options, stock appreciation rights, restricted stock awards, restricted stock unit awards, and other stock-based awards, plus 1,550,150 shares of common stock that were reserved for issuance pursuant to future awards under the 2017 Plan at the time the 2020 Plan became effective, plus shares represented by awards outstanding under the 2017 Plan that are forfeited or lapsed unexercised and which following the effective date of the 2020 Plan are not issued under the 2017 Plan. In addition, the 2020 Plan reserve will increase on January 1 of each year through 2030, by an amount equal to the lesser of (a) four percent of the shares of stock outstanding (on an as converted basis) on the day immediately prior to the date of increase and (b) such smaller number of shares of stock as determined by our board of directors; provided, however, that no more than 11,000,000 shares of stock may be issued upon the exercise of incentive stock options. Accordingly, on January 1, 2021, the plan reserve increased by 1,747,112 shares. As of March 31, 2021, the Company had 2,755,454 shares available for future grant under the 2020 Plan.</w:t>
      </w:r>
    </w:p>
    <w:p>
      <w:pPr>
        <w:spacing w:after="0" w:line="14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2020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2020 Plan, options may be granted at an exercise price not less than fair market value. The Company generally grants stock-based awards with service conditions. Options granted typically vest over a four-year period but may be granted with different vesting terms.</w:t>
      </w:r>
    </w:p>
    <w:p>
      <w:pPr>
        <w:spacing w:after="0" w:line="138"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Following the Company’s IPO and in connection with the effectiveness of the Company’s 2020 Plan, the 2017 Plan terminated and no further awards will be granted under that plan. However, all outstanding awards under the 2017 Plan will continue to be governed by their existing terms.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option activity (in thousands,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120" w:type="dxa"/>
            <w:vAlign w:val="bottom"/>
          </w:tcPr>
          <w:p>
            <w:pPr>
              <w:jc w:val="center"/>
              <w:ind w:right="1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Options</w:t>
            </w:r>
          </w:p>
        </w:tc>
        <w:tc>
          <w:tcPr>
            <w:tcW w:w="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3,655,945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59,274</w:t>
            </w: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1,024,400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(27,725)</w:t>
            </w:r>
          </w:p>
        </w:tc>
        <w:tc>
          <w:tcPr>
            <w:tcW w:w="6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4,540,255</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Exercisable—March 31, 2021</w:t>
            </w:r>
            <w:r>
              <w:rPr>
                <w:rFonts w:ascii="Arial" w:cs="Arial" w:eastAsia="Arial" w:hAnsi="Arial"/>
                <w:sz w:val="23"/>
                <w:szCs w:val="23"/>
                <w:color w:val="auto"/>
                <w:vertAlign w:val="superscript"/>
              </w:rPr>
              <w:t>(1)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60" w:type="dxa"/>
            <w:vAlign w:val="bottom"/>
            <w:vMerge w:val="continue"/>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2,099,037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42,849</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3"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Options exercisable includes early exercisable options.</w:t>
      </w:r>
    </w:p>
    <w:p>
      <w:pPr>
        <w:spacing w:after="0" w:line="144" w:lineRule="exact"/>
        <w:rPr>
          <w:sz w:val="20"/>
          <w:szCs w:val="20"/>
          <w:color w:val="auto"/>
        </w:rPr>
      </w:pPr>
    </w:p>
    <w:p>
      <w:pPr>
        <w:jc w:val="both"/>
        <w:ind w:right="520" w:firstLine="648"/>
        <w:spacing w:after="0" w:line="256"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fair value of the Company’s common stock as of March 31, 2021. As of December 31, 2020, prior to the Company's IPO, the estimated fair value of the Company's common stock was determined by the board of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intrinsic value of options exercised for the three months ended March 31, 2021 was $3.3 million.</w:t>
      </w:r>
    </w:p>
    <w:p>
      <w:pPr>
        <w:spacing w:after="0" w:line="15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The total grant-date fair value of the options vested during the three months ended March 31, 2021 was $4.9 million. The weighted-average grant-date fair value of employee options granted during the three months ended March 31, 2021 was $21.74.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regarding our RSUs: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70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 of Units</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 Date Fair Value</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181,900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32.44</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Balance—March 31, 2021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310,068</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RSUs generally vest equally over four years. There were no RSU grants prior to January 1, 2020.</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Stock-based compensation expense included in the condensed statements of operations and comprehensive loss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3"/>
        </w:trPr>
        <w:tc>
          <w:tcPr>
            <w:tcW w:w="8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r>
      <w:tr>
        <w:trPr>
          <w:trHeight w:val="25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7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March 31, 2021, there was $41.2 million of total unrecognized compensation cost related to unvested options that are expected to vest, which is expected to be recognized over a weighted-average period of 3.5 years. As of March 31, 2021, there was $8.5 million of total unrecognized compensation cost related to RSUs that is expected to vest, which is expected to be recognized over a weighted-average period of 3.7 years.</w:t>
      </w:r>
    </w:p>
    <w:p>
      <w:pPr>
        <w:spacing w:after="0" w:line="13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March 2021, in connection with the retirement of the former Chief Financial Officer, the Company modified the terms of this individual’s historical stock awards. As a result of the modifications, the Company recognized approximately $5.3 million of incremental stock compensation expense during the period, which is included in general and administrative expenses.</w:t>
      </w:r>
    </w:p>
    <w:p>
      <w:pPr>
        <w:spacing w:after="0" w:line="121" w:lineRule="exact"/>
        <w:rPr>
          <w:sz w:val="20"/>
          <w:szCs w:val="20"/>
          <w:color w:val="auto"/>
        </w:rPr>
      </w:pPr>
    </w:p>
    <w:p>
      <w:pPr>
        <w:ind w:right="1000" w:firstLine="648"/>
        <w:spacing w:after="0" w:line="261" w:lineRule="auto"/>
        <w:rPr>
          <w:sz w:val="20"/>
          <w:szCs w:val="20"/>
          <w:color w:val="auto"/>
        </w:rPr>
      </w:pPr>
      <w:r>
        <w:rPr>
          <w:rFonts w:ascii="Arial" w:cs="Arial" w:eastAsia="Arial" w:hAnsi="Arial"/>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112" w:lineRule="exact"/>
        <w:rPr>
          <w:sz w:val="20"/>
          <w:szCs w:val="20"/>
          <w:color w:val="auto"/>
        </w:rPr>
      </w:pPr>
    </w:p>
    <w:p>
      <w:pPr>
        <w:ind w:left="660" w:right="40" w:firstLine="648"/>
        <w:spacing w:after="0" w:line="26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For options granted prior to IPO in the year ended December 31, 2019, given the absence of a</w:t>
      </w:r>
      <w:r>
        <w:rPr>
          <w:rFonts w:ascii="Arial" w:cs="Arial" w:eastAsia="Arial" w:hAnsi="Arial"/>
          <w:sz w:val="17"/>
          <w:szCs w:val="17"/>
          <w:i w:val="1"/>
          <w:iCs w:val="1"/>
          <w:color w:val="auto"/>
        </w:rPr>
        <w:t xml:space="preserve"> </w:t>
      </w:r>
      <w:r>
        <w:rPr>
          <w:rFonts w:ascii="Arial" w:cs="Arial" w:eastAsia="Arial" w:hAnsi="Arial"/>
          <w:sz w:val="17"/>
          <w:szCs w:val="17"/>
          <w:color w:val="auto"/>
        </w:rPr>
        <w:t>public trading market,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w:t>
      </w:r>
    </w:p>
    <w:p>
      <w:pPr>
        <w:spacing w:after="0" w:line="3" w:lineRule="exact"/>
        <w:rPr>
          <w:sz w:val="20"/>
          <w:szCs w:val="20"/>
          <w:color w:val="auto"/>
        </w:rPr>
      </w:pPr>
    </w:p>
    <w:p>
      <w:pPr>
        <w:ind w:left="660" w:right="100" w:hanging="4"/>
        <w:spacing w:after="0" w:line="254"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operating results and financial condition, including the Company’s levels of available capital resources; (vi) equity market conditions affecting comparable public companies; (vii) general U.S. market conditions; and (viii) the lack of marketability of the Company’s common stock. For options granted after IPO, the Company uses its closing stock price as reported on Nasdaq on the grant date for the fair value of its stock.</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p>
      <w:pPr>
        <w:ind w:left="660" w:right="20" w:firstLine="648"/>
        <w:spacing w:after="0" w:line="266"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outstanding. The Company used the simplified method (based on the mid-point between the vesting date and the end of the contractual term) to determine the expected term.</w:t>
      </w:r>
    </w:p>
    <w:p>
      <w:pPr>
        <w:spacing w:after="0" w:line="95" w:lineRule="exact"/>
        <w:rPr>
          <w:sz w:val="20"/>
          <w:szCs w:val="20"/>
          <w:color w:val="auto"/>
        </w:rPr>
      </w:pPr>
    </w:p>
    <w:p>
      <w:pPr>
        <w:ind w:left="660" w:right="80" w:firstLine="648"/>
        <w:spacing w:after="0" w:line="25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does not yet have sufficient trading history for its common stock to solely use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Therefore, the expected volatility was estimated based on a combination of its own historical common stock volatility as well as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20" w:lineRule="exact"/>
        <w:rPr>
          <w:sz w:val="20"/>
          <w:szCs w:val="20"/>
          <w:color w:val="auto"/>
        </w:rPr>
      </w:pPr>
    </w:p>
    <w:p>
      <w:pPr>
        <w:ind w:left="660" w:right="100" w:firstLine="648"/>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option.</w:t>
      </w:r>
    </w:p>
    <w:p>
      <w:pPr>
        <w:spacing w:after="0" w:line="94" w:lineRule="exact"/>
        <w:rPr>
          <w:sz w:val="20"/>
          <w:szCs w:val="20"/>
          <w:color w:val="auto"/>
        </w:rPr>
      </w:pPr>
    </w:p>
    <w:p>
      <w:pPr>
        <w:ind w:left="660" w:right="500" w:firstLine="648"/>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the Company used an expected dividend yield of zero.</w:t>
      </w:r>
    </w:p>
    <w:p>
      <w:pPr>
        <w:spacing w:after="0" w:line="99"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The fair value of stock option awards granted was estimated at the date of grant using a Black-Scholes option-pricing model with the following assumptions: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76"/>
        </w:trPr>
        <w:tc>
          <w:tcPr>
            <w:tcW w:w="73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2020</w:t>
            </w:r>
          </w:p>
        </w:tc>
      </w:tr>
      <w:tr>
        <w:trPr>
          <w:trHeight w:val="25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5.8 – 6.1</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5.5 – 6.8</w:t>
            </w: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84.5</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 85.2%</w:t>
            </w:r>
          </w:p>
        </w:tc>
        <w:tc>
          <w:tcPr>
            <w:tcW w:w="780" w:type="dxa"/>
            <w:vAlign w:val="bottom"/>
          </w:tcPr>
          <w:p>
            <w:pPr>
              <w:jc w:val="right"/>
              <w:spacing w:after="0"/>
              <w:rPr>
                <w:sz w:val="20"/>
                <w:szCs w:val="20"/>
                <w:color w:val="auto"/>
              </w:rPr>
            </w:pPr>
            <w:r>
              <w:rPr>
                <w:rFonts w:ascii="Arial" w:cs="Arial" w:eastAsia="Arial" w:hAnsi="Arial"/>
                <w:sz w:val="18"/>
                <w:szCs w:val="18"/>
                <w:color w:val="auto"/>
              </w:rPr>
              <w:t>78.4</w:t>
            </w:r>
          </w:p>
        </w:tc>
        <w:tc>
          <w:tcPr>
            <w:tcW w:w="1120" w:type="dxa"/>
            <w:vAlign w:val="bottom"/>
          </w:tcPr>
          <w:p>
            <w:pPr>
              <w:ind w:left="40"/>
              <w:spacing w:after="0"/>
              <w:rPr>
                <w:sz w:val="20"/>
                <w:szCs w:val="20"/>
                <w:color w:val="auto"/>
              </w:rPr>
            </w:pPr>
            <w:r>
              <w:rPr>
                <w:rFonts w:ascii="Arial" w:cs="Arial" w:eastAsia="Arial" w:hAnsi="Arial"/>
                <w:sz w:val="18"/>
                <w:szCs w:val="18"/>
                <w:color w:val="auto"/>
              </w:rPr>
              <w:t>– 80.8%</w:t>
            </w:r>
          </w:p>
        </w:tc>
      </w:tr>
      <w:tr>
        <w:trPr>
          <w:trHeight w:val="27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1.4%</w:t>
            </w: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80" w:type="dxa"/>
            <w:vAlign w:val="bottom"/>
          </w:tcPr>
          <w:p>
            <w:pPr>
              <w:spacing w:after="0"/>
              <w:rPr>
                <w:sz w:val="23"/>
                <w:szCs w:val="23"/>
                <w:color w:val="auto"/>
              </w:rPr>
            </w:pPr>
          </w:p>
        </w:tc>
        <w:tc>
          <w:tcPr>
            <w:tcW w:w="124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3"/>
                <w:szCs w:val="23"/>
                <w:color w:val="auto"/>
              </w:rPr>
            </w:pPr>
          </w:p>
        </w:tc>
        <w:tc>
          <w:tcPr>
            <w:tcW w:w="11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r>
    </w:tbl>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6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terms of the 2017 and 2020 Plans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vested are subject to repurchase by the Company upon termination of the purchaser’s employment, at the price paid by the purchaser. While such shares have been issued, they are not considered outstanding for accounting purposes until they vest and are therefore excluded from shares used in determining loss per share until the repurchase right lapses and the shares are no longer subject to the repurchase feature. The liability is reclassified into common stock and additional paid-in capital as the shares vest and the repurchase right lapses. Accordingly, the Company has recorded the unvested portion of the exercise proceeds of $206,000 and $258,000 as a liability from the early exercise in the accompanying balance sheets as of March 31, 2021 and December 31, 2020, respectively. As of March 31, 2021 and December 31, 2020, there were $148,000 and $176,000 recorded in accrued liabilities, respectively, and $58,000 and $82,000 recorded in other long-term liabilities, respectively related to shares that were subject to repurchase.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Founder Awards</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August 2016, the Company issued 1,187,738 shares of restricted common stock to founders, of which 1,102,903 shares would vest under a service condition, and 84,835 shares would vest under a performance condition. The shares were issued under the terms of the respective restricted stock purchase agreements, or the Stock Purchase Agreement, and unvested shares were subject to repurchase by the Company at the original purchase price per share upon the holder’s termination of his relationship with the Company. The restricted shares were not considered outstanding for accounting purposes until they vested and are therefore excluded from shares used in determining loss per share until the repurchase right lapses and the shares are no longer subject to the repurchase feature. One-fourth of the 1,102,903 shares of restricted common stock were vested on the first-anniversary date and the remaining 827,177 shares vested on a monthly basis thereafter. All shares of restricted stock subject to the award were vested as of June 30, 2020.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80"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The Company adopted the 2020 Employee Stock Purchase Plan, or the ESPP, which became effective on January 30, 2020 in connection with the IPO. The ESPP is designed to allow the Company’s eligible employees to purchase shares of the Company’s common stock, at semi-annual intervals, with their accumulated payroll deductions. Under the ESPP, participants are offered the option to purchase shares of the Company’s common stock at a discount during a series of successive offering periods. The option purchase price will be the lower of 85% of the closing trading price per share of the Company’s common stock on the first trading date of an offering period in which a participant is enrolled or 85% of the closing trading price per share on the purchase date, which will occur on the last trading day of each offering period.</w:t>
      </w:r>
    </w:p>
    <w:p>
      <w:pPr>
        <w:spacing w:after="0" w:line="12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ESPP is intended to qualify under Section 423 of the U.S. Internal Revenue Service Code of 1986, as amended. The maximum number of the Company’s common stock which will be authorized for sale under the ESPP is equal to the sum of (a) 351,000 shares of common stock and (b) an annual increase on the first day of each year beginning in 2021 and ending in 2030, equal to the lesser of (i) 1% of the shares of common stock outstanding (on an as converted basis) on the last day of the immediately preceding fiscal year and (ii) such number of shares of common stock as determined by the Company’s board of directors; provided, however, no more than 5,265,000 shares of the Company’s common stock may be issued under the ESPP. Accordingly, on January 1, 2021, the ESPP reserve increased by 436,778 shares.</w:t>
      </w:r>
    </w:p>
    <w:p>
      <w:pPr>
        <w:spacing w:after="0" w:line="13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Company commenced an offering period on January 31, 2020, which ended on May 31, 2020, and resulted in 19,862 shares of stock being issued under the ESPP. The Company also commenced an offering period on June 1, 2020, which ended on November 30, 2020, and resulted in 14,326 shares of stock being issued under the ESPP. In addition, the Company commenced an offering period on December 1, 2020, which will end on May 31, 2021. Stock-based compensation expense related to the ESPP was $117,000 and $66,000 for the three months ended March 31,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w:t>
      </w:r>
    </w:p>
    <w:p>
      <w:pPr>
        <w:spacing w:after="0" w:line="166"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26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As of March 31,</w:t>
            </w:r>
          </w:p>
        </w:tc>
        <w:tc>
          <w:tcPr>
            <w:tcW w:w="1040" w:type="dxa"/>
            <w:vAlign w:val="bottom"/>
            <w:tcBorders>
              <w:bottom w:val="single" w:sz="8" w:color="auto"/>
            </w:tcBorders>
          </w:tcPr>
          <w:p>
            <w:pPr>
              <w:spacing w:after="0"/>
              <w:rPr>
                <w:sz w:val="16"/>
                <w:szCs w:val="16"/>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4,540,255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3,061,521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Early exercised options subject to future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259,460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613,627</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subject to future vesting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198,992</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 shares subject to future issuance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11,392</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5,113,516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3,885,532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ARCUTIS BIOTHERAPEUTICS, INC.</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Subsequent Event</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May 6, 2021, the Company entered into a sales agreement (Sales Agreement) with Cowen and Company, LLC (Cowen), under which the Company may from time to time issue and sell shares of its common stock through at-the-market (ATM) offerings for an aggregate offering price of up to $100.0 million. Cowen will act as the Company's sales agent for the ATM program. The issuance and sale of shares of common stock by the Company pursuant to the Sales Agreement are deemed an “at-the-market” offering under the Securities Act of 1933, as amended. Cowen is entitled to compensation for its services equal to 3% of the gross proceeds of any shares of common stock sold through Cowen under the Sales Agreement. The ATM program has been registered under the Securities Act pursuant to the Company's shelf registration statement on Form S-3, as amended (Registration No. 333-252612), as supplemented by the Prospectus Supplement dated May 6, 2021 relating to the sale of shares of our common stock.</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financial statements and related notes appearing elsewhere in this Quarterly Report on Form 10-Q, and the audited financial statements and notes thereto as of and for the year ended December 31, 2020 and the related Management's Discussion and Analysis of Financial Condition and Results of Operations, both of which are contained in our Annual Report on Form 10-K for the year ended December 31, 2020, which has been filed with the Securities and Exchange Commission. 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this Quarterly Report on Form 10-Q, our actual results and the timing of selected events could differ materially from the forward-looking statements contained in the following discussion and analysis.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a late-stage biopharmaceutical company focused on developing and commercializing treatments for dermatological diseases with high unmet medical needs. Our current portfolio is comprised of highly differentiated topical treatments with significant potential to treat immune-mediated dermatological diseases and conditions. We believe we have built the industry's leading platform for dermatologic product development. Our strategy is to focus on validated biological targets, and to use our platform and deep dermatology expertise to develop differentiated products that have the potential to address the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13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lead product candidate, roflumilast cream, has successfully completed pivotal Phase 3 clinical trials in plaque psoriasis. We are currently preparing a New Drug Application (NDA), with a submission to the U.S. Food and Drug Administration (FDA) expected in the second half of 2021. Roflumilast cream is a highly potent and selective phosphodiesterase type 4 (PDE4) inhibitor, an established biological target in dermatology, with multiple PDE4 inhibitors approved by the FDA for dermatological conditions. We are developing roflumilast cream for the treatment of plaque psoriasis, including psoriasis in intertriginous regions such as the groin, axillae, and inframammary areas, as well as atopic dermatitis. We have also successfully completed a long-term safety study of roflumilast cream in plaque psoriasis patients.</w:t>
      </w:r>
    </w:p>
    <w:p>
      <w:pPr>
        <w:spacing w:after="0" w:line="140"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Additionally, we have completed a Phase 2 proof of concept study of roflumilast cream in atopic dermatitis, and recently initiated Phase 3 clinical trials, with topline data expected in the second half of 2022.</w:t>
      </w:r>
    </w:p>
    <w:p>
      <w:pPr>
        <w:spacing w:after="0" w:line="11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also developing a topical foam formulation of roflumilast, and have successfully completed Phase 2 studies in both seborrheic dermatitis and scalp psoriasis. In seborrheic dermatitis, we had a successful End of Phase 2 meeting with the FDA and plan to initiate a single pivotal Phase 3 clinical trial in the second or third quarter of 2021, with topline data expected in the second or third quarter of 2022. In scalp psoriasis, we also had a successful End of Phase 2 meeting with the FDA and plan to initiate a single pivotal Phase 3 clinical trial in the second half of 2021, with topline data expected in the second half of 2022.</w:t>
      </w:r>
    </w:p>
    <w:p>
      <w:pPr>
        <w:spacing w:after="0" w:line="138"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We are developing ARQ-252, a potent and highly selective topical JAK1 inhibitor, for the treatment of chronic hand eczema and vitiligo. Our recently completed Phase 1/2b study of ARQ-252 for the treatment of chronic hand eczema did not meet its primary endpoint. Further analyses of the data are underway.</w:t>
      </w:r>
    </w:p>
    <w:p>
      <w:pPr>
        <w:spacing w:after="0" w:line="134"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also recently initiated a Phase 2 proof of concept study of ARQ-252 for the treatment of vitiligo, with topline results expected in the second half of 2023. Additionally, we have formulation and preclinical efforts underway for ARQ-255, an alternative topical formulation of ARQ-252 designed to reach deeper into the skin in order to potentially treat alopecia areata.</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Since our inception in 2016, we have invested a significant portion of our efforts and financial resources in clinical development activities. We have not generated any revenue from product sales and have funded our operations primarily with the net proceeds from our IPO completed in January 2020 and with the net proceeds from our follow-on equity offerings in October 2020 and February 2021, respectively, as well as with $162.5 million in net cash proceeds from private placements of our convertible preferred stock prior to IPO. On February 4, 2020, we closed our IPO of 10,781,250 shares of common stock at an offering price of $17.00 per share, which included the exercise in full by the underwriters of their option to purchase up to 1,406,250 additional shares of common stock. Our net proceeds, after deducting underwriting discounts, commissions and offering related transaction costs, were $167.2 million. In addition, on October 6, 2020, we closed our public offering of 4,000,000 shares of common stock and concurrent private placement of 1,400,000 shares of common stock, both at a price of $25.00 per share, receiving an aggregate of $128.4 million in net proceeds after deducting the underwriting discounts,</w:t>
      </w:r>
    </w:p>
    <w:p>
      <w:pPr>
        <w:spacing w:after="0" w:line="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commissions, and offering related transaction costs. Also, on February 5, 2021, we closed our public offering of 6,325,000 shares of common stock at a price of $35.00 per share, including 825,000 shares sold pursuant to the underwriters' full exercise of their option to purchase additional shares, receiving an aggregate of $207.5 million in net proceeds, after deducting underwriting discounts, commissions, and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offering related transaction costs. See Note 1 to the unaudited condensed financial statements for additional information.</w:t>
      </w:r>
    </w:p>
    <w:p>
      <w:pPr>
        <w:spacing w:after="0" w:line="14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have incurred net losses in each year since inception, including net losses of $36.0 million and $28.0 million for the three months ended March 31, 2021, and 2020, respectively. As of March 31, 2021, we had an accumulated deficit of $238.0 million and cash, cash equivalents, restricted cash, and marketable securities of $446.5 million.</w:t>
      </w:r>
    </w:p>
    <w:p>
      <w:pPr>
        <w:spacing w:after="0" w:line="13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expect to continue to incur losses for the foreseeable future and expect to incur increased expenses as we advance our product candidates through clinical trials and regulatory submissions. We do not expect to generate revenue from product sales unless, and until, we obtain regulatory approval or clearance from the FDA or other foreign regulatory authorities for our product candidates. If we obtain regulatory approval or clearance for our product candidates, we expect to incur significant commercialization expenses related to product sales, marketing, manufacturing, and distribution. In addition, we expect that our expenses will increase substantially as we continue preclinical studies and clinical trials for, and research and development of, our product candidates and maintain, expand, and protect our</w:t>
      </w:r>
    </w:p>
    <w:p>
      <w:pPr>
        <w:spacing w:after="0" w:line="3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intellectual property portfolio. As a result, we will need substantial additional funding to support our operating activities. Adequate funding may not be available to us on acceptable terms, or at all. We currently anticipate that we will seek to fund our operations through equity or debt financings or other sources, such as future potential collaboration agreements. Our failure to obtain sufficient funds on acceptable terms as and when needed could have a material adverse effect on our business, results of operations, and financial condition. See “Liquidity, Capital Resources and Requirements” below and Note 1 to the financial statements for additional information. Based on our current planned operations, we expect that our current cash, cash equivalents, and marketable securities will be sufficient to fund our operations well into 2023.</w:t>
      </w:r>
    </w:p>
    <w:p>
      <w:pPr>
        <w:spacing w:after="0" w:line="13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rely on third parties in the conduct of our preclinical studies and clinical trials and for manufacturing and supply of our product candidates. We have no internal manufacturing capabilities, and we will continue to rely on third parties, many of whom are single source suppliers, for our preclinical and clinical trial materials, as well as the commercial supply of our products. In addition, we do not yet have a sales organization or fully developed commercial infrastructure. Accordingly, we expect to incur significant expenses to fully develop a sales organization or commercial infrastructure in advance of generating any product sales.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8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March 2020, the World Health Organization declared a pandemic related to the COVID-19 outbreak. COVID-19 has placed strains on the providers of healthcare services, including the sites where we conduct our clinical trials. These strains have resulted in some clinical sites slowing or halting enrollment in clinical trials and restricting the on-site monitoring of clinical trials. We follow FDA guidance on clinical trial conduct during the COVID-19 pandemic, including the remote monitoring of clinical data. We are monitoring the impact COVID-19 may have on the clinical development of our product candidates, including potential delays or modifications to ongoing and planned trials. Thus far, we have seen limited impact on our clinical trials, including some disruptions in screening, enrollment and monitoring; however at this time, we do not expect delays to previously disclosed clinical timelines, including those for roflumilast cream, roflumilast foam, and ARQ-252. We cannot, at this time, predict the specific extent, duration, or full impact that the COVID-19 outbreak will have on our ongoing and planned clinical trials and other business operations.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There have been no disruptions in our supply chain of drug manufacturers necessary to conduct our clinical trials and, given our drug inventories, we believe that we will be able to supply the drug needs of our ongoing clinical studies.</w:t>
      </w:r>
    </w:p>
    <w:p>
      <w:pPr>
        <w:spacing w:after="0" w:line="11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In alignment with public health guidance designed to slow the spread of COVID-19, we implemented a remote work plan for all employees as of mid-March 2020. We developed a return-to-work protocol, and as the pandemic conditions improved in the southern California region, we began a phased return to in-person work in the first quarter of 2021. We may need to undertake additional actions that could impact our operations as required by applicable laws or regulations, or which we determine to be in the best interests of our employees.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License Agreement</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July 2018, we entered into the AstraZeneca License Agreement with AstraZeneca, granting us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3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paid AstraZeneca an upfront non-refundable cash payment of $1.0 million and issued 484,388 shares of our Series B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See Note 6 to the unaudited condensed financial statements for additional information.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Hengrui Exclusive Option and License Agreement</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2018, we entered into the Hengrui License Agreement, with Hengrui, whereby Hengrui granted us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Canada, Japan, and the European Union (including for clarity the United Kingdom). We made a $0.4 million upfront non-refundable cash payment to Hengrui upon execution of the Hengrui Option and License Agreement. In December 2019, we exercised our exclusive option under the agreement, for which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aggregate of $200.0 million in sales-based milestones based on achieving certain aggregate annual net sales volumes with respect to a licensed product. With respect to any products we commercialize under the Hengrui License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140"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8"/>
          <w:szCs w:val="18"/>
          <w:color w:val="auto"/>
        </w:rPr>
        <w:t>The agreement continues in effect until the expiration of our obligation to pay royalties as described above, unless earlier terminated in accordance with the following: (1) by either party upon written notice for the other party’s material breach or insolvency event if such party fails to cure such breach or the insolvency event is not dismissed within specified time periods; and (2) by us for convenience upon 90 days prior written notice to Hengrui and having discussed and consulted any potential cause or concern with Hengrui in good faith. See Note 6 to the unaudited condensed financial statements for additional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0"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including conducting preclinical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preclinical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on a program specific basis (topical roflumilast program, topical JAK inhibitor program and early stage programs). Our internal costs are primarily related to personnel or professional services and apply across programs, and thus are not allocatable on a program specific basis.</w:t>
      </w:r>
    </w:p>
    <w:p>
      <w:pPr>
        <w:spacing w:after="0" w:line="13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expect to continue to incur substantial research and development expenses in the future as we develop our product candidates. In particular, we expect to incur substantial research and development expenses for the Phase 3 trials of roflumilast cream for atopic dermatitis, the Phase 3 trials of roflumilast foam for seborrheic dermatitis and scalp psoriasis, ARQ-252 for hand eczema and vitiligo, and ARQ-255 for alopecia areata.</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12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required to complete the remaining development of roflumilast cream, roflumilast foam, ARQ-252 and ARQ-255 or any future product candidates. This is due to the numerous risks and uncertainties associated with the development of product candidates. See “Risk Factors” for a discussion of the risks and uncertainties associated with the development of our product candidates.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general and administrative expenses consist primarily of salaries and related costs, including payroll taxes, benefits, stock-based compensation, and travel. Other general and administrative expenses include legal costs of pursuing patent protection of our intellectual property, insurance, and professional services fees for marketing, auditing, tax, and general legal services. We expect our general and administrative expenses to continue to increase in the future as we expand our operating activities and prepare for potential commercialization of our product candidates, increase our headcount, and support our operations as a public company; including increased expenses related to legal, accounting, insurance, regulatory, and tax-related services associated with maintaining compliance with exchange listing and Securities and Exchange Commission (SEC) requirements, directors and officers liability insurance premiums, and investor relations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primarily consists of interest income earned on our cash, cash equivalents,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5"/>
          </w:tcPr>
          <w:p>
            <w:pPr>
              <w:jc w:val="center"/>
              <w:ind w:left="697"/>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5"/>
          </w:tcPr>
          <w:p>
            <w:pPr>
              <w:jc w:val="center"/>
              <w:ind w:left="67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21,631</w:t>
            </w:r>
          </w:p>
        </w:tc>
        <w:tc>
          <w:tcPr>
            <w:tcW w:w="40" w:type="dxa"/>
            <w:vAlign w:val="bottom"/>
          </w:tcPr>
          <w:p>
            <w:pPr>
              <w:spacing w:after="0"/>
              <w:rPr>
                <w:sz w:val="23"/>
                <w:szCs w:val="23"/>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25,182</w:t>
            </w:r>
          </w:p>
        </w:tc>
        <w:tc>
          <w:tcPr>
            <w:tcW w:w="40" w:type="dxa"/>
            <w:vAlign w:val="bottom"/>
          </w:tcPr>
          <w:p>
            <w:pPr>
              <w:spacing w:after="0"/>
              <w:rPr>
                <w:sz w:val="23"/>
                <w:szCs w:val="23"/>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14,454</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36,085</w:t>
            </w:r>
          </w:p>
        </w:tc>
        <w:tc>
          <w:tcPr>
            <w:tcW w:w="40" w:type="dxa"/>
            <w:vAlign w:val="bottom"/>
          </w:tcPr>
          <w:p>
            <w:pPr>
              <w:spacing w:after="0"/>
              <w:rPr>
                <w:sz w:val="21"/>
                <w:szCs w:val="21"/>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28,651</w:t>
            </w:r>
          </w:p>
        </w:tc>
        <w:tc>
          <w:tcPr>
            <w:tcW w:w="4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(36,085)</w:t>
            </w: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(28,651)</w:t>
            </w: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(36,042)</w:t>
            </w:r>
          </w:p>
        </w:tc>
        <w:tc>
          <w:tcPr>
            <w:tcW w:w="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(28,013)</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5"/>
          </w:tcPr>
          <w:p>
            <w:pPr>
              <w:jc w:val="center"/>
              <w:ind w:left="577"/>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5"/>
          </w:tcPr>
          <w:p>
            <w:pPr>
              <w:jc w:val="center"/>
              <w:ind w:left="57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external costs:</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Topical roflumilast program</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9,787</w:t>
            </w:r>
          </w:p>
        </w:tc>
        <w:tc>
          <w:tcPr>
            <w:tcW w:w="40" w:type="dxa"/>
            <w:vAlign w:val="bottom"/>
          </w:tcPr>
          <w:p>
            <w:pPr>
              <w:spacing w:after="0"/>
              <w:rPr>
                <w:sz w:val="19"/>
                <w:szCs w:val="19"/>
                <w:color w:val="auto"/>
              </w:rPr>
            </w:pPr>
          </w:p>
        </w:tc>
        <w:tc>
          <w:tcPr>
            <w:tcW w:w="6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20,585</w:t>
            </w:r>
          </w:p>
        </w:tc>
        <w:tc>
          <w:tcPr>
            <w:tcW w:w="40" w:type="dxa"/>
            <w:vAlign w:val="bottom"/>
          </w:tcPr>
          <w:p>
            <w:pPr>
              <w:spacing w:after="0"/>
              <w:rPr>
                <w:sz w:val="19"/>
                <w:szCs w:val="19"/>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Topical JAK inhibitor program</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Other early stage programs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Compensation and personnel-related</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Total research and development expense</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21,631</w:t>
            </w:r>
          </w:p>
        </w:tc>
        <w:tc>
          <w:tcPr>
            <w:tcW w:w="40" w:type="dxa"/>
            <w:vAlign w:val="bottom"/>
          </w:tcPr>
          <w:p>
            <w:pPr>
              <w:spacing w:after="0"/>
              <w:rPr>
                <w:sz w:val="19"/>
                <w:szCs w:val="19"/>
                <w:color w:val="auto"/>
              </w:rPr>
            </w:pPr>
          </w:p>
        </w:tc>
        <w:tc>
          <w:tcPr>
            <w:tcW w:w="6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25,182</w:t>
            </w:r>
          </w:p>
        </w:tc>
        <w:tc>
          <w:tcPr>
            <w:tcW w:w="40" w:type="dxa"/>
            <w:vAlign w:val="bottom"/>
          </w:tcPr>
          <w:p>
            <w:pPr>
              <w:spacing w:after="0"/>
              <w:rPr>
                <w:sz w:val="19"/>
                <w:szCs w:val="19"/>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50"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 % is not applicable.</w:t>
      </w:r>
    </w:p>
    <w:p>
      <w:pPr>
        <w:spacing w:after="0" w:line="14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Research and development expenses decreased by $3.6 million, or 14%, for the three months ended March 31, 2021 compared to the three months ended March 31, 2020. The decrease was due to a decrease in direct costs related to the topical roflumilast program of $10.8 million, offset by an increase in direct costs related to the topical JAK inhibitor program (ARQ-252 and ARQ-255) of $2.2 million, an increase in compensation and personnel-related costs of $ 2.8 million, and an increase of $2.0 million in other costs. The decreased topical roflumilast program costs relate primarily to the completion of the Phase 3 studies of roflumilast cream for plaque psoriasis and the Phase 2 studies of roflumilast foam in seborrheic dermatitis and scalp psoriasis, as well as a decrease in manufacturing costs. This decrease was partially offset by the costs related to our Phase 3 studies of roflumilast cream in atopic dermatitis. The increased topical JAK inhibitor program costs relate primarily to our Phase 2 studies of ARQ-252 in hand eczema and vitiligo, as well as increased product development expenses. The increase in compensation and personnel-related expenses, which includes stock-based compensation, was primarily due to an increase in headcount. The increase in other costs relate primarily to an increase in consulting activity and medical affairs spending.</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General and administrative expenses increased by $11.0 million, or 317%, for the three months ended March 31, 2021 compared to the three months ended March 31, 2020. The increase was primarily due to an increase in compensation and personnel-related expenses of $7.7 million, and an increase in professional services of $ 2.6 million. The increase in compensation and personnel-related expenses, which includes stock-based compensation, was primarily due to the recognition of $5.3 million of incremental stock-based compensation expense as a result of modification to the vesting schedule and exercise term of previously-granted awards in connection with the retirement of our former Chief Financial Officer, as well as an increase in headcount. The increase in professional services was mainly due to an increase in consulting activity and marketing expenses primarily related to roflumilast.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0"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color w:val="auto"/>
        </w:rPr>
        <w:t>Other income, net decreased by $595,000, or 93%, for the three months ended March 31, 2021 compared to the three months ended March 31, 2020. The decrease was due to a lower yield on our investment portfolio.</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Capital Resources, and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incurred operating losses since our inception and have an accumulated deficit as a result of ongoing efforts to develop our product candidates, including conducting preclinical and clinical trials and providing general and administrative support for these operations. As of March 31, 2021, we had cash, cash equivalents, restricted cash, and marketable securities of $446.5 million, and an accumulated deficit of $238.0 million. We anticipate that operating losses and net cash used in operating activities will increase over the next several years as we further develop roflumilast cream, roflumilast foam, ARQ-252, and ARQ-255; move into later and more costly stages of product development, develop new product candidates, hire personnel, and prepare for regulatory submissions and the commercialization of our product candidates.</w:t>
      </w:r>
    </w:p>
    <w:p>
      <w:pPr>
        <w:spacing w:after="0" w:line="12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historically financed our operations primarily through private placements of preferred stock, as well as our IPO completed in January 2020 and our follow-on financing in October 2020 and February 2021. We will continue to be dependent upon equity, debt financing, collaborations, or other forms of capital at least until we are able to generate positive cash flows from our operations. On May 6, 2021, we entered into a sales agreement, or Sales Agreement, with Cowen, to sell shares of our common stock, from time to time, with aggregate gross sales proceeds of up to $100.0 million through an at-the-market equity offering program under which Cowen acts as sales agent, or the ATM Offering Program. During the three months ended March 31, 2021, we did not issue or sell any shares of our common stock through our ATM Offering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flows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3320" w:type="dxa"/>
            <w:vAlign w:val="bottom"/>
            <w:tcBorders>
              <w:bottom w:val="single" w:sz="8" w:color="auto"/>
            </w:tcBorders>
            <w:gridSpan w:val="4"/>
          </w:tcPr>
          <w:p>
            <w:pPr>
              <w:jc w:val="center"/>
              <w:ind w:left="679"/>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r>
      <w:tr>
        <w:trPr>
          <w:trHeight w:val="183"/>
        </w:trPr>
        <w:tc>
          <w:tcPr>
            <w:tcW w:w="716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5"/>
                <w:szCs w:val="15"/>
                <w:color w:val="auto"/>
              </w:rPr>
            </w:pPr>
          </w:p>
        </w:tc>
      </w:tr>
      <w:tr>
        <w:trPr>
          <w:trHeight w:val="238"/>
        </w:trPr>
        <w:tc>
          <w:tcPr>
            <w:tcW w:w="7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80" w:type="dxa"/>
            <w:vAlign w:val="bottom"/>
            <w:gridSpan w:val="3"/>
          </w:tcPr>
          <w:p>
            <w:pPr>
              <w:jc w:val="center"/>
              <w:ind w:right="376"/>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20"/>
                <w:szCs w:val="20"/>
                <w:color w:val="auto"/>
              </w:rPr>
            </w:pPr>
          </w:p>
        </w:tc>
      </w:tr>
      <w:tr>
        <w:trPr>
          <w:trHeight w:val="222"/>
        </w:trPr>
        <w:tc>
          <w:tcPr>
            <w:tcW w:w="7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80" w:type="dxa"/>
            <w:vAlign w:val="bottom"/>
            <w:gridSpan w:val="3"/>
          </w:tcPr>
          <w:p>
            <w:pPr>
              <w:jc w:val="center"/>
              <w:ind w:right="39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9"/>
                <w:szCs w:val="19"/>
                <w:color w:val="auto"/>
              </w:rPr>
            </w:pPr>
          </w:p>
        </w:tc>
      </w:tr>
      <w:tr>
        <w:trPr>
          <w:trHeight w:val="235"/>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(21,010)</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61,996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(20,326)</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207,815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168,893</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223,608</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127,557</w:t>
            </w:r>
          </w:p>
        </w:tc>
      </w:tr>
      <w:tr>
        <w:trPr>
          <w:trHeight w:val="20"/>
        </w:trPr>
        <w:tc>
          <w:tcPr>
            <w:tcW w:w="7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During the three months ended March 31, 2021, net cash used in operating activities was $46.2 million, which consisted of a net loss of $36.0 million and a change in net operating assets and liabilities of $19.5 million offset by net non-cash charges of $9.3 million. The change in net operating assets and liabilities was primarily due to an increase of $12.7 million in prepaid expenses and other current assets due to an increase in prepaid clinical trials and a decrease of $6.9 million in accounts payable and accrued liabilities due to the timing of payments to contract research organizations and payment of employee bonuses accrued for at December 31, 2020. The net non-cash charges were primarily related to stock-based compensation expense of $8.5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During the three months ended March 31, 2020, net cash used in operating activities was $21.0 million, which consisted of a net loss of $28.0 million, offset by a change in net operating assets and liabilities of $6.1 million and net non-cash charges of $0.9 million. The change in net operating assets and liabilities was due to an increase of $7.3 million in accounts payable and accrued liabilities due to our overall growth, increased research and development spending and timing of payments, partially offset by an increase of $1.1 million in prepaid expenses and other current assets for premiums paid on insurance policies and other advances made for clinical trial costs. The net non-cash charges were primarily related to stock-based compensation expense of $1.0 million.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8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During the three months ended March 31, 2021, net cash provided by investing activities was $ 62.0 million, which was comprised primarily of proceeds from the maturities of marketable securities of $62.6 million, partially offset by the purchases of property and equipment of $0.6 million.</w:t>
      </w:r>
    </w:p>
    <w:p>
      <w:pPr>
        <w:spacing w:after="0" w:line="134"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During the three months ended March 31, 2020, net cash used in investing activities was $20.3 million, which was comprised primarily of purchases of marketable securities of $35.3 million, partially offset by proceeds from the maturities of marketable securities of $15.0 million.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0"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During the three months ended March 31, 2021, net cash provided by financing activities was $207.8 million, which was comprised primarily of the net cash proceeds received from the follow-on financing in February 2021 of $207.5 million.</w:t>
      </w:r>
    </w:p>
    <w:p>
      <w:pPr>
        <w:spacing w:after="0" w:line="130"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During the three months ended March 31, 2020, net cash provided by financing activities was $168.9 million, which was comprised primarily of the net cash proceeds received from the IPO of $168.6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historically incurred significant losses and negative cash flows from operations since our inception and had an accumulated deficit of $238.0 million as of March 31, 2021. We had cash, cash equivalents, and marketable securities of $444.9 million as of March 31, 2021. Based on our current planned operations, we expect that our current cash, cash equivalents, and marketable securities will be sufficient to fund our operations well into 2023. Our ability to continue as a going concern is dependent upon our ability to successfully secure sources of financing and ultimately achieve profitable operations.</w:t>
      </w:r>
    </w:p>
    <w:p>
      <w:pPr>
        <w:spacing w:after="0" w:line="13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will need to raise substantial additional capital to fund our operations through the sale of our equity securities, incurring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would otherwise choose.</w:t>
      </w:r>
    </w:p>
    <w:p>
      <w:pPr>
        <w:spacing w:after="0" w:line="12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36" w:lineRule="exact"/>
        <w:rPr>
          <w:sz w:val="20"/>
          <w:szCs w:val="20"/>
          <w:color w:val="auto"/>
        </w:rPr>
      </w:pPr>
    </w:p>
    <w:p>
      <w:pPr>
        <w:ind w:left="820" w:right="180" w:hanging="164"/>
        <w:spacing w:after="0" w:line="254"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planned or ongoing clinical studies of roflumilast cream in plaque psoriasis and atopic dermatitis, roflumilast foam in seborrheic dermatitis and scalp psoriasis, ARQ-252 in hand eczema and vitiligo, and our formulation and preclinical efforts for ARQ-255 for alopecia areata.</w:t>
      </w:r>
    </w:p>
    <w:p>
      <w:pPr>
        <w:spacing w:after="0" w:line="136"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suspensions or delays in the enrollment or changes to the number of patients we decide to enroll in our ongoing clinical trials as a result of the COVID-19 pandemic;</w:t>
      </w:r>
    </w:p>
    <w:p>
      <w:pPr>
        <w:spacing w:after="0" w:line="116" w:lineRule="exact"/>
        <w:rPr>
          <w:rFonts w:ascii="Arial" w:cs="Arial" w:eastAsia="Arial" w:hAnsi="Arial"/>
          <w:sz w:val="18"/>
          <w:szCs w:val="18"/>
          <w:color w:val="auto"/>
        </w:rPr>
      </w:pPr>
    </w:p>
    <w:p>
      <w:pPr>
        <w:ind w:left="820" w:right="800" w:hanging="164"/>
        <w:spacing w:after="0" w:line="261"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lead product candidate or our other product candidates;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44" w:lineRule="exact"/>
        <w:rPr>
          <w:rFonts w:ascii="Arial" w:cs="Arial" w:eastAsia="Arial" w:hAnsi="Arial"/>
          <w:sz w:val="18"/>
          <w:szCs w:val="18"/>
          <w:color w:val="auto"/>
        </w:rPr>
      </w:pPr>
    </w:p>
    <w:p>
      <w:pPr>
        <w:ind w:left="820" w:right="74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our lead product candidates or any future product candidates and any products we successfully commercialize, including costs associated with building out our supply chain;</w:t>
      </w:r>
    </w:p>
    <w:p>
      <w:pPr>
        <w:spacing w:after="0" w:line="130" w:lineRule="exact"/>
        <w:rPr>
          <w:rFonts w:ascii="Arial" w:cs="Arial" w:eastAsia="Arial" w:hAnsi="Arial"/>
          <w:sz w:val="18"/>
          <w:szCs w:val="18"/>
          <w:color w:val="auto"/>
        </w:rPr>
      </w:pPr>
    </w:p>
    <w:p>
      <w:pPr>
        <w:ind w:left="820" w:right="48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commercialization activities if our lead product candidates or any future product candidates are approved for sale, including marketing, sales, and distribution costs;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44" w:lineRule="exact"/>
        <w:rPr>
          <w:rFonts w:ascii="Arial" w:cs="Arial" w:eastAsia="Arial" w:hAnsi="Arial"/>
          <w:sz w:val="18"/>
          <w:szCs w:val="18"/>
          <w:color w:val="auto"/>
        </w:rPr>
      </w:pPr>
    </w:p>
    <w:p>
      <w:pPr>
        <w:ind w:left="820" w:right="22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related to milestone payments to AstraZeneca or Hengrui, upon the achievement of predetermined milestones;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57" w:lineRule="exact"/>
        <w:rPr>
          <w:rFonts w:ascii="Arial" w:cs="Arial" w:eastAsia="Arial" w:hAnsi="Arial"/>
          <w:sz w:val="18"/>
          <w:szCs w:val="18"/>
          <w:color w:val="auto"/>
        </w:rPr>
      </w:pPr>
    </w:p>
    <w:p>
      <w:pPr>
        <w:ind w:left="820" w:right="280" w:hanging="164"/>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the outcome of this and any other future patent litigation we may be involved in; and</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136" w:lineRule="exact"/>
        <w:rPr>
          <w:sz w:val="20"/>
          <w:szCs w:val="20"/>
          <w:color w:val="auto"/>
        </w:rPr>
      </w:pPr>
    </w:p>
    <w:p>
      <w:pPr>
        <w:ind w:left="660" w:right="3440" w:firstLine="2824"/>
        <w:spacing w:after="0" w:line="470" w:lineRule="auto"/>
        <w:rPr>
          <w:sz w:val="20"/>
          <w:szCs w:val="20"/>
          <w:color w:val="auto"/>
        </w:rPr>
      </w:pPr>
      <w:r>
        <w:rPr>
          <w:rFonts w:ascii="Arial" w:cs="Arial" w:eastAsia="Arial" w:hAnsi="Arial"/>
          <w:sz w:val="17"/>
          <w:szCs w:val="17"/>
          <w:b w:val="1"/>
          <w:bCs w:val="1"/>
          <w:color w:val="auto"/>
        </w:rPr>
        <w:t xml:space="preserve">Contractual Obligations and Contingent Liabilities </w:t>
      </w:r>
      <w:r>
        <w:rPr>
          <w:rFonts w:ascii="Arial" w:cs="Arial" w:eastAsia="Arial" w:hAnsi="Arial"/>
          <w:sz w:val="17"/>
          <w:szCs w:val="17"/>
          <w:color w:val="auto"/>
        </w:rPr>
        <w:t>The following summarizes our significant contractual obligations as of March 31, 2021:</w:t>
      </w: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1-3 Years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In April 2020, we amended our lease agreement for our facility in Westlake Village, California to relocate to a new expanded space including 22,643 square feet. The lease payment term for the new space began on December 30, 2020 and will terminate 91 months thereafter, with a renewal option term of five years. We have a one-time option to cancel the lease after month 67.</w:t>
      </w:r>
    </w:p>
    <w:p>
      <w:pPr>
        <w:spacing w:after="0" w:line="13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lease is subject to fixed rate escalation increases with an initial base rent of $76,000 per month and includes rent free periods aggregating approximately one year. The amended lease agreement required that we deliver a letter of credit to the landlord of $1.5 million upon occupying the space, which is allowed to be reduced throughout the lease period as rent obligations are met. Accordingly, in November 2020, we entered into a letter of credit for $1.5 million, which is secured with a restricted cash account in the same amount.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80" w:lineRule="exact"/>
        <w:rPr>
          <w:sz w:val="20"/>
          <w:szCs w:val="20"/>
          <w:color w:val="auto"/>
        </w:rPr>
      </w:pPr>
    </w:p>
    <w:p>
      <w:pPr>
        <w:jc w:val="both"/>
        <w:ind w:right="140" w:firstLine="648"/>
        <w:spacing w:after="0" w:line="254" w:lineRule="auto"/>
        <w:rPr>
          <w:sz w:val="20"/>
          <w:szCs w:val="20"/>
          <w:color w:val="auto"/>
        </w:rPr>
      </w:pPr>
      <w:r>
        <w:rPr>
          <w:rFonts w:ascii="Arial" w:cs="Arial" w:eastAsia="Arial" w:hAnsi="Arial"/>
          <w:sz w:val="18"/>
          <w:szCs w:val="18"/>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12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In accordance with our certificate of incorporation and bylaws, we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6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preparation of our condensed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Management’s Discussion and Analysis of Financial Condition and Results of Operations, of our Annual Report on Form 10-K for the year ended December 31, 2020. There were no material changes to our critical accounting policies during the three months ended March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unaudited condensed financial statements.</w:t>
      </w:r>
    </w:p>
    <w:p>
      <w:pPr>
        <w:spacing w:after="0" w:line="12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Emerging Growth Company Status</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are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 We early adopted ASU No. 016-01, </w:t>
      </w:r>
      <w:r>
        <w:rPr>
          <w:rFonts w:ascii="Arial" w:cs="Arial" w:eastAsia="Arial" w:hAnsi="Arial"/>
          <w:sz w:val="18"/>
          <w:szCs w:val="18"/>
          <w:i w:val="1"/>
          <w:iCs w:val="1"/>
          <w:color w:val="auto"/>
        </w:rPr>
        <w:t>Financial Instruments—Overall (Topic 825)—Recognition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ASU 2016-09,</w:t>
      </w:r>
      <w:r>
        <w:rPr>
          <w:rFonts w:ascii="Arial" w:cs="Arial" w:eastAsia="Arial" w:hAnsi="Arial"/>
          <w:sz w:val="18"/>
          <w:szCs w:val="18"/>
          <w:i w:val="1"/>
          <w:iCs w:val="1"/>
          <w:color w:val="auto"/>
        </w:rPr>
        <w:t xml:space="preserve"> Compensation—Stock Compensation (Topic 718)—Improvements to Employee Share Based Payment Accounting</w:t>
      </w:r>
      <w:r>
        <w:rPr>
          <w:rFonts w:ascii="Arial" w:cs="Arial" w:eastAsia="Arial" w:hAnsi="Arial"/>
          <w:sz w:val="18"/>
          <w:szCs w:val="18"/>
          <w:color w:val="auto"/>
        </w:rPr>
        <w:t>, ASU No. 2018-07,</w:t>
      </w:r>
      <w:r>
        <w:rPr>
          <w:rFonts w:ascii="Arial" w:cs="Arial" w:eastAsia="Arial" w:hAnsi="Arial"/>
          <w:sz w:val="18"/>
          <w:szCs w:val="18"/>
          <w:i w:val="1"/>
          <w:iCs w:val="1"/>
          <w:color w:val="auto"/>
        </w:rPr>
        <w:t xml:space="preserve"> Compensation-Stock Compensation (Topic 718): Improvements to Nonemployee Share-Based Payment Accounting</w:t>
      </w:r>
      <w:r>
        <w:rPr>
          <w:rFonts w:ascii="Arial" w:cs="Arial" w:eastAsia="Arial" w:hAnsi="Arial"/>
          <w:sz w:val="18"/>
          <w:szCs w:val="18"/>
          <w:color w:val="auto"/>
        </w:rPr>
        <w:t>,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ASU No. 2016-13,</w:t>
      </w:r>
      <w:r>
        <w:rPr>
          <w:rFonts w:ascii="Arial" w:cs="Arial" w:eastAsia="Arial" w:hAnsi="Arial"/>
          <w:sz w:val="18"/>
          <w:szCs w:val="18"/>
          <w:i w:val="1"/>
          <w:iCs w:val="1"/>
          <w:color w:val="auto"/>
        </w:rPr>
        <w:t xml:space="preserve"> Financial Instruments—Credit Losses (Topic 326): Measurement of Credit Losses on Financial Instruments, </w:t>
      </w:r>
      <w:r>
        <w:rPr>
          <w:rFonts w:ascii="Arial" w:cs="Arial" w:eastAsia="Arial" w:hAnsi="Arial"/>
          <w:sz w:val="18"/>
          <w:szCs w:val="18"/>
          <w:color w:val="auto"/>
        </w:rPr>
        <w:t>ASU No. 2018-13,</w:t>
      </w:r>
      <w:r>
        <w:rPr>
          <w:rFonts w:ascii="Arial" w:cs="Arial" w:eastAsia="Arial" w:hAnsi="Arial"/>
          <w:sz w:val="18"/>
          <w:szCs w:val="18"/>
          <w:i w:val="1"/>
          <w:iCs w:val="1"/>
          <w:color w:val="auto"/>
        </w:rPr>
        <w:t xml:space="preserve"> Fair Value Measurement (Topic 820): Disclosure Framework—Changes to the Disclosure Requirements for Fair Value Measurement, </w:t>
      </w:r>
      <w:r>
        <w:rPr>
          <w:rFonts w:ascii="Arial" w:cs="Arial" w:eastAsia="Arial" w:hAnsi="Arial"/>
          <w:sz w:val="18"/>
          <w:szCs w:val="18"/>
          <w:color w:val="auto"/>
        </w:rPr>
        <w:t>and ASU No. 2019-12,</w:t>
      </w:r>
      <w:r>
        <w:rPr>
          <w:rFonts w:ascii="Arial" w:cs="Arial" w:eastAsia="Arial" w:hAnsi="Arial"/>
          <w:sz w:val="18"/>
          <w:szCs w:val="18"/>
          <w:i w:val="1"/>
          <w:iCs w:val="1"/>
          <w:color w:val="auto"/>
        </w:rPr>
        <w:t xml:space="preserve"> Income Taxes (Topic 740), </w:t>
      </w:r>
      <w:r>
        <w:rPr>
          <w:rFonts w:ascii="Arial" w:cs="Arial" w:eastAsia="Arial" w:hAnsi="Arial"/>
          <w:sz w:val="18"/>
          <w:szCs w:val="18"/>
          <w:color w:val="auto"/>
        </w:rPr>
        <w:t>as the JOBS Act does not preclude</w:t>
      </w:r>
      <w:r>
        <w:rPr>
          <w:rFonts w:ascii="Arial" w:cs="Arial" w:eastAsia="Arial" w:hAnsi="Arial"/>
          <w:sz w:val="18"/>
          <w:szCs w:val="18"/>
          <w:i w:val="1"/>
          <w:iCs w:val="1"/>
          <w:color w:val="auto"/>
        </w:rPr>
        <w:t xml:space="preserve"> </w:t>
      </w:r>
      <w:r>
        <w:rPr>
          <w:rFonts w:ascii="Arial" w:cs="Arial" w:eastAsia="Arial" w:hAnsi="Arial"/>
          <w:sz w:val="18"/>
          <w:szCs w:val="18"/>
          <w:color w:val="auto"/>
        </w:rPr>
        <w:t>an emerging growth company from early adopting a new or revised accounting standard earlier than the time such standard applies to private companies. We expect to use the extended transition period for any other new or revised accounting standards during the period in which we remain an emerging growth company.</w:t>
      </w:r>
    </w:p>
    <w:p>
      <w:pPr>
        <w:spacing w:after="0" w:line="14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0"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March 31, 2021, we had cash and cash equivalents of $288.7 million, restricted cash of $1.5 million, and marketable securities of $156.2 million; which consist of bank deposits, money market funds, commercial paper, and government securities. The primary objective of our investment activities is to preserve capital to fund our operations. We also seek to maximize income from our investments without assuming significant risk. Because our investments are primarily short-term in duration, we believe that our exposure to interest rate risk is not significant, and a 1% movement in market interest rates would not have a significant impact on the total value of our portfolio. We had no debt outstanding as of March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6" w:lineRule="exact"/>
        <w:rPr>
          <w:sz w:val="20"/>
          <w:szCs w:val="20"/>
          <w:color w:val="auto"/>
        </w:rPr>
      </w:pPr>
    </w:p>
    <w:p>
      <w:pPr>
        <w:ind w:right="300" w:firstLine="441"/>
        <w:spacing w:after="0" w:line="253"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138" w:lineRule="exact"/>
        <w:rPr>
          <w:sz w:val="20"/>
          <w:szCs w:val="20"/>
          <w:color w:val="auto"/>
        </w:rPr>
      </w:pPr>
    </w:p>
    <w:p>
      <w:pPr>
        <w:ind w:firstLine="441"/>
        <w:spacing w:after="0" w:line="251" w:lineRule="auto"/>
        <w:rPr>
          <w:sz w:val="20"/>
          <w:szCs w:val="20"/>
          <w:color w:val="auto"/>
        </w:rPr>
      </w:pPr>
      <w:r>
        <w:rPr>
          <w:rFonts w:ascii="Arial" w:cs="Arial" w:eastAsia="Arial" w:hAnsi="Arial"/>
          <w:sz w:val="18"/>
          <w:szCs w:val="18"/>
          <w:color w:val="auto"/>
        </w:rPr>
        <w:t>Management, with the participation of our CEO and CFO, evaluated the effectiveness of our disclosure controls and procedures as of March 31, 2021. The term “disclosure controls and procedures,” as defined in Rule 13a-15(e) of the Securities Exchange Act of 1934,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Based on the evaluation of our disclosure controls and procedures as of March 31, 2021, our CEO and CFO have concluded that, as of March 31, 2021,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6"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March 31, 2021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disclosure controls and procedures are designed to provide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We are not currently a party to any material litigation or other material legal proceedings.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This discussion should be read in conjunction with the other information in this Quarterly Report on Form 10-Q, including our unaudited condensed financial statements and the related notes and “Management’s Discussion and Analysis of Financial Condition and Results of Operations", and our Annual Report on Form 10-K for the year ended December 31, 2020.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1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are a late-stage biopharmaceutical company with a limited operating history. Biopharmaceutical product development is a highly speculative undertaking and involves a substantial degree of risk. We have no products approved for commercial sale and have not generated any revenue from product sales and have incurred losses in each year since our inception in June 2016. We have a limited operating history upon which you can evaluate our business and prospects, and have not yet demonstrated an ability to successfully overcome many of the risks and uncertainties frequently encountered by companies in new and rapidly evolving fields. Our operations to date have been limited to organizing and staffing our company, business planning, raising capital, identifying potential product candidates, establishing licensing arrangements, undertaking various research and preclinical studies, and conducting clinical trials for our product candidates.</w:t>
      </w:r>
    </w:p>
    <w:p>
      <w:pPr>
        <w:spacing w:after="0" w:line="138"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We have never generated any revenue from product sales and have incurred losses in each year since our inception in June 2016. We have not yet demonstrated our ability to successfully obtain regulatory approvals, manufacture a drug on a commercial scale, or arrange for a third party to do so on our behalf, or conduct sales and marketing activities necessary for successful commercialization.</w:t>
      </w:r>
    </w:p>
    <w:p>
      <w:pPr>
        <w:spacing w:after="0" w:line="13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net loss for the three months ended March 31, 2021 was approximately $36.0 million. As of March 31, 2021, we had an accumulated deficit of $238.0 million. We expect to continue to incur losses for the foreseeable future, and we anticipate these losses will increase as we continue to develop our product candidates, conduct clinical trials and pursue research and development activities. We may never achieve profitability and, even if we do, we may not be able to sustain profitability in subsequent periods. We will continue to incur significant research and development and other expenses related to our ongoing operations and the development of our product candidates. Our prior losses, combined with expected future losses, have had and will continue to have an adverse effect on our stockholders’ equity (deficit) and working capital.</w:t>
      </w:r>
    </w:p>
    <w:p>
      <w:pPr>
        <w:spacing w:after="0" w:line="126"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12"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Since our inception, we have invested substantially all of our efforts and financial resources in research and development activities, and we expect to continue to expend substantial resources for the foreseeable future in connection with the development of our current product candidates, roflumilast cream, roflumilast foam, ARQ-252 and ARQ-255, the development or acquisition of additional product candidates, and the maintenance and expansion of our business operations and capabilities. These expenditures will include costs associated with conducting preclinical studies and clinical trials, obtaining regulatory approvals, and securing manufacturing and supply of product candidates, and marketing and selling any products approved for sale. These expenditures may also include costs associated with in-licensing dermatology assets consistent with our core strategy. In addition, other unanticipated costs may arise. Because the outcome of any preclinical study or clinical trial is highly uncertain, we cannot reasonably estimate the actual amounts necessary to successfully complete the development and commercialization of our lead product candidates and any future product candidates.</w:t>
      </w:r>
    </w:p>
    <w:p>
      <w:pPr>
        <w:spacing w:after="0" w:line="14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of March 31, 2021, we had capital resources consisting of cash, cash equivalents, and marketable securities of $444.9 million. Based on our planned operations, we believe that our existing cash, cash equivalents, and marketable securities will be sufficient to fund our operations well into 2023. However, our operating plans may change as a result of many factors currently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44" w:lineRule="exact"/>
        <w:rPr>
          <w:sz w:val="20"/>
          <w:szCs w:val="20"/>
          <w:color w:val="auto"/>
        </w:rPr>
      </w:pPr>
    </w:p>
    <w:p>
      <w:pPr>
        <w:ind w:left="820" w:right="180" w:hanging="164"/>
        <w:spacing w:after="0" w:line="254"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lead product candidates or any future product candidates, and conducting preclinical studies and clinical trials, in particular our planned or ongoing clinical studies of roflumilast cream in plaque psoriasis and atopic dermatitis, roflumilast foam in seborrheic dermatitis and scalp psoriasis, ARQ-252 in hand eczema vitiligo, and our formulation and preclinical efforts for ARQ-255 in alopecia areata;</w:t>
      </w:r>
    </w:p>
    <w:p>
      <w:pPr>
        <w:spacing w:after="0" w:line="176" w:lineRule="exact"/>
        <w:rPr>
          <w:rFonts w:ascii="Arial" w:cs="Arial" w:eastAsia="Arial" w:hAnsi="Arial"/>
          <w:sz w:val="18"/>
          <w:szCs w:val="18"/>
          <w:color w:val="auto"/>
        </w:rPr>
      </w:pPr>
    </w:p>
    <w:p>
      <w:pPr>
        <w:ind w:left="820" w:hanging="164"/>
        <w:spacing w:after="0" w:line="225" w:lineRule="auto"/>
        <w:tabs>
          <w:tab w:leader="none" w:pos="815" w:val="left"/>
        </w:tabs>
        <w:numPr>
          <w:ilvl w:val="0"/>
          <w:numId w:val="14"/>
        </w:numPr>
        <w:rPr>
          <w:rFonts w:ascii="Arial" w:cs="Arial" w:eastAsia="Arial" w:hAnsi="Arial"/>
          <w:sz w:val="22"/>
          <w:szCs w:val="22"/>
          <w:color w:val="auto"/>
        </w:rPr>
      </w:pPr>
      <w:r>
        <w:rPr>
          <w:rFonts w:ascii="Arial" w:cs="Arial" w:eastAsia="Arial" w:hAnsi="Arial"/>
          <w:sz w:val="18"/>
          <w:szCs w:val="18"/>
          <w:color w:val="auto"/>
        </w:rPr>
        <w:t>suspensions or delays in the enrollment, issues with data collection, or changes to the number of patients we decide to enroll in our ongoing clinical trials as a result of the COVID-19 pandemic;</w:t>
      </w:r>
    </w:p>
    <w:p>
      <w:pPr>
        <w:spacing w:after="0" w:line="149" w:lineRule="exact"/>
        <w:rPr>
          <w:rFonts w:ascii="Arial" w:cs="Arial" w:eastAsia="Arial" w:hAnsi="Arial"/>
          <w:sz w:val="22"/>
          <w:szCs w:val="22"/>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57"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commercialize, including costs associated with building out our supply chain;</w:t>
      </w:r>
    </w:p>
    <w:p>
      <w:pPr>
        <w:spacing w:after="0" w:line="130" w:lineRule="exact"/>
        <w:rPr>
          <w:rFonts w:ascii="Arial" w:cs="Arial" w:eastAsia="Arial" w:hAnsi="Arial"/>
          <w:sz w:val="18"/>
          <w:szCs w:val="18"/>
          <w:color w:val="auto"/>
        </w:rPr>
      </w:pPr>
    </w:p>
    <w:p>
      <w:pPr>
        <w:ind w:left="820" w:right="48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 and any discounts or rebates to channel to obtain access;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57" w:lineRule="exact"/>
        <w:rPr>
          <w:rFonts w:ascii="Arial" w:cs="Arial" w:eastAsia="Arial" w:hAnsi="Arial"/>
          <w:sz w:val="18"/>
          <w:szCs w:val="18"/>
          <w:color w:val="auto"/>
        </w:rPr>
      </w:pPr>
    </w:p>
    <w:p>
      <w:pPr>
        <w:ind w:left="820" w:right="22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130"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amount of milestone payments due to AstraZeneca, Hengrui, or any future collaboration or licensing partners upon the achievement of negotiated milestones;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if any.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Adequate additional funds may not be available when we need them, on terms that are acceptable to us, or at all. If adequate funds are not available to us on a timely basis or on attractive terms, we may be required to reduce our workforce, delay, limit, reduce or terminate our research and development activities, preclinical studies, clinical trials or other development activities, and future commercialization efforts, or grant rights to develop and market product candidates, such as roflumilast cream, that we would otherwise develop and market ourselves.</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future operating results to fall below expectations.</w:t>
      </w:r>
    </w:p>
    <w:p>
      <w:pPr>
        <w:spacing w:after="0" w:line="10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operations to date have been primarily limited to researching and developing our product candidates and undertaking preclinical studies and clinical trials of our product candidates. We have not yet obtained regulatory approvals for any of our product candidates. Furthermore, our operating results may fluctuate due to a variety of factors, many of which are outside of our control and may be difficult to predict, including the following:</w:t>
      </w:r>
    </w:p>
    <w:p>
      <w:pPr>
        <w:spacing w:after="0" w:line="136" w:lineRule="exact"/>
        <w:rPr>
          <w:sz w:val="20"/>
          <w:szCs w:val="20"/>
          <w:color w:val="auto"/>
        </w:rPr>
      </w:pPr>
    </w:p>
    <w:p>
      <w:pPr>
        <w:ind w:left="820" w:right="38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commencement, enrollment, and the timing of clinical testing for our product candidates, especially in light of the COVID-19 pandemic;</w:t>
      </w:r>
    </w:p>
    <w:p>
      <w:pPr>
        <w:spacing w:after="0" w:line="116"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 or failure to obtain such approvals;</w:t>
      </w:r>
    </w:p>
    <w:p>
      <w:pPr>
        <w:spacing w:after="0" w:line="157" w:lineRule="exact"/>
        <w:rPr>
          <w:rFonts w:ascii="Arial" w:cs="Arial" w:eastAsia="Arial" w:hAnsi="Arial"/>
          <w:sz w:val="18"/>
          <w:szCs w:val="18"/>
          <w:color w:val="auto"/>
        </w:rPr>
      </w:pPr>
    </w:p>
    <w:p>
      <w:pPr>
        <w:ind w:left="820" w:right="28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16"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U.S. FDA guidelines and requirements, and the quantity of production;</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additional funding to develop our product candidates;</w:t>
      </w:r>
    </w:p>
    <w:p>
      <w:pPr>
        <w:spacing w:after="0" w:line="157"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which may include obligations to make significant upfront and milestone payments;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57" w:lineRule="exact"/>
        <w:rPr>
          <w:rFonts w:ascii="Arial" w:cs="Arial" w:eastAsia="Arial" w:hAnsi="Arial"/>
          <w:sz w:val="18"/>
          <w:szCs w:val="18"/>
          <w:color w:val="auto"/>
        </w:rPr>
      </w:pPr>
    </w:p>
    <w:p>
      <w:pPr>
        <w:ind w:left="820" w:right="34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 or cause an approved drug to be taken off the market;</w:t>
      </w:r>
    </w:p>
    <w:p>
      <w:pPr>
        <w:spacing w:after="0" w:line="130" w:lineRule="exact"/>
        <w:rPr>
          <w:rFonts w:ascii="Arial" w:cs="Arial" w:eastAsia="Arial" w:hAnsi="Arial"/>
          <w:sz w:val="18"/>
          <w:szCs w:val="18"/>
          <w:color w:val="auto"/>
        </w:rPr>
      </w:pPr>
    </w:p>
    <w:p>
      <w:pPr>
        <w:ind w:left="820" w:right="5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of or sufficient reimbursement for our product candidates, if approved;</w:t>
      </w:r>
    </w:p>
    <w:p>
      <w:pPr>
        <w:spacing w:after="0" w:line="116" w:lineRule="exact"/>
        <w:rPr>
          <w:rFonts w:ascii="Arial" w:cs="Arial" w:eastAsia="Arial" w:hAnsi="Arial"/>
          <w:sz w:val="18"/>
          <w:szCs w:val="18"/>
          <w:color w:val="auto"/>
        </w:rPr>
      </w:pPr>
    </w:p>
    <w:p>
      <w:pPr>
        <w:ind w:left="820" w:right="70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130"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dependency on Contract Research Organizations (CROs) and third-party manufacturers to supply or manufacture our product candidates;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 effective sales, marketing, and distribution infrastructure in a timely manner;</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 candidates, if approved, and our ability to forecast demand for those product candidates;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receive approval and commercialize our product candidates both within and outside of the United States;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 with respect to our product candidates;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enforce our intellectual property position;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 or other disputes in respect of our product candidates and our business;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5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1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there can be no assurance as to its accuracy or completeness.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The estimates of our market opportunities included in this Quarterly Report on Form 10-Q should not be taken as indicative of our ability to grow our business.</w:t>
      </w:r>
    </w:p>
    <w:p>
      <w:pPr>
        <w:spacing w:after="0" w:line="1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Risks Related to Development and Commercialization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on the development, regulatory approval, and commercialization of our current product candidates.</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currently have no products that are approved for commercial sale. Our current portfolio includes our lead product candidate roflumilast cream, a potent PDE4 inhibitor topical cream for the treatment of plaque psoriasis and atopic dermatitis, and our additional product candidates roflumilast foam, a topical foam formulation of roflumilast for the treatment of scalp psoriasis and seborrheic dermatitis, ARQ-252, a potent and highly selective topical JAK1 inhibitor for the treatment of chronic hand eczema and vitiligo, and ARQ-255, a potential topical treatment for alopecia areata. We currently do not have drug discovery efforts, and we have no intention to develop these. The success of our business, including our ability to finance our company and generate any revenue in the future, will primarily depend on the successful development, regulatory approval, and commercialization of our current product candidates. We expect to conduct most of our clinical trials in the United States and Canada, with currently limited plans for clinical trials in Australia, the Caribbean, and the EU. We currently anticipate seeking regulatory approvals in the United States and Canada, but may in the future be subject to additional foreign regulatory authorities and may out-license our product candidates or approved products, if any, in additional foreign markets. In the future, we may also become dependent on other product candidates that we may develop, acquire, or in-license. The clinical and commercial success of our product candidates will depend on a number of factors, including the following:</w:t>
      </w:r>
    </w:p>
    <w:p>
      <w:pPr>
        <w:spacing w:after="0" w:line="143" w:lineRule="exact"/>
        <w:rPr>
          <w:sz w:val="20"/>
          <w:szCs w:val="20"/>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raise any additional required capital on acceptable terms, or at all;</w:t>
      </w:r>
    </w:p>
    <w:p>
      <w:pPr>
        <w:spacing w:after="0" w:line="157"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significantly slower or cost more than we currently anticipate, particularly as a result of the impact of the COVID-19 pandemic, and will depend substantially upon the performance of third-party contractors;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140" w:hanging="164"/>
        <w:spacing w:after="0" w:line="291"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92" w:lineRule="exact"/>
        <w:rPr>
          <w:rFonts w:ascii="Arial" w:cs="Arial" w:eastAsia="Arial" w:hAnsi="Arial"/>
          <w:sz w:val="17"/>
          <w:szCs w:val="17"/>
          <w:color w:val="auto"/>
        </w:rPr>
      </w:pPr>
    </w:p>
    <w:p>
      <w:pPr>
        <w:ind w:left="820" w:right="16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proposed indications and primary and secondary endpoint assessments relating to the proposed indications of our product candidates by the FDA and similar foreign regulatory authorities;</w:t>
      </w:r>
    </w:p>
    <w:p>
      <w:pPr>
        <w:spacing w:after="0" w:line="130"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similar foreign regulatory authorities;</w:t>
      </w:r>
    </w:p>
    <w:p>
      <w:pPr>
        <w:spacing w:after="0" w:line="144" w:lineRule="exact"/>
        <w:rPr>
          <w:rFonts w:ascii="Arial" w:cs="Arial" w:eastAsia="Arial" w:hAnsi="Arial"/>
          <w:sz w:val="18"/>
          <w:szCs w:val="18"/>
          <w:color w:val="auto"/>
        </w:rPr>
      </w:pPr>
    </w:p>
    <w:p>
      <w:pPr>
        <w:ind w:left="820" w:right="10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and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physicians and patients to utilize or adopt our product candidates;</w:t>
      </w:r>
    </w:p>
    <w:p>
      <w:pPr>
        <w:spacing w:after="0" w:line="157" w:lineRule="exact"/>
        <w:rPr>
          <w:rFonts w:ascii="Arial" w:cs="Arial" w:eastAsia="Arial" w:hAnsi="Arial"/>
          <w:sz w:val="18"/>
          <w:szCs w:val="18"/>
          <w:color w:val="auto"/>
        </w:rPr>
      </w:pPr>
    </w:p>
    <w:p>
      <w:pPr>
        <w:ind w:left="820" w:right="4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third parties upon which we rely to manufacture clinical trial and commercial supplies of our product candidates or any future product candidates to remain in good standing with relevant regulatory authorities and to develop, validate, and maintain commercially viable manufacturing processes that are compliant with cGMP;</w:t>
      </w:r>
    </w:p>
    <w:p>
      <w:pPr>
        <w:spacing w:after="0" w:line="120"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134"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demand for our product candidates, if approved;</w:t>
      </w:r>
    </w:p>
    <w:p>
      <w:pPr>
        <w:spacing w:after="0" w:line="144" w:lineRule="exact"/>
        <w:rPr>
          <w:rFonts w:ascii="Arial" w:cs="Arial" w:eastAsia="Arial" w:hAnsi="Arial"/>
          <w:sz w:val="18"/>
          <w:szCs w:val="18"/>
          <w:color w:val="auto"/>
        </w:rPr>
      </w:pPr>
    </w:p>
    <w:p>
      <w:pPr>
        <w:ind w:left="820" w:right="280" w:hanging="164"/>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 and</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avoid third-party patent interference, intellectual property challenges, or intellectual property infringement claims.</w:t>
      </w:r>
    </w:p>
    <w:p>
      <w:pPr>
        <w:spacing w:after="0" w:line="15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Furthermore, because each of our product candidates targets one or more indications in the medical dermatology field, if any of our product candidates encounter safety or efficacy problems, developmental delays, regulatory issues, supply issues, or other problems, our development plans for the affected product candidate and some or all of our other product candidates could be significantly harmed, which would harm our business. 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w:t>
      </w:r>
    </w:p>
    <w:p>
      <w:pPr>
        <w:spacing w:after="0" w:line="12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factors outlined above, many of which are beyond our control, could cause us to experience significant delays or an inability to obtain regulatory approvals or commercialize our product candidates. Accordingly, we cannot provide assurances that we will be able to generate sufficient revenue through the sale of our product candidates or any future product candidates to continue our business.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inherently uncertain as to outcome. A failure of one or more clinical trials can occur at any stage of</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testing. The outcome of preclinical testing and early clinical trials may not be predictive of the success of later clinical trials, and interim results of a clinical trial do not necessarily predict final results. For example, our Phase 2 proof of concept study in atopic dermatitis had a limited number of patients and did not reach statistical significance for the primary endpoint of absolute change in Eczema and Severity Index (EASI). However, this study did provide evidence that roflumilast cream could provide symptomatic improvement, with statistically significant difference from vehicle on several key secondary endpoints, and a favorable tolerability profile in adults with atopic dermatitis and, following an End of Phase 2 meeting with the FDA in September 2020, we omitted our previously planned Phase 2b study in that indication and recently initiated Phase 3 clinical trials. Additionally, our Phase 1/2b clinical study of ARQ-252 for the treatment of chronic hand eczema did not meet its primary end point of IGA clear or almost clear at week 12.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30"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30" w:lineRule="exact"/>
        <w:rPr>
          <w:sz w:val="20"/>
          <w:szCs w:val="20"/>
          <w:color w:val="auto"/>
        </w:rPr>
      </w:pPr>
    </w:p>
    <w:p>
      <w:pPr>
        <w:ind w:left="820" w:right="20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site closures, delays to patient enrollment, subjects discontinuing treatment or follow-up visits, issues with data collection, or changes to trial protocols as a result of the COVID-19 pandemic;</w:t>
      </w:r>
    </w:p>
    <w:p>
      <w:pPr>
        <w:spacing w:after="0" w:line="130"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(IRBs) may not authorize us or our investigators to commence a clinical trial or conduct a clinical trial at a prospective trial site;</w:t>
      </w:r>
    </w:p>
    <w:p>
      <w:pPr>
        <w:spacing w:after="0" w:line="116" w:lineRule="exact"/>
        <w:rPr>
          <w:rFonts w:ascii="Arial" w:cs="Arial" w:eastAsia="Arial" w:hAnsi="Arial"/>
          <w:sz w:val="18"/>
          <w:szCs w:val="18"/>
          <w:color w:val="auto"/>
        </w:rPr>
      </w:pPr>
    </w:p>
    <w:p>
      <w:pPr>
        <w:ind w:left="820" w:hanging="164"/>
        <w:spacing w:after="0" w:line="256"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134"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134" w:lineRule="exact"/>
        <w:rPr>
          <w:rFonts w:ascii="Arial" w:cs="Arial" w:eastAsia="Arial" w:hAnsi="Arial"/>
          <w:sz w:val="18"/>
          <w:szCs w:val="18"/>
          <w:color w:val="auto"/>
        </w:rPr>
      </w:pPr>
    </w:p>
    <w:p>
      <w:pPr>
        <w:ind w:left="820" w:right="300" w:hanging="164"/>
        <w:spacing w:after="0" w:line="256"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20"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30"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30" w:lineRule="exact"/>
        <w:rPr>
          <w:rFonts w:ascii="Arial" w:cs="Arial" w:eastAsia="Arial" w:hAnsi="Arial"/>
          <w:sz w:val="18"/>
          <w:szCs w:val="18"/>
          <w:color w:val="auto"/>
        </w:rPr>
      </w:pPr>
    </w:p>
    <w:p>
      <w:pPr>
        <w:ind w:left="820" w:right="120" w:hanging="164"/>
        <w:spacing w:after="0" w:line="256"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development for various reasons, including noncompliance with regulatory requirements, or a finding that the participants are being exposed to unacceptable health risks;</w:t>
      </w:r>
    </w:p>
    <w:p>
      <w:pPr>
        <w:spacing w:after="0" w:line="120"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w:t>
      </w:r>
    </w:p>
    <w:p>
      <w:pPr>
        <w:spacing w:after="0" w:line="157" w:lineRule="exact"/>
        <w:rPr>
          <w:rFonts w:ascii="Arial" w:cs="Arial" w:eastAsia="Arial" w:hAnsi="Arial"/>
          <w:sz w:val="18"/>
          <w:szCs w:val="18"/>
          <w:color w:val="auto"/>
        </w:rPr>
      </w:pPr>
    </w:p>
    <w:p>
      <w:pPr>
        <w:ind w:left="820" w:right="60" w:hanging="164"/>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3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side effects, failure to demonstrate a benefit from using a drug, changes in governmental regulations or administrative actions, or lack of adequate funding to continue the clinical trial.</w:t>
      </w:r>
    </w:p>
    <w:p>
      <w:pPr>
        <w:spacing w:after="0" w:line="12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to commence product sales and generate revenues. Any of these occurrences may harm our business, financial condition, and prospects significantly.</w:t>
      </w:r>
    </w:p>
    <w:p>
      <w:pPr>
        <w:spacing w:after="0" w:line="9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12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To gain approval to market our product candidates, we must provide the FDA and foreign regulatory authorities with preclinical and clinical data that adequately demonstrate the safety and efficacy of the product for the intended indication applied for in the applicable regulatory filing. Product development is a long, expensive, and uncertain process, and delay or failure can occur at any stage of any of our preclinical and clinical development programs. A number of companies in the biotechnology and pharmaceutical industries have suffered significant setbacks in clinical trials, even after promising results in earlier preclinical or clinical studies. These setbacks have been caused by, among other things, preclinical findings made while clinical studies were underway and safety or efficacy observations made in clinical studies,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3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currently have no products approved for sale; we are currently preparing regulatory submissions for our lead product candidate, topical roflumilast cream, and our other product candidates remain in clinical development. Significant risk remains and we cannot provide assurance that they will obtain regulatory approval for commercialization as expected, or at all.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 including pricing approval in the EU.</w:t>
      </w:r>
    </w:p>
    <w:p>
      <w:pPr>
        <w:spacing w:after="0" w:line="126" w:lineRule="exact"/>
        <w:rPr>
          <w:sz w:val="20"/>
          <w:szCs w:val="20"/>
          <w:color w:val="auto"/>
        </w:rPr>
      </w:pPr>
    </w:p>
    <w:p>
      <w:pPr>
        <w:ind w:right="720" w:firstLine="648"/>
        <w:spacing w:after="0" w:line="261" w:lineRule="auto"/>
        <w:rPr>
          <w:sz w:val="20"/>
          <w:szCs w:val="20"/>
          <w:color w:val="auto"/>
        </w:rPr>
      </w:pPr>
      <w:r>
        <w:rPr>
          <w:rFonts w:ascii="Arial" w:cs="Arial" w:eastAsia="Arial" w:hAnsi="Arial"/>
          <w:sz w:val="18"/>
          <w:szCs w:val="18"/>
          <w:color w:val="auto"/>
        </w:rPr>
        <w:t>The FDA or any foreign regulatory authorities can delay, limit, or deny approval of our product candidates for many reasons, including:</w:t>
      </w:r>
    </w:p>
    <w:p>
      <w:pPr>
        <w:spacing w:after="0" w:line="130" w:lineRule="exact"/>
        <w:rPr>
          <w:sz w:val="20"/>
          <w:szCs w:val="20"/>
          <w:color w:val="auto"/>
        </w:rPr>
      </w:pPr>
    </w:p>
    <w:p>
      <w:pPr>
        <w:ind w:left="820" w:right="48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foreign regulatory authority that any of our product candidates is safe and effective for the requested indication;</w:t>
      </w:r>
    </w:p>
    <w:p>
      <w:pPr>
        <w:spacing w:after="0" w:line="130"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the number, design, size, conduct, or implementation of our clinical trials, including the design of our Phase 3 clinical trials of roflumilast cream for the treatment of plaque psoriasis;</w:t>
      </w:r>
    </w:p>
    <w:p>
      <w:pPr>
        <w:spacing w:after="0" w:line="116" w:lineRule="exact"/>
        <w:rPr>
          <w:rFonts w:ascii="Arial" w:cs="Arial" w:eastAsia="Arial" w:hAnsi="Arial"/>
          <w:sz w:val="18"/>
          <w:szCs w:val="18"/>
          <w:color w:val="auto"/>
        </w:rPr>
      </w:pPr>
    </w:p>
    <w:p>
      <w:pPr>
        <w:ind w:left="820" w:right="260" w:hanging="164"/>
        <w:spacing w:after="0" w:line="256"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find the data from preclinical studies or clinical trials sufficient to demonstrate that the clinical and other benefits of these products candidates outweigh their safety risks or that there is an acceptable risk-benefit profile;</w:t>
      </w:r>
    </w:p>
    <w:p>
      <w:pPr>
        <w:spacing w:after="0" w:line="134" w:lineRule="exact"/>
        <w:rPr>
          <w:rFonts w:ascii="Arial" w:cs="Arial" w:eastAsia="Arial" w:hAnsi="Arial"/>
          <w:sz w:val="18"/>
          <w:szCs w:val="18"/>
          <w:color w:val="auto"/>
        </w:rPr>
      </w:pPr>
    </w:p>
    <w:p>
      <w:pPr>
        <w:ind w:left="820" w:right="2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significance or clinical meaningfulness required by the FDA or other relevant foreign regulatory authorities for marketing approval;</w:t>
      </w:r>
    </w:p>
    <w:p>
      <w:pPr>
        <w:spacing w:after="0" w:line="130"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requirement for additional preclinical studies or clinical trials which would increase our costs and prolong our development timelines;</w:t>
      </w:r>
    </w:p>
    <w:p>
      <w:pPr>
        <w:spacing w:after="0" w:line="116" w:lineRule="exact"/>
        <w:rPr>
          <w:rFonts w:ascii="Arial" w:cs="Arial" w:eastAsia="Arial" w:hAnsi="Arial"/>
          <w:sz w:val="18"/>
          <w:szCs w:val="18"/>
          <w:color w:val="auto"/>
        </w:rPr>
      </w:pPr>
    </w:p>
    <w:p>
      <w:pPr>
        <w:ind w:left="820" w:right="16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disagree with our interpretation of data or significance of results from the preclinical studies and clinical trials of any product candidate, or may require that we conduct additional studies;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not accept data generated from our clinical trial sites;</w:t>
      </w:r>
    </w:p>
    <w:p>
      <w:pPr>
        <w:spacing w:after="0" w:line="157"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CROs that we retain to conduct clinical trials may take actions outside of our control, or otherwise commit errors or breaches of protocols, that adversely impact our clinical trials and ability to obtain market approvals;</w:t>
      </w:r>
    </w:p>
    <w:p>
      <w:pPr>
        <w:spacing w:after="0" w:line="116" w:lineRule="exact"/>
        <w:rPr>
          <w:rFonts w:ascii="Arial" w:cs="Arial" w:eastAsia="Arial" w:hAnsi="Arial"/>
          <w:sz w:val="18"/>
          <w:szCs w:val="18"/>
          <w:color w:val="auto"/>
        </w:rPr>
      </w:pPr>
    </w:p>
    <w:p>
      <w:pPr>
        <w:jc w:val="both"/>
        <w:ind w:left="820" w:hanging="164"/>
        <w:spacing w:after="0" w:line="254"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our NDA or other foreign application is reviewed by an advisory committee, the FDA or other relevant foreign regulatory authority, as the case may be, may have difficulties scheduling an advisory committee meeting in a timely manner or the advisory committee may recommend against approval of our application or may recommend that the FDA or other relevant foreign regulatory authority, as the case</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580"/>
        <w:spacing w:after="0" w:line="261" w:lineRule="auto"/>
        <w:rPr>
          <w:sz w:val="20"/>
          <w:szCs w:val="20"/>
          <w:color w:val="auto"/>
        </w:rPr>
      </w:pPr>
      <w:r>
        <w:rPr>
          <w:rFonts w:ascii="Arial" w:cs="Arial" w:eastAsia="Arial" w:hAnsi="Arial"/>
          <w:sz w:val="18"/>
          <w:szCs w:val="18"/>
          <w:color w:val="auto"/>
        </w:rPr>
        <w:t>may be, require, as a condition of approval, additional preclinical studies or clinical trials, limitations on approved labeling, or distribution and use restrictions;</w:t>
      </w:r>
    </w:p>
    <w:p>
      <w:pPr>
        <w:spacing w:after="0" w:line="117" w:lineRule="exact"/>
        <w:rPr>
          <w:sz w:val="20"/>
          <w:szCs w:val="20"/>
          <w:color w:val="auto"/>
        </w:rPr>
      </w:pPr>
    </w:p>
    <w:p>
      <w:pPr>
        <w:ind w:left="820" w:right="300" w:hanging="164"/>
        <w:spacing w:after="0" w:line="261"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development of a REMS, or its equivalent, as a condition of approval;</w:t>
      </w:r>
    </w:p>
    <w:p>
      <w:pPr>
        <w:spacing w:after="0" w:line="130"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require additional post-marketing studies and/or a patient registry, which would be costly;</w:t>
      </w:r>
    </w:p>
    <w:p>
      <w:pPr>
        <w:spacing w:after="0" w:line="130"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find the chemistry, manufacturing, and controls data insufficient to support the quality of our product candidates;</w:t>
      </w:r>
    </w:p>
    <w:p>
      <w:pPr>
        <w:spacing w:after="0" w:line="116"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identify deficiencies in the manufacturing processes or facilities of our third-party manufacturers;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relevant foreign regulatory authorities may change their approval policies or adopt new regulations;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non-approval of the formulation, dosing, labeling, or specifications;</w:t>
      </w:r>
    </w:p>
    <w:p>
      <w:pPr>
        <w:spacing w:after="0" w:line="144" w:lineRule="exact"/>
        <w:rPr>
          <w:rFonts w:ascii="Arial" w:cs="Arial" w:eastAsia="Arial" w:hAnsi="Arial"/>
          <w:sz w:val="18"/>
          <w:szCs w:val="18"/>
          <w:color w:val="auto"/>
        </w:rPr>
      </w:pPr>
    </w:p>
    <w:p>
      <w:pPr>
        <w:ind w:left="820" w:right="320" w:hanging="164"/>
        <w:spacing w:after="0" w:line="256"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FDA’s or the applicable foreign regulatory authority’s failure to approve the manufacturing processes of third-party manufacturers upon which we rely or the failure of the facilities of our third-party manufacturers to maintain a compliance status acceptable to the FDA or the applicable foreign regulatory authority; or</w:t>
      </w:r>
    </w:p>
    <w:p>
      <w:pPr>
        <w:spacing w:after="0" w:line="134"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the applicable foreign regulatory authorities to significantly change in a manner rendering our clinical data insufficient for approval.</w:t>
      </w:r>
    </w:p>
    <w:p>
      <w:pPr>
        <w:spacing w:after="0" w:line="13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approval processes and are commercialized.</w:t>
      </w:r>
    </w:p>
    <w:p>
      <w:pPr>
        <w:spacing w:after="0" w:line="11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Even if we eventually complete clinical testing and receive approval from the FDA or applicable foreign agencies for any of our product candidates, the FDA or the applicable foreign regulatory authority may grant approval contingent on the performance of costly additional clinical trials which may be required after approval. The FDA or the applicable foreign regulatory authority also may approve our lead product candidates for a more limited indication or a narrower patient population than we originally requested, and the FDA, or applicable foreign regulatory authority, may not approve our product candidates with the labeling that we believe is necessary or desirable, or may approve them with labeling that includes warnings or precautions or limitations of use that may not be desirable, for the successful commercialization of such product candidates. Any delay in obtaining, or inability to obtain, applicable regulatory approval would delay or prevent commercialization of our product candidates and would materially adversely impact our business and prospects.</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are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30"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0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125"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Certain of our primary and secondary endpoints in our clinical trials, including our recently completed Phase 3 clinical trials of roflumilast cream in plaque psoriasis, and our previous and planned clinical trials in atopic dermatitis, vitiligo, chronic hand eczema, scalp psoriasis and seborrheic dermatitis involve subjective assessments by physician and patients, which can increase the uncertainty of clinical trial outcomes. For example, one of the secondary endpoints requires patients to report pruritus (itching) as measured by the WI-NRS and complete or deliver patient or caregiver reported outcomes over the course of our clinical trials. This and other assessments are inherently subjective, which can increase the variability of clinical results across clinical trials and create a significant degree of uncertainty in determining overall clinical benefit. Such assessments can be influenced by factors outside of our control, and can vary widely from day-to-day for a particular patient, and from patient-to-patient and site-to-site within a clinical trial. In addition, frequent reporting requirements may lead to rating fatigue and a loss of accuracy and reliability of the data resulting from our clinical trials. Further, the FDA or comparable foreign regulatory authority may not accept such patient or caregiver reported outcomes as sufficiently validated. Accordingly, these subjective assessments can complicate clinical trial design, adversely impact the ability of a study to show a statistically significant improvement and generally adversely impact a clinical development program by introducing additional uncertainties.</w:t>
      </w:r>
    </w:p>
    <w:p>
      <w:pPr>
        <w:spacing w:after="0" w:line="143"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use of patient reported outcome instruments in our Phase 3 clinical trials of roflumilast cream and the inclusion of such data in the product labeling will depend on, but is not limited to, the FDA’s review of the following:</w:t>
      </w:r>
    </w:p>
    <w:p>
      <w:pPr>
        <w:spacing w:after="0" w:line="117" w:lineRule="exact"/>
        <w:rPr>
          <w:sz w:val="20"/>
          <w:szCs w:val="20"/>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relevance and importance of the concept(s) of interest to the target patient population;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strengths and limitations of the instrument within the given context of use;</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and conduct of the trials;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the submitted data, for example, rigorous data collection and methods to handle missing data;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magnitude of the statistically significant treatment effect should be meaningful to patients.</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 different results may be achieved depending upon the characteristics of the population enrolled in our studies and which analysis population is used to analyze results. For example, the primary endpoint in both our Phase 3 clinical trials of roflumilast cream in plaque psoriasis as well as our Phase 2 clinical trials of roflumilast cream in atopic dermatitis and roflumilast foam in seborrheic dermatitis is based on the percentage of patients achieving a score of “clear” or “almost clear” plus at least a 2-grade improvement from baseline on the 5 point IGA scale, referred to as IGA Success. Success in our clinical trials with these or similar endpoints, requires the enrollment of patients with conditions that are severe enough to facilitate a 2-grade improvement in the IGA scale, but not so severe that they cannot achieve a “clear” or “almost clear” in IGA score in light of the severity of their disease. It is therefore possible that we enroll patients with conditions so severe that they do not or are unable to realize an IGA of 0 (clear) or 1 (almost clear) during the period covered by the clinical trial. As a result, there is no guarantee that our clinical trials will produce the same statistically significant results in IGA Success, which will serve as the primary endpoint, as our prior clinical trials, and there can be no guarantee that the characteristics of the population enrolled in our clinical trials, including our Phase 3 clinical trials, does not adversely impact the results reported for such trial, any of which could have an adverse effect on our ability to secure regulatory approval for our product candidates.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expensive and time-consuming and may result in additional costs and delays in our product development activities, or in the failure of such activities.</w:t>
      </w:r>
    </w:p>
    <w:p>
      <w:pPr>
        <w:spacing w:after="0" w:line="9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may not be able to initiate or continue clinical trials for roflumilast cream or our other product candidates if we are unable to locate and enroll a sufficient number of eligible patients to participate in these trials as required by the FDA or similar regulatory authorities outside the United States. In addition, some of our competitors are currently conducting clinical trials for product candidates that treat the same indications as roflumilast cream, roflumilast foam, ARQ-252 and ARQ-255, and patients who are otherwise eligible for our clinical trials may instead enroll in clinical trials of our competitors’ product candidates.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58" w:lineRule="exact"/>
        <w:rPr>
          <w:sz w:val="20"/>
          <w:szCs w:val="20"/>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selection of the patient population required for analysis of the trial’s primary endpoints;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extent of clinical trial site visits and study assessments;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5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Furthermore, any negative results that we may report in preclinical studies or clinical trials of our product candidates may make it difficult or impossible to recruit and retain subjects in other clinical trials of that same or any similar product candidate. Our inability to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impede our ability to obtain additional financing.</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we continue our development of our product candidates and initiate additional preclinical studies or clinical trials of these or future product candidates, if any, serious adverse events, unacceptable levels of toxicity, undesirable side effects or unexpected characteristics may emerge, causing us to abandon these product candidates or limit their development to more narrow uses, lower potency levels or subpopulations in which the serious adverse events, unacceptable levels of toxicity, undesirable side effects or other characteristics are less prevalent, less severe or more acceptable from a risk/benefit perspective.</w:t>
      </w:r>
    </w:p>
    <w:p>
      <w:pPr>
        <w:spacing w:after="0" w:line="13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our product candidates are associated with adverse effects in clinical trials or have characteristics that are unexpected, we may need to abandon their development, institute burdensome monitoring programs, or limit development to more narrow uses or lower or less frequent dosing in which the side effects or other characteristics are less prevalent, less severe or more acceptable from a risk-benefit perspective. The FDA or an IRB, or similar regulatory authorities outside the United States,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17" w:lineRule="exact"/>
        <w:rPr>
          <w:sz w:val="20"/>
          <w:szCs w:val="20"/>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implement a REMS;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conduct Phase 4 clinical trials as post-marketing requirements;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158" w:lineRule="exact"/>
        <w:rPr>
          <w:sz w:val="20"/>
          <w:szCs w:val="20"/>
          <w:color w:val="auto"/>
        </w:rPr>
      </w:pPr>
    </w:p>
    <w:p>
      <w:pPr>
        <w:ind w:right="680" w:firstLine="648"/>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0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As a company, we have never obtained marketing approval for any product candidate and we may be unable to successfully do so in a timely manner, if at all, for any of our product candidates.</w:t>
      </w:r>
    </w:p>
    <w:p>
      <w:pPr>
        <w:spacing w:after="0" w:line="9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Conducting Phase 3 clinical trials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limited experience doing so. As a result, these activities may require more time and cost more than we anticipate, and we may be unable to successfully complete them for any of our product candidates.</w:t>
      </w:r>
    </w:p>
    <w:p>
      <w:pPr>
        <w:spacing w:after="0" w:line="12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To date, we have completed two Phase 3 studies and three Phase 2 studies in plaque psoriasis with roflumilast cream, a Phase 2 study in atopic dermatitis with roflumilast cream, and two Phase 2 studies in seborrheic dermatitis and scalp psoriasis with roflumilast foam. We have also recently initiated pivotal Phase 3 clinical trials of roflumilast cream for the treatment of atopic dermatitis. Failure to successfully complete, or delays in, our pivotal trials or related regulatory submissions would prevent us from or delay us in obtaining regulatory approval for our product candidates. In addition, it is possible that the FDA may refuse to accept for substantive review any NDAs that we submit for our product candidates or may conclude after review of our applications that they are insufficient to obtain marketing approval of our product candidates. While the FDA encouraged us at our atopic dermatitis End of Phase 2 meeting to generate additional clinical data in adolescents and adults on the two roflumilast cream doses studied in our Phase 2 study, they also did not raise objections to us proceeding into Phase 3. If the FDA does not accept our applications or issue marketing authorizations for our product candidates, it may require that we conduct additional clinical, preclinical or manufacturing validation studies and submit that data before it will reconsider our applications. Depending on the extent of these or any other FDA-required studies, approval of any NDA for any other applications that we submit may be delayed by several years, or may require us to expend more resources than we have available. It is also possible that additional studies, if performed and completed, may not be considered sufficient by the FDA to approve our NDAs. Additionally, similar risks could apply to receipt of marketing authorizations by comparable regulatory authorities in foreign jurisdictions.</w:t>
      </w:r>
    </w:p>
    <w:p>
      <w:pPr>
        <w:spacing w:after="0" w:line="14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320"/>
        <w:spacing w:after="0" w:line="287" w:lineRule="auto"/>
        <w:rPr>
          <w:sz w:val="20"/>
          <w:szCs w:val="20"/>
          <w:color w:val="auto"/>
        </w:rPr>
      </w:pPr>
      <w:r>
        <w:rPr>
          <w:rFonts w:ascii="Arial" w:cs="Arial" w:eastAsia="Arial" w:hAnsi="Arial"/>
          <w:sz w:val="18"/>
          <w:szCs w:val="18"/>
          <w:b w:val="1"/>
          <w:bCs w:val="1"/>
          <w:i w:val="1"/>
          <w:iCs w:val="1"/>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94" w:lineRule="exact"/>
        <w:rPr>
          <w:sz w:val="20"/>
          <w:szCs w:val="20"/>
          <w:color w:val="auto"/>
        </w:rPr>
      </w:pPr>
    </w:p>
    <w:p>
      <w:pPr>
        <w:jc w:val="both"/>
        <w:ind w:right="180" w:firstLine="648"/>
        <w:spacing w:after="0" w:line="254" w:lineRule="auto"/>
        <w:rPr>
          <w:sz w:val="20"/>
          <w:szCs w:val="20"/>
          <w:color w:val="auto"/>
        </w:rPr>
      </w:pPr>
      <w:r>
        <w:rPr>
          <w:rFonts w:ascii="Arial" w:cs="Arial" w:eastAsia="Arial" w:hAnsi="Arial"/>
          <w:sz w:val="18"/>
          <w:szCs w:val="18"/>
          <w:color w:val="auto"/>
        </w:rPr>
        <w:t>Even if our lead product candidate or our other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adequate product revenue or become profitable. The degree of market acceptance of a product candidate, if approved for commercial sale, will depend on a number of factors, including but not limited to:</w:t>
      </w:r>
    </w:p>
    <w:p>
      <w:pPr>
        <w:spacing w:after="0" w:line="136" w:lineRule="exact"/>
        <w:rPr>
          <w:sz w:val="20"/>
          <w:szCs w:val="20"/>
          <w:color w:val="auto"/>
        </w:rPr>
      </w:pPr>
    </w:p>
    <w:p>
      <w:pPr>
        <w:ind w:left="820" w:right="240" w:hanging="164"/>
        <w:spacing w:after="0" w:line="256"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efficacy, risk-benefit profile and potential advantages compared to alternative or existing treatments, such as steroids topical treatments, oral treatments, and biologic injections for the treatment of psoriasis, which physicians may perceive to be adequately effective for some or all patients;</w:t>
      </w:r>
    </w:p>
    <w:p>
      <w:pPr>
        <w:spacing w:after="0" w:line="134"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side effects that may be attributable to our product candidates and the difficulty of or costs associated with resolving such side effects;</w:t>
      </w:r>
    </w:p>
    <w:p>
      <w:pPr>
        <w:spacing w:after="0" w:line="116"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FDA or other applicable foreign regulatory authorities;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side effects;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content of the approved product label;</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57" w:lineRule="exact"/>
        <w:rPr>
          <w:rFonts w:ascii="Arial" w:cs="Arial" w:eastAsia="Arial" w:hAnsi="Arial"/>
          <w:sz w:val="18"/>
          <w:szCs w:val="18"/>
          <w:color w:val="auto"/>
        </w:rPr>
      </w:pPr>
    </w:p>
    <w:p>
      <w:pPr>
        <w:ind w:left="820" w:right="40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 and over-the-counter (OTC) treatments;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57" w:lineRule="exact"/>
        <w:rPr>
          <w:rFonts w:ascii="Arial" w:cs="Arial" w:eastAsia="Arial" w:hAnsi="Arial"/>
          <w:sz w:val="18"/>
          <w:szCs w:val="18"/>
          <w:color w:val="auto"/>
        </w:rPr>
      </w:pPr>
    </w:p>
    <w:p>
      <w:pPr>
        <w:ind w:left="820" w:right="34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over existing therapies;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at any given price level of each of our product candidates;</w:t>
      </w:r>
    </w:p>
    <w:p>
      <w:pPr>
        <w:spacing w:after="0" w:line="157" w:lineRule="exact"/>
        <w:rPr>
          <w:rFonts w:ascii="Arial" w:cs="Arial" w:eastAsia="Arial" w:hAnsi="Arial"/>
          <w:sz w:val="18"/>
          <w:szCs w:val="18"/>
          <w:color w:val="auto"/>
        </w:rPr>
      </w:pPr>
    </w:p>
    <w:p>
      <w:pPr>
        <w:ind w:left="820" w:right="720" w:hanging="164"/>
        <w:spacing w:after="0" w:line="261"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if approved, in the absence of health insurance coverage or sufficient reimbursement;</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utilization controls imposed by third-party payors, such as prior authorizations and step edits;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on the use of any of our product candidates.</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cannot assure you that our current or future product candidates, if approved, will achieve market acceptance among physicians, patients, third-party payors or others in the medical community necessary for commercial success. Any failure by our product candidates that obtain regulatory approval to achieve market acceptance or commercial success would harm our results of operations.</w:t>
      </w:r>
    </w:p>
    <w:p>
      <w:pPr>
        <w:spacing w:after="0" w:line="9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10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At any time, we may decide to discontinue the development or commercialization of any of our products or product candidates for a variety of reasons, including the appearance of new technologies that render our product obsolete, competition from a competing product or changes in or inability to comply with applicable regulatory requirements. If we terminate a program in which we have invested significant resources, we will not receive any return on our investment and we will have missed the opportunity to allocate those resources to potentially more productive uses.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to any of our product candidates that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 become available. If any of our product candidates fail to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w:t>
      </w:r>
    </w:p>
    <w:p>
      <w:pPr>
        <w:spacing w:after="0" w:line="14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addition, the market for certain of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spacing w:after="0" w:line="13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2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Further, we believe that future coverage and reimbursement will likely be subject to increased restrictions in both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11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currently have limited sales, marketing or distribution capabilities and have no experience as a company in commercializing products.</w:t>
      </w:r>
    </w:p>
    <w:p>
      <w:pPr>
        <w:spacing w:after="0" w:line="10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To achieve commercial success for any product for which we obtain marketing approval, we will need to build a significantly more robust sales and marketing organization. We currently have limited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w:t>
      </w:r>
    </w:p>
    <w:p>
      <w:pPr>
        <w:spacing w:after="0" w:line="124"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currently expect to build a dermatologist-focused sales, distribution and marketing infrastructure to market our product candidates in North America, if approved.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our internal sales, marketing and distribution capabilities could delay any product launch, which would adversely impact its commercialization. If the commercial launch of any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any of our product candidates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0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If we seek to market any products in our pipeline in countries other than the United States, we will need to comply with the regulations of each country in which we seek to market our products.</w:t>
      </w:r>
    </w:p>
    <w:p>
      <w:pPr>
        <w:spacing w:after="0" w:line="10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None of our product candidates are currently approved for sale by any government authority in any jurisdiction.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including the United States, does not ensure marketing approval in another, but a failure or delay in obtaining marketing approval in one jurisdiction may have a negative effect on the regulatory process in others. Failure to obtain a marketing approval in countries in which we seek to market our products or any delay or setback in obtaining such approval would impair our ability to develop foreign markets for any of our products.</w:t>
      </w:r>
    </w:p>
    <w:p>
      <w:pPr>
        <w:spacing w:after="0" w:line="117" w:lineRule="exact"/>
        <w:rPr>
          <w:sz w:val="20"/>
          <w:szCs w:val="20"/>
          <w:color w:val="auto"/>
        </w:rPr>
      </w:pPr>
    </w:p>
    <w:p>
      <w:pPr>
        <w:ind w:right="1240"/>
        <w:spacing w:after="0" w:line="287" w:lineRule="auto"/>
        <w:rPr>
          <w:sz w:val="20"/>
          <w:szCs w:val="20"/>
          <w:color w:val="auto"/>
        </w:rPr>
      </w:pPr>
      <w:r>
        <w:rPr>
          <w:rFonts w:ascii="Arial" w:cs="Arial" w:eastAsia="Arial" w:hAnsi="Arial"/>
          <w:sz w:val="18"/>
          <w:szCs w:val="18"/>
          <w:b w:val="1"/>
          <w:bCs w:val="1"/>
          <w:i w:val="1"/>
          <w:iCs w:val="1"/>
          <w:color w:val="auto"/>
        </w:rPr>
        <w:t>Our license agreements obligate us to make certain milestone payments, some of which will be triggered prior to our commercialization of any of our product candidates.</w:t>
      </w:r>
    </w:p>
    <w:p>
      <w:pPr>
        <w:spacing w:after="0" w:line="94"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Certain of the milestone payments payable by us to AstraZeneca and Hengrui, are due upon events that will occur prior to our planned commercialization of the applicable product candidates. Accordingly, we will be required to make such payments prior to the time at which we are able to generate revenue, if any, from sales of any of our product candidates, if approved.</w:t>
      </w:r>
    </w:p>
    <w:p>
      <w:pPr>
        <w:spacing w:after="0" w:line="13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For example, upon regulatory approval from the FDA to commercialize roflumilast cream in the United States, but prior to commencement of commercialization or sales of roflumilast cream, we will be required to make certain milestone payments to AstraZeneca. We paid AstraZeneca the first milestone cash payment of $2.0 million upon the completion of a Phase 2b study of roflumilast cream in plaque psoriasis in August 2019 for the achievement of positive Phase 2 data for an AZ-Licensed Product (as defined below). We have agreed to make additional cash payments to AstraZeneca of up to an aggregate of $ 12.5 million upon the achievement of specified regulatory approval milestones with respect to products containing roflumilast in topical forms, as well as delivery systems sold with or for the administration of roflumilast, or collectively, AZ-Licensed Products, and payments up to an additional aggregate amount of $15.0 million upon the achievement of certain aggregate worldwide net sales milestones. With respect to any AZ-Licensed Products we commercialize under the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connection with the exercise of our exclusive option with Hengrui in December 2019, we made a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There can be no assurance that we will have the funds necessary to make such payments, or be able to raise such funds when needed, on terms acceptable to us, or at all. Furthermore, if we are forced to raise additional funds, we may be required to delay, limit, reduce or terminate our product development or future commercialization efforts, or grant rights to develop and market product candidates that we would otherwise develop and market ourselves. If we are unable to raise additional funds or maintain sufficient liquidity to make our payment obligations if and when they become due, including payment obligations under the license agreement with AstraZeneca and under the option and license agreement with Hengrui, we may be in material breach of our agreements and our counterparties may seek legal action or remedies against us (including by seeking to terminate the relevant agreements), which would harm our business, financial condition, results of operations and prospects.</w:t>
      </w:r>
    </w:p>
    <w:p>
      <w:pPr>
        <w:spacing w:after="0" w:line="102"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1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markets for dermatological therapies are competitive and are characterized by significant technological development and new product introduction. For example, there are several large and small pharmaceutical companies focused on delivering therapeutics for our targeted inflammatory and medical dermatological indications. We anticipate that, if we obtain regulatory approval of our product candidates, we will face significant competition from other approved therapies or drugs that become available in the future for the treatment of our target indications. If approved, our product candidates may also compete with unregulated, unapproved and off-label treatments. Even if another branded or generic product or OTC product is less effective than our product candidates, a less effective branded, generic or OTC product may be more quickly adopted by physicians and patients than our competing product candidates based upon cost or convenience.</w:t>
      </w:r>
    </w:p>
    <w:p>
      <w:pPr>
        <w:spacing w:after="0" w:line="139"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Certain of our product candidates, if approved,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to gain a share of some patients’ discretionary budgets and for physicians’ attention within their clinical practices. Some of the companies that offer competing products also have a broad range of other product offerings, large direct sales forces and long-term customer relationships with our target physicians, which could inhibit our market penetration efforts. Such competition could lead to reduced market share for our product candidates and contribute to downward pressure on the pricing of our product candidates, which could harm our business, financial condition, operating results and prospects.</w:t>
      </w:r>
    </w:p>
    <w:p>
      <w:pPr>
        <w:spacing w:after="0" w:line="124"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We are aware of several companies that are working to develop drugs that would compete against our product candidates for the treatment of psoriasis, atopic dermatitis, hand eczema, vitiligo and alopecia areata.</w:t>
      </w:r>
    </w:p>
    <w:p>
      <w:pPr>
        <w:spacing w:after="0" w:line="130"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For psoriasis, our primary competitors include injected biologic therapies such as Humira, marketed by AbbVie Inc. and Eisai Co., Ltd., and Enbrel, marketed by Amgen Inc. and Pfizer Inc.;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topical tapinarof, under development by Dermavant Sciences, Inc., deucravacitinib, an oral Tyk2 inhibitor under development by BMS, Inc., and PF-06700841, an oral Tyk2/JAK1 inhibitor under development by Pfizer, Inc.</w:t>
      </w:r>
    </w:p>
    <w:p>
      <w:pPr>
        <w:spacing w:after="0" w:line="13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For atopic dermatitis, our primary competitors include topical therapies such as Eucrisa, marketed by Pfizer Inc., and generic and branded versions of low to mid-potency steroids such as hydrocortisone and betamethasone; and the injected biologic therapy Dupixent, marketed by Regeneron Pharmaceuticals, Inc.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ruxolitinib, under development by Incyte Corporation, topical delgocitinib, under development by LEO Pharma A/S and Japan Tobacco, Inc., topical PF-06700841, a Tyk2/JAK1 inhibitor under development by Pfizer, Inc., topical difamilast ointment, under development by Medimetriks/Otsuka Pharma, oral PF-04965842, under development by Pfizer Inc., oral upatacitinib, under development by AbbVie, Inc., and injectable lebrikizumab, under development by Eli Lilly and Company.</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hand eczema that would compete with ARQ-252 is delgocitinib, which recently showed proof of concept in a Phase 2a trial and has been approved in a different formulation in Japan (Corectim).</w:t>
      </w:r>
    </w:p>
    <w:p>
      <w:pPr>
        <w:spacing w:after="0" w:line="12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topical ruxolitinib, under development by Incyte Corporation, and both oral PF-06651600 and oral PF-06700841, under development by Pfizer Inc.</w:t>
      </w:r>
    </w:p>
    <w:p>
      <w:pPr>
        <w:spacing w:after="0" w:line="14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topical PF-06700841 and oral PF-06651600, under development by Pfizer, Inc., oral CTP-543, under development by Concert Pharmaceuticals, and oral baricitinib, under development by Eli Lilly and Company.</w:t>
      </w:r>
    </w:p>
    <w:p>
      <w:pPr>
        <w:spacing w:after="0" w:line="13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Many of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smaller number of our competitors.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126"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Due to less stringent regulatory requirements in certain foreign countries, there are many more dermatological products and procedures available for use in those international markets than are approved for use in the United States. In certain international markets, there are also fewer limitations on the claims that our competitors can make about the effectiveness of their products and the manner in which they can market their products. As a result, we expect to face more competition in these markets than in the United States.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largely on our ability to:</w:t>
      </w:r>
    </w:p>
    <w:p>
      <w:pPr>
        <w:spacing w:after="0" w:line="158" w:lineRule="exact"/>
        <w:rPr>
          <w:sz w:val="20"/>
          <w:szCs w:val="20"/>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commercialize therapies that are superior to other products in the market;</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technologies and product;</w:t>
      </w:r>
    </w:p>
    <w:p>
      <w:pPr>
        <w:spacing w:after="0" w:line="144" w:lineRule="exact"/>
        <w:rPr>
          <w:rFonts w:ascii="Arial" w:cs="Arial" w:eastAsia="Arial" w:hAnsi="Arial"/>
          <w:sz w:val="18"/>
          <w:szCs w:val="18"/>
          <w:color w:val="auto"/>
        </w:rPr>
      </w:pPr>
    </w:p>
    <w:p>
      <w:pPr>
        <w:ind w:left="820" w:right="420" w:hanging="164"/>
        <w:spacing w:after="0" w:line="261"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including approvals to market our product candidates in ways that are differentiated from existing and future therapies and OTC products and treatments;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commercialize our product candidates, if approved;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therapies.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or OTC treatments would have an adverse impact on our business, financial condition and prospects.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5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executing our growth strategy and managing any growth.</w:t>
      </w:r>
    </w:p>
    <w:p>
      <w:pPr>
        <w:spacing w:after="0" w:line="107"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As of March 31, 2021, we had 75 full-time employees. We will need to continue to expand our managerial, clinical, commercial, operational, finance and other resources in order to manage our operations and clinical trials, continue our development activities and commercialize our lead product candidates or any future product candidates.</w:t>
      </w:r>
    </w:p>
    <w:p>
      <w:pPr>
        <w:spacing w:after="0" w:line="121"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In order to effectively execute our growth strategy, we will need to identify, recruit, retain, incentivize and integrate additional employees in order to expand our ability to:</w:t>
      </w:r>
    </w:p>
    <w:p>
      <w:pPr>
        <w:spacing w:after="0" w:line="130" w:lineRule="exact"/>
        <w:rPr>
          <w:sz w:val="20"/>
          <w:szCs w:val="20"/>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 marketing, sales and distribution capability;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commercialization activities for our product candidates effectively and in a cost-effective manner;</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and maintain relationships with development and commercialization partners;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internal development and operational efforts effectively while carrying out our contractual obligations to third parties;</w:t>
      </w:r>
    </w:p>
    <w:p>
      <w:pPr>
        <w:spacing w:after="0" w:line="144" w:lineRule="exact"/>
        <w:rPr>
          <w:rFonts w:ascii="Arial" w:cs="Arial" w:eastAsia="Arial" w:hAnsi="Arial"/>
          <w:sz w:val="18"/>
          <w:szCs w:val="18"/>
          <w:color w:val="auto"/>
        </w:rPr>
      </w:pPr>
    </w:p>
    <w:p>
      <w:pPr>
        <w:ind w:left="820" w:right="660" w:hanging="164"/>
        <w:spacing w:after="0" w:line="261"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improve our operational, financial, management and regulatory compliance controls and reporting systems and procedures; and</w:t>
      </w:r>
    </w:p>
    <w:p>
      <w:pPr>
        <w:spacing w:after="0" w:line="130" w:lineRule="exact"/>
        <w:rPr>
          <w:rFonts w:ascii="Arial" w:cs="Arial" w:eastAsia="Arial" w:hAnsi="Arial"/>
          <w:sz w:val="18"/>
          <w:szCs w:val="18"/>
          <w:color w:val="auto"/>
        </w:rPr>
      </w:pPr>
    </w:p>
    <w:p>
      <w:pPr>
        <w:ind w:left="820" w:right="20" w:hanging="164"/>
        <w:spacing w:after="0" w:line="261"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third-party supply and manufacturing operations effectively and in a cost-effective manner, while increasing production capabilities for our current product candidates to commercial levels.</w:t>
      </w:r>
    </w:p>
    <w:p>
      <w:pPr>
        <w:spacing w:after="0" w:line="130" w:lineRule="exact"/>
        <w:rPr>
          <w:sz w:val="20"/>
          <w:szCs w:val="20"/>
          <w:color w:val="auto"/>
        </w:rPr>
      </w:pPr>
    </w:p>
    <w:p>
      <w:pPr>
        <w:ind w:right="260" w:firstLine="648"/>
        <w:spacing w:after="0" w:line="291" w:lineRule="auto"/>
        <w:rPr>
          <w:sz w:val="20"/>
          <w:szCs w:val="20"/>
          <w:color w:val="auto"/>
        </w:rPr>
      </w:pPr>
      <w:r>
        <w:rPr>
          <w:rFonts w:ascii="Arial" w:cs="Arial" w:eastAsia="Arial" w:hAnsi="Arial"/>
          <w:sz w:val="17"/>
          <w:szCs w:val="17"/>
          <w:color w:val="auto"/>
        </w:rPr>
        <w:t>If we are unable to successfully identify, recruit, retain, incentivize and integrate additional employees and otherwise expand our managerial, operational, finance and other resources, our business and operational performance will be materially and adversely affected.</w:t>
      </w:r>
    </w:p>
    <w:p>
      <w:pPr>
        <w:spacing w:after="0" w:line="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If we are not successful in acquiring, developing, and commercializing additional product candidates, our ability to expand our business and achieve our strategic objectives would be impaired.</w:t>
      </w:r>
    </w:p>
    <w:p>
      <w:pPr>
        <w:spacing w:after="0" w:line="10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Although a substantial amount of our effort will focus on the continued preclinical and clinical testing and potential approval of our current product candidates, a key element of our strategy is to acquire, develop and commercialize a diverse portfolio of product candidates to serve the dermatology market. We do not currently intend to conduct drug discovery efforts, but rather we intend to formulate, acquire or in-license rights to existing molecules to develop for dermatological indications. In addition, while we believe that our strategy allows us to move more rapidly through clinical development and at a potentially lower cost, we may be unable to progress product candidates more quickly or at a lower cost.</w:t>
      </w:r>
    </w:p>
    <w:p>
      <w:pPr>
        <w:spacing w:after="0" w:line="14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the event we seek to identify and acquire or in-license additional product candidates in the dermatology field, our process for doing so may be slow and may ultimately be unsuccessful for a number of reasons, including those discussed in these risk factors and also:</w:t>
      </w:r>
    </w:p>
    <w:p>
      <w:pPr>
        <w:spacing w:after="0" w:line="117" w:lineRule="exact"/>
        <w:rPr>
          <w:sz w:val="20"/>
          <w:szCs w:val="20"/>
          <w:color w:val="auto"/>
        </w:rPr>
      </w:pPr>
    </w:p>
    <w:p>
      <w:pPr>
        <w:ind w:left="820" w:right="240" w:hanging="164"/>
        <w:spacing w:after="0" w:line="261"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candidates may, upon further study, be shown to have harmful side effects or other characteristics that indicate that they are unlikely to be products that will receive marketing approval and achieve market acceptance;</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144" w:lineRule="exact"/>
        <w:rPr>
          <w:rFonts w:ascii="Arial" w:cs="Arial" w:eastAsia="Arial" w:hAnsi="Arial"/>
          <w:sz w:val="18"/>
          <w:szCs w:val="18"/>
          <w:color w:val="auto"/>
        </w:rPr>
      </w:pPr>
    </w:p>
    <w:p>
      <w:pPr>
        <w:ind w:left="820" w:right="240" w:hanging="164"/>
        <w:spacing w:after="0" w:line="256"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or in-licensing transactions can entail numerous operational and functional risks, including exposure to unknown liabilities, disruption of our business, or incurrence of substantial debt or dilutive issuances of equity securities to pay transaction consideration or costs, or higher than expected acquisition or integration costs.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may choose to focus our efforts and resources on an in-licensing or acquiring a potential product candidate that ultimately proves to be unsuccessful. We also cannot be certain that, following an acquisition or in-licensing transaction, we will achieve the revenue or specific net income that justifies such transaction. If we are unable to identify and acquire suitable product candidates for clinical development, this would adversely impact our business strategy, our financial position and share price.</w:t>
      </w:r>
    </w:p>
    <w:p>
      <w:pPr>
        <w:spacing w:after="0" w:line="10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future product candidates.</w:t>
      </w:r>
    </w:p>
    <w:p>
      <w:pPr>
        <w:spacing w:after="0" w:line="1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138" w:lineRule="exact"/>
        <w:rPr>
          <w:sz w:val="20"/>
          <w:szCs w:val="20"/>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4" w:lineRule="exact"/>
        <w:rPr>
          <w:rFonts w:ascii="Arial" w:cs="Arial" w:eastAsia="Arial" w:hAnsi="Arial"/>
          <w:sz w:val="18"/>
          <w:szCs w:val="18"/>
          <w:color w:val="auto"/>
        </w:rPr>
      </w:pPr>
    </w:p>
    <w:p>
      <w:pPr>
        <w:jc w:val="both"/>
        <w:ind w:left="820" w:right="100" w:hanging="164"/>
        <w:spacing w:after="0" w:line="254"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136" w:lineRule="exact"/>
        <w:rPr>
          <w:rFonts w:ascii="Arial" w:cs="Arial" w:eastAsia="Arial" w:hAnsi="Arial"/>
          <w:sz w:val="18"/>
          <w:szCs w:val="18"/>
          <w:color w:val="auto"/>
        </w:rPr>
      </w:pPr>
    </w:p>
    <w:p>
      <w:pPr>
        <w:ind w:left="820" w:right="10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30" w:lineRule="exact"/>
        <w:rPr>
          <w:rFonts w:ascii="Arial" w:cs="Arial" w:eastAsia="Arial" w:hAnsi="Arial"/>
          <w:sz w:val="18"/>
          <w:szCs w:val="18"/>
          <w:color w:val="auto"/>
        </w:rPr>
      </w:pPr>
    </w:p>
    <w:p>
      <w:pPr>
        <w:ind w:left="820" w:right="62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16" w:lineRule="exact"/>
        <w:rPr>
          <w:rFonts w:ascii="Arial" w:cs="Arial" w:eastAsia="Arial" w:hAnsi="Arial"/>
          <w:sz w:val="18"/>
          <w:szCs w:val="18"/>
          <w:color w:val="auto"/>
        </w:rPr>
      </w:pPr>
    </w:p>
    <w:p>
      <w:pPr>
        <w:ind w:left="820" w:right="56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sales, marketing, manufacturing and distribution rights to one or more products may not commit sufficient resources to or otherwise not perform satisfactorily in carrying out these activities;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57"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0" w:lineRule="exact"/>
        <w:rPr>
          <w:rFonts w:ascii="Arial" w:cs="Arial" w:eastAsia="Arial" w:hAnsi="Arial"/>
          <w:sz w:val="18"/>
          <w:szCs w:val="18"/>
          <w:color w:val="auto"/>
        </w:rPr>
      </w:pPr>
    </w:p>
    <w:p>
      <w:pPr>
        <w:jc w:val="both"/>
        <w:ind w:left="820" w:right="980" w:hanging="164"/>
        <w:spacing w:after="0" w:line="256"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134"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w:t>
      </w:r>
    </w:p>
    <w:p>
      <w:pPr>
        <w:spacing w:after="0" w:line="130"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 and</w:t>
      </w:r>
    </w:p>
    <w:p>
      <w:pPr>
        <w:spacing w:after="0" w:line="15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Furthermore, we cannot assure you that following any such collaboration, or other strategic transaction, we will achieve the expected synergies to justify the transaction. For example, such transactions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108" w:lineRule="exact"/>
        <w:rPr>
          <w:sz w:val="20"/>
          <w:szCs w:val="20"/>
          <w:color w:val="auto"/>
        </w:rPr>
      </w:pPr>
    </w:p>
    <w:p>
      <w:pPr>
        <w:ind w:right="1480"/>
        <w:spacing w:after="0" w:line="28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or future product candidates.</w:t>
      </w:r>
    </w:p>
    <w:p>
      <w:pPr>
        <w:spacing w:after="0" w:line="107"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warranty.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8" w:lineRule="exact"/>
        <w:rPr>
          <w:sz w:val="20"/>
          <w:szCs w:val="20"/>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current or future product candidates;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our current or any future product candidates.</w:t>
      </w:r>
    </w:p>
    <w:p>
      <w:pPr>
        <w:spacing w:after="0" w:line="158"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Our inability to obtain and maintain sufficient product liability insurance at an acceptable cost and scope of coverage to protect against potential product liability claims could prevent or inhibit the commercialization of our current or any future product candidates we develop. Although we currently carry product liability insurance covering our clinical trials,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have incurred and will continue to incur significant legal, accounting and other expenses as a public company, including costs resulting from public company reporting obligations under the Securities Exchange Act of 1934, or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increase our legal and financial compliance costs and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4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w:t>
      </w:r>
    </w:p>
    <w:p>
      <w:pPr>
        <w:spacing w:after="0" w:line="13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During the course of our review and testing of our internal controls over financial reporting,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to our business.</w:t>
      </w:r>
    </w:p>
    <w:p>
      <w:pPr>
        <w:spacing w:after="0" w:line="1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or those of our CROs or other contractors or consultants we may utilize, could harm our business. Security breaches, cyber-attacks, loss of data, and other disruptions could compromise sensitive information related to our business or prevent us from accessing critical information and expose us to liability, which could adversely affect our business, results of operations, financial condition and prospects.</w:t>
      </w:r>
    </w:p>
    <w:p>
      <w:pPr>
        <w:spacing w:after="0" w:line="1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telecommunication and electrical failures, cyber-attacks or cyber-intrusions over the Internet, attachments to emails, persons inside our organization, or persons with access to systems inside our organization.</w:t>
      </w:r>
    </w:p>
    <w:p>
      <w:pPr>
        <w:spacing w:after="0" w:line="11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if applicable, including HIPAA, as amended by HITECH, and regulations implemented thereunder,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19"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b w:val="1"/>
          <w:bCs w:val="1"/>
          <w:i w:val="1"/>
          <w:iCs w:val="1"/>
          <w:color w:val="auto"/>
        </w:rPr>
        <w:t>Our future commercial partners, as well as our employees and independent contractors, including principal investigators,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are exposed to the risk that our future commercial partners, as well as our employees and independent contractors, including principal investigators,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0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currently rely on third-party manufacturers to manufacture preclinical and clinical supplies of our product candidates and we intend to rely on third parties to produce commercial supplies of any approved product candidate. Business changes at any of these manufacturers, or their failure to provide us with sufficient quantities at acceptable quality levels, or at all, would materially and adversely affect our business.</w:t>
      </w:r>
    </w:p>
    <w:p>
      <w:pPr>
        <w:spacing w:after="0" w:line="1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do not currently have the infrastructure or capability internally to manufacture supplies of our product candidates or the materials necessary to produce our product candidates for use in the conduct of our preclinical studies or clinical trials, and we lack the internal resources and the capability to manufacture any of our product candidates on a preclinical, clinical or commercial scale. Instead, we currently rely on single source third-party manufacturers to manufacture preclinical and clinical supplies of our product candidates and we intend to rely on third parties to produce commercial supplies of any approved product candidate. We have successfully manufactured and tested several batches of our topical roflumilast product candidates at our primary commercial contract manufacturing site at the initial commercial scale. However, as a late-stage company with no prior history of product sales or commercialization of products, representative batches of our product candidate received to date may not represent what will be required to meet our future commercial requirements or be manufactured at final commercial scale.</w:t>
      </w:r>
    </w:p>
    <w:p>
      <w:pPr>
        <w:spacing w:after="0" w:line="131"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and the manufacturers of our products rely on suppliers of raw materials used in the production of our products. Some of these materials are available from only one source. Although we have engaged in a commercial supply agreement and scale-up activities with our Drug Substance contract manufacturing organization (CMO), we have not yet finalized a Drug Product manufacturing agreement for the commercial supply of our product candidates. We intend to enter into such agreements prior to commercial launch of any of our product candidates, we may be unable to enter into any such agreement or do so on commercially reasonable terms, which could have a material adverse impact upon our business. Moreover, if there is a disruption to one or more of our third-party suppliers’ relevant operations, or if we are unable to enter into arrangements for the commercial manufacture of our product candidates, we will have no other means of producing our lead product candidates until they restore the affected facilities are restored or alternative manufacturing facilities or sources of supply are procured.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facilities or equipment may significantly impair our ability to manufacture our product candidates on a timely basis.</w:t>
      </w:r>
    </w:p>
    <w:p>
      <w:pPr>
        <w:spacing w:after="0" w:line="14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Furthermore, there are a limited number of suppliers for materials we use in our product candidates, which exposes us to the risk of disruption in the supply of the materials necessary to manufacture our product candidates for our preclinical studies and clinical trials, and if approved, ultimately for commercial sale. In the case of ARQ-252 and ARQ-255, we have an agreement with Hengrui for the supply of SHR0302 API for preclinical studies and clinical trials. We do not have control over the process or timing of the acquisition or manufacture of materials by our manufacturers. In addition, any significant delay in, or quality control problems with respect to, the supply of a product candidate, or the raw material components thereof, for an ongoing study or trial could considerably delay completion of our preclinical studies or clinical trials, product testing and potential regulatory approval of our product candidates.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addition, to manufacture our product candidates in the quantities that we believe would be required to meet anticipated market demand, our third-party manufacturers may need to increase manufacturing capacity and, in some cases, we plan to secure alternative sources of commercial supply, which could involve significant challenges and may require additional regulatory approvals Neither we nor our third-party manufacturers may successfully complete any required increase to existing manufacturing capacity in a timely manner, or at all. If either we or our manufacturers are unable to purchase the raw materials necessary for the manufacture of our product candidates on acceptable terms, at sufficient quality levels, or in adequate quantities, if at all, the commercial launch of our lead product candidates or any future product candidates would be delayed or there would be a shortage in supply, which would impair our ability to generate revenues from the sale of such product candidates, if approved.</w:t>
      </w:r>
    </w:p>
    <w:p>
      <w:pPr>
        <w:spacing w:after="0" w:line="12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loss of these suppliers or their failure to comply with applicable regulatory requirements or to provide us with sufficient quantities at acceptable quality levels or prices, or at all, would materially and adversely affect our business.</w:t>
      </w:r>
    </w:p>
    <w:p>
      <w:pPr>
        <w:spacing w:after="0" w:line="10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our third-party manufacturers fail to comply with manufacturing or other regulations, our financial results and financial condition will be adversely affected.</w:t>
      </w:r>
    </w:p>
    <w:p>
      <w:pPr>
        <w:spacing w:after="0" w:line="10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or our product candidates.</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Before beginning commercial manufacture of ARQ-151 roflumilast cream, ARQ-154 roflumilast foam, ARQ-252 or ARQ-255, the processes and systems used in their manufacture must be approved and each facility must have a compliance status that is acceptable to the FDA and other regulatory authorities.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Furthermore, although we have very limited control over the day-to-day operations of our contract manufacturers, we are responsible for ensuring compliance with applicable laws and regulations, including cGMPs.</w:t>
      </w:r>
    </w:p>
    <w:p>
      <w:pPr>
        <w:spacing w:after="0" w:line="13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a third-party manufacturer with whom we contract is unable to comply with applicable laws and regulations including cGMPs, ARQ-151 roflumilast cream, ARQ-154 roflumilast foam, ARQ-252 or ARQ-255 may not be approved, or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0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1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do not have the ability to independently conduct non-clinical studies and clinical trials. We rely on third parties, such as CROs, to conduct preclinical studies and clinical trials of roflumilast cream, roflumilast foam, ARQ-252 and ARQ-255. The third parties with whom we contract for execution of our preclinical studies and clinical trials play a significant role in the conduct of these studies and trials and the subsequent collection and analysis of data. However, these third parties are not our employees, and except for contractual duties and obligations, we have limited ability to control the amount or timing of resources that they devote to our programs. These third parties may also have relationships with other commercial entities, some of which may compete with us. In some cases, these third parties could terminate their agreements with us without cause. Furthermore, external events such as the COVID-19 pandemic could interfere with some operations of these CROs.</w:t>
      </w:r>
    </w:p>
    <w:p>
      <w:pPr>
        <w:spacing w:after="0" w:line="13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Although we rely on third parties to conduct our preclinical studies and clinical trials, we remain responsible for ensuring that each of our preclinical studies and clinical trials is conducted in accordance with its investigational plan and protocol. Moreover, the FDA and foreign regulatory authorities require us to comply with regulations and standards, including some regulations commonly referred to as GCPs, for conducting, monitoring, recording and reporting the results of clinical trials to ensure that the data and results are scientifically credible and accurate, and that appropriate human subjects protections are in place, including that the trial subjects are adequately informed of the potential risks and other consequences of participating in clinical trials.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the execution of non-clinical studies and clinical trials, and the subsequent compilation and analysis of the data produced, requires coordination among various parties. In order for these functions to be carried out effectively and efficiently, it is imperative that these parties communicate and coordinate with one another.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enter into new arrangements with alternative third parties, which could be difficult, costly or impossible, and our clinical trials may be extended, delayed or terminated or may need to be repeated, which would have a material adverse effect on our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5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may not be able to obtain, maintain or enforce patent rights or other intellectual property rights that cover our product candidates and technologies that are of sufficient breadth to prevent third parties from competing against us.</w:t>
      </w:r>
    </w:p>
    <w:p>
      <w:pPr>
        <w:spacing w:after="0" w:line="10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Our success with respect to our product candidates and technologies will depend in part on our and our licensors’ ability to obtain and maintain patent protection in both the United States and other countries, to preserve our trade secrets and to prevent third parties from infringing upon our proprietary rights. Our ability to protect any of our product candidates from unauthorized or infringing use by third parties depends in substantial part on our ability to obtain and maintain valid and enforceable patents.</w:t>
      </w:r>
    </w:p>
    <w:p>
      <w:pPr>
        <w:spacing w:after="0" w:line="12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patent portfolio includes patents and patent applications in the United States and foreign jurisdictions where we believe there is a market opportunity for our products. The covered technology and the scope of coverage vary from country to country. For those countries where we do not have granted patents, we may not have any ability to prevent the unauthorized use of our technologies. Any patents that we may obtain may be narrow in scope and thus easily circumvented by competitors. Further, in countries where we do not have granted patents, third parties may be able to make, use or sell products identical to or substantially similar to, our product candidates.</w:t>
      </w:r>
    </w:p>
    <w:p>
      <w:pPr>
        <w:spacing w:after="0" w:line="138"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The patent application process, also known as patent prosecution, is expensive and time-consuming, and we and our current licensors, or any future licensors or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our patents and applications may not be prosecuted, and as a result may not be able to be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to our processes, methods, and know-how which we consider our trade secrets. Any of these outcomes could impair our ability to prevent competition from third parties, which may have an adverse impact on our business, financial condition and operating results.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Due to legal standards relating to patentability, validity, enforceability and claim scope of patents covering pharmaceutical inventions, our and our licensor’s ability to obtain, maintain and enforce patents is uncertain and involves complex legal and factual questions. Accordingly, rights under our existing patents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In addition, we cannot guarantee that any patents will issue from any pending or future patent applications owned by or licensed to us. Even with respect to our patents that have issued or will issue, we cannot guarantee that the claims of these patents are or will be held valid or enforceable by the courts or will provide us with any significant protection against competitive products or otherwise be commercially valuable to us.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2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Competitors in the field of dermatologic therapeutics have created a substantial amount of prior art, including scientific publications, patents and patent applications. Our ability to obtain and maintain valid and enforceable patents depends on whether the differences between our technology and the prior art allow our technology to be patentable over the prior art. Although we believe that our technology includes certain inventions that are unique and not duplicative of any prior art, we do not have outstanding issued patents covering all of the recent developments in our technology and we are unsure of the patent protection that we will be successful in obtaining, if any, over such aspects of our technology. Even if patents do successfully issue covering such aspects of our technology, third parties may design around or challenge the validity, enforceability or scope of such issued patents or any other issued patents we own or license, which may result in such patents being narrowed, invalidated or held unenforceable. If the breadth or strength of protection provided by the patents we own or license with respect to our product candidates is challenged, it could dissuade companies from collaborating with us to develop, or threaten our ability to commercialize, our product candidates. Even if the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4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laws of some foreign jurisdictions do not provide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in foreign jurisdictions, our business prospects could be substantially harmed. 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Accordingly, we cannot predict the breadth of claims that may be allowed or enforced in our patents or in third-party patents.</w:t>
      </w:r>
    </w:p>
    <w:p>
      <w:pPr>
        <w:spacing w:after="0" w:line="139"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117" w:lineRule="exact"/>
        <w:rPr>
          <w:sz w:val="20"/>
          <w:szCs w:val="20"/>
          <w:color w:val="auto"/>
        </w:rPr>
      </w:pPr>
    </w:p>
    <w:p>
      <w:pPr>
        <w:ind w:left="820" w:right="160" w:hanging="164"/>
        <w:spacing w:after="0" w:line="261"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44"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we obtain or our licensors’ issued patents may not encompass commercially viable products, may not provide us with any competitive advantages or may be challenged by third parties;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40" w:hanging="164"/>
        <w:spacing w:after="0" w:line="256"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some product candidates, we expect that composition of matter patent protection for the active pharmaceutical ingredient will not be available at the time we expect to commercialize, and we will therefore need to rely on formulation, method of use and other forms of claims for patent protection;</w:t>
      </w:r>
    </w:p>
    <w:p>
      <w:pPr>
        <w:spacing w:after="0" w:line="120"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and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the extensive period of time between patent filing and regulatory approval for a product candidate limits the time during which we can market a product candidate under patent protection, which may particularly affect the profitability of our early-stage product candidates. Our issued U.S. patents relating to roflumilast cream and roflumilast foam with claims directed to, among other things, formulating roflumilast in combination with hexylene glycol are currently projected to expire on June 7, 2037 and the issued U.S. patents which we have exclusive rights to from Hengrui as a result of the exercise of our exclusive option with Hengrui in December 2019 for the amount of $1.5 million cash, related to the composition of matter of the active ingredient in ARQ-252 and ARQ-255 (or bisulfate or crystal forms thereof) are currently projected to expire between January 21, 2033 and October 15, 2035 unless a PTE is granted. Proprietary trade secrets and unpatented know-how are also very important to our business. Although we have taken steps to protect our trade secrets and unpatented know-how by entering into confidentiality agreements with third parties, and intellectual property protection agreements with certain employees, consultants and advisors, third parties may still obtain this information or we may be unable to protect our rights. We also have limited control over the protection of trade secrets used by our suppliers, manufacturers and other third parties. There can be no assurance that binding agreements will not be breached, that we would have adequate remedies for any breach or that our trade secrets and unpatented know-how will not otherwise become known or be independently discovered by our competitors. If trade secrets are independently discovered, we would not be able to prevent their use. Enforcing a claim that a third party illegally obtained and is using our trade secrets or unpatented know-how is expensive and time-consuming, and the outcome is unpredictable. In addition, courts outside the United States may be less willing to protect trade secret information.</w:t>
      </w:r>
    </w:p>
    <w:p>
      <w:pPr>
        <w:spacing w:after="0" w:line="104"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roflumilast cream, roflumilast foam, ARQ-252, ARQ-255 or any future product candidates.</w:t>
      </w:r>
    </w:p>
    <w:p>
      <w:pPr>
        <w:spacing w:after="0" w:line="107" w:lineRule="exact"/>
        <w:rPr>
          <w:sz w:val="20"/>
          <w:szCs w:val="20"/>
          <w:color w:val="auto"/>
        </w:rPr>
      </w:pPr>
    </w:p>
    <w:p>
      <w:pPr>
        <w:ind w:right="120" w:firstLine="648"/>
        <w:spacing w:after="0" w:line="265" w:lineRule="auto"/>
        <w:rPr>
          <w:sz w:val="20"/>
          <w:szCs w:val="20"/>
          <w:color w:val="auto"/>
        </w:rPr>
      </w:pPr>
      <w:r>
        <w:rPr>
          <w:rFonts w:ascii="Arial" w:cs="Arial" w:eastAsia="Arial" w:hAnsi="Arial"/>
          <w:sz w:val="17"/>
          <w:szCs w:val="17"/>
          <w:color w:val="auto"/>
        </w:rPr>
        <w:t>There have been many lawsuits and other proceedings asserting patents and other intellectual property rights in the pharmaceutical and biotechnology industries. We cannot assure you that our exploitation of roflumilast cream, roflumilast foam, ARQ-252 or ARQ-255 will not infringe existing or future third-party patents. Because patent applications can take many years to issue and may be confidential for</w:t>
      </w:r>
    </w:p>
    <w:p>
      <w:pPr>
        <w:spacing w:after="0" w:line="253" w:lineRule="auto"/>
        <w:rPr>
          <w:sz w:val="20"/>
          <w:szCs w:val="20"/>
          <w:color w:val="auto"/>
        </w:rPr>
      </w:pPr>
      <w:r>
        <w:rPr>
          <w:rFonts w:ascii="Arial" w:cs="Arial" w:eastAsia="Arial" w:hAnsi="Arial"/>
          <w:sz w:val="18"/>
          <w:szCs w:val="18"/>
          <w:color w:val="auto"/>
        </w:rPr>
        <w:t>18 months or more after filing, there may be applications now pending of which we are unaware and which may later result in issued patents that we may infringe by commercializing roflumilast cream, roflumilast foam, ARQ-252 or ARQ-255. Moreover, we may face claims from non-practicing entities that have no relevant product revenue and against whom our own patent portfolio may thus have no deterrent effect. We may be unaware of one or more issued patents that would be infringed by the manufacture, sale or use of roflumilast cream, roflumilast foam, ARQ-252 or ARQ-255.</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may be subject to third-party claims in the future against us or our collaborators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collaborators against such claims. If a patent infringement suit were brought against us or our future collaborators, we or they could be forced to stop or delay research, development, manufacturing or sales of the product or product candidate that is the subject of the suit. As a result of patent infringement claims, or in order to avoid potential claims, we or our collaborators may choose to seek, or be required to seek, a license from the third-party and would most likely be required to pay license fees or royalties or both. These licenses may not be available on acceptable terms, or at all. Even if we or our future collaborators were able to obtain a license, the rights obtained may be nonexclusive, which would not confer a competitive advantage to us from an exclusivity perspective. Ultimately, we could be prevented from commercializing a product, or forced to redesign it, or to cease some aspect of our business operations if, as a result of actual or threatened patent infringement claims, we or our collaborators are unable to enter into licenses on acceptable terms to necessary third party patent rights.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2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18" w:lineRule="exact"/>
        <w:rPr>
          <w:sz w:val="20"/>
          <w:szCs w:val="20"/>
          <w:color w:val="auto"/>
        </w:rPr>
      </w:pPr>
    </w:p>
    <w:p>
      <w:pPr>
        <w:ind w:right="780"/>
        <w:spacing w:after="0" w:line="31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or our licensors have misappropriated their intellectual property, including trade secrets, or claiming ownership of what we regard as our own intellectual property.</w:t>
      </w:r>
    </w:p>
    <w:p>
      <w:pPr>
        <w:spacing w:after="0" w:line="84"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including by contract,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12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in the future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38"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roflumilast cream, roflumilast foam, ARQ-252 or ARQ-255 can be challenged by competitors.</w:t>
      </w:r>
    </w:p>
    <w:p>
      <w:pPr>
        <w:spacing w:after="0" w:line="9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roflumilast cream, roflumilast foam, ARQ-252 or ARQ-255 is approved by the FDA, one or more third parties may challenge the patents covering roflumilast cream, roflumilast foam, ARQ-252 or ARQ-255, which could result in the invalidation of, or render unenforceable, some or all of the relevant patent claims or a finding of non-infringement. For example, if a third-party files an abbreviated NDA, or ANDA, for a generic drug bioequivalent to roflumilast cream, roflumilast foam, ARQ-252 or ARQ-255, and relies in whole or in part on studies conducted by or for us, the third-party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drug. A certification that the new drug will not infringe the Orange Book-listed patents for the applicable approved drug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45 -day period, the third-party’s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product candidates, our business may be materially harmed.</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commercial success will largely depend on our ability to obtain and maintain patent and other intellectual property in the United States and other countries with respect to our proprietary technology, product candidates and our target indications. Our issued U.S. patents, with claims directed to roflumilast formulations with reduced crystal growth, encompassing roflumilast cream, are currently projected to expire on June 7, 2037. Certain issued U.S. patents that we have licensed from Hengrui relating to, among other things, treatment of several diseases or disorders, including various cancers, allograft rejection, graft versus host disease, rheumatoid arthritis, atopic dermatitis, and psoriasis with SHR0302, or bisulfate and crystal forms thereof, are currently projected to expire beginning in 2033.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the U.S. patents covering our product candidates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43"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1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1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10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Additional third parties, apart from our current licensors, may hold intellectual property, including patent rights, that are important or necessary to the development of our product candidates. It may be necessary for us to use the patented or proprietary technology of these third parties to commercialize our product candidates, in which case we would be required to obtain a license from these third parties on commercially reasonable terms. Such a license may not be available, or it may not be available on commercially reasonable terms, in which case our business would be harmed. The risks described elsewhere pertaining to our intellectual property rights also apply to the intellectual property rights that we in-license, and any failure by us or our licensors to obtain, maintain, defend and enforce these rights could harm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Filing, prosecuting and defending patents on product candidates, including all of the licensed rights under our exclusive supply and license agreements with AstraZeneca and Hengrui,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44"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94"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The United States has enacted and implemented wide-ranging patent reform legislation, and that legislation could increase the uncertainties and costs surrounding the prosecution of our patent applications and the enforcement or defense of our issued patents. On September 16, 2011, the Leahy-Smith America Invents Act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In addition, patent reform legislation may pass in the future that could lead to additional uncertainties and increased costs surrounding the prosecution, enforcement and defense of our patents and pending patent applications.</w:t>
      </w:r>
    </w:p>
    <w:p>
      <w:pPr>
        <w:spacing w:after="0" w:line="14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4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Having a mandatory nonexclusive license grant may diminish the value of our patents as well as making it more difficult to protect our products.</w:t>
      </w:r>
    </w:p>
    <w:p>
      <w:pPr>
        <w:spacing w:after="0" w:line="10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any of our product candidates, our competitors might be able to enter the market earlier than anticipated, which would harm our business.</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In addition, third parties may file first for our trademarks in certain countries. If they succeeded in registering such trademarks, and if we were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spacing w:after="0" w:line="1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have not yet received regulatory approval of our commercial tradename and registered trademarks for a commercial trade name for our lead candidates in the United States or foreign jurisdictions and failure to secure such approval in a timely fashion could adversely affect our business.</w:t>
      </w:r>
    </w:p>
    <w:p>
      <w:pPr>
        <w:spacing w:after="0" w:line="125"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We have not yet registered trademarks for a commercial trade name for our lead product candidates in the United States or any foreign jurisdiction. During trademark registration proceedings, we may receive rejections. Although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2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may not be able to protect our proprietary information and technology adequately. Although we use reasonable efforts to protect our proprietary information, technology, and know-how, our employees, consultants, contractors, outside scientific advisors, licensors or licensees may unintentionally or willfully disclose our information to competitors. Enforcing a claim that a third-party illegally obtained and is using any of our proprietary information, technology or know-how is expensive and time consuming, and the outcome is unpredictable. In addition, courts outside the United States are sometimes less willing to protect proprietary information, technology, and know-how. We rely, in part, on non-disclosure and confidentiality agreements with our employees, consultants and other parties to protect our proprietary information, technology, and know-how. These agreements may be breached and we may not have adequate remedies for any breach. Moreover, others may independently develop similar or equivalent proprietary information, and third parties may otherwise gain access to our proprietary knowledge.</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10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color w:val="auto"/>
        </w:rPr>
        <w:t>We have licensed or acquired certain intellectual property rights covering our current product candidates from third parties, including AstraZeneca and Hengrui. We are heavily dependent on our agreements with such third parties for our current product candidates. If, for any reason, one or more of our agreements with such third parties is terminated or we otherwise lose those rights, it could harm our business.</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license and other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or the patents of our licensors, which could be expensive and time-consuming.</w:t>
      </w:r>
    </w:p>
    <w:p>
      <w:pPr>
        <w:spacing w:after="0" w:line="94"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 infringement claims or inform and cooperate with our licensors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4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We may not be able, alone or with our licensors or potential partners, to prevent misappropriation of our proprietary rights, particularly in countries where the laws may not protect such rights as fully as in the United States.</w:t>
      </w:r>
    </w:p>
    <w:p>
      <w:pPr>
        <w:spacing w:after="0" w:line="13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0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product candidates.</w:t>
      </w:r>
    </w:p>
    <w:p>
      <w:pPr>
        <w:spacing w:after="0" w:line="10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Our commercial success depends in part on our and our licensors avoiding infringement and other violations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28"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Claims that we have misappropriated the confidential information or trade secrets of third parties could have a similar negative impact on our business.</w:t>
      </w:r>
    </w:p>
    <w:p>
      <w:pPr>
        <w:spacing w:after="0" w:line="13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 If securities analysts or investors perceive these results to be negative, it could adversely impact the price of our common shares. The occurrence of any of these events may harm our business, results of operation, financial condition or cash flows.</w:t>
      </w:r>
    </w:p>
    <w:p>
      <w:pPr>
        <w:spacing w:after="0" w:line="124"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4"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Even if we receive regulatory approval of our product candidates, we will be subject to extensive and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Any regulatory approvals or other marketing authorizations we obtain for our product candidates may be subject to limitations on the indicated uses for which the product may be marketed or the conditions of approval or marketing authorization, or contain requirements for potentially costly post-market testing and surveillance to monitor the safety and efficacy of the product candidate. The FDA may also require a REMS as a condition of approval of our drug product candidates, such as roflumilast cream, roflumilast foam, ARQ-252 and ARQ-255, which could include requirements for a medication guide, physician communication plans or additional ETASU, such as restricted distribution methods, patient registries and other risk minimization tools. In addition, if the FDA or a comparable foreign regulatory authority authorizes our product candidates for marketing,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43" w:lineRule="exact"/>
        <w:rPr>
          <w:sz w:val="20"/>
          <w:szCs w:val="20"/>
          <w:color w:val="auto"/>
        </w:rPr>
      </w:pPr>
    </w:p>
    <w:p>
      <w:pPr>
        <w:ind w:left="820" w:hanging="164"/>
        <w:spacing w:after="0" w:line="261"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57" w:lineRule="exact"/>
        <w:rPr>
          <w:rFonts w:ascii="Arial" w:cs="Arial" w:eastAsia="Arial" w:hAnsi="Arial"/>
          <w:sz w:val="18"/>
          <w:szCs w:val="18"/>
          <w:color w:val="auto"/>
        </w:rPr>
      </w:pPr>
    </w:p>
    <w:p>
      <w:pPr>
        <w:ind w:left="820" w:right="100" w:hanging="164"/>
        <w:spacing w:after="0" w:line="291" w:lineRule="auto"/>
        <w:tabs>
          <w:tab w:leader="none" w:pos="8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by the FDA to accept new marketing applications or supplements, approve or otherwise authorize for marketing pending applications or supplements to applications filed by us or suspension or revocation of approvals or other marketing authorizations;</w:t>
      </w:r>
    </w:p>
    <w:p>
      <w:pPr>
        <w:spacing w:after="0" w:line="106" w:lineRule="exact"/>
        <w:rPr>
          <w:rFonts w:ascii="Arial" w:cs="Arial" w:eastAsia="Arial" w:hAnsi="Arial"/>
          <w:sz w:val="17"/>
          <w:szCs w:val="17"/>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38"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addition, we cannot predict the likelihood, nature or extent of government regulation that may arise from future legislation or administrative or executive action, either in the United States or abroad. The policies of the FDA and of other regulatory authorities may change and additional governmental regulations may be enacted that could prevent, limit or delay regulatory approval of our product candidates. For example, certain policies of the new U.S. administration may impact our business and industry. Namely, the previous U.S.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or whether these executive actions, including the Executive Orders, will be implemented, or whether they will be rescinded or replaced by the new U.S. administration. Certain policies of U.S. presidential administrations may impact our business and industry, and changing presidential administrations may result in the issuance of Executive Orders that could impact our business, regulatory environment and industry. It is difficult to predict how such requirements, Executive Orders and policies will be implemented.</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1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2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3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product candidates, if authorized for marketing,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 candidates, or a recall of our products either voluntarily or at the direction of the FDA or another governmental authority, if such products are marketed, could have a negative impact on us.</w:t>
      </w:r>
    </w:p>
    <w:p>
      <w:pPr>
        <w:spacing w:after="0" w:line="13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With respect to any of our product candidates in clinical testing or approved by FDA, we will be subject to the FDA’s safety reporting requirements.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approval or delay in approval of future products.</w:t>
      </w:r>
    </w:p>
    <w:p>
      <w:pPr>
        <w:spacing w:after="0" w:line="13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may choose to voluntarily recall a product if any material deficiency is found. A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Recalls involving our product candidates, if and when they are approved or otherwise authorized for marketing, could be particularly harmful to our business, financial condition and results of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94"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customers and patients, may expose us to broadly applicable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36" w:lineRule="exact"/>
        <w:rPr>
          <w:sz w:val="20"/>
          <w:szCs w:val="20"/>
          <w:color w:val="auto"/>
        </w:rPr>
      </w:pPr>
    </w:p>
    <w:p>
      <w:pPr>
        <w:ind w:left="820" w:right="20" w:hanging="164"/>
        <w:spacing w:after="0" w:line="253"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w:t>
      </w:r>
    </w:p>
    <w:p>
      <w:pPr>
        <w:spacing w:after="0" w:line="137" w:lineRule="exact"/>
        <w:rPr>
          <w:rFonts w:ascii="Arial" w:cs="Arial" w:eastAsia="Arial" w:hAnsi="Arial"/>
          <w:sz w:val="18"/>
          <w:szCs w:val="18"/>
          <w:color w:val="auto"/>
        </w:rPr>
      </w:pPr>
    </w:p>
    <w:p>
      <w:pPr>
        <w:ind w:left="820" w:right="80" w:hanging="164"/>
        <w:spacing w:after="0" w:line="252"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w:t>
      </w:r>
    </w:p>
    <w:p>
      <w:pPr>
        <w:spacing w:after="0" w:line="125" w:lineRule="exact"/>
        <w:rPr>
          <w:rFonts w:ascii="Arial" w:cs="Arial" w:eastAsia="Arial" w:hAnsi="Arial"/>
          <w:sz w:val="18"/>
          <w:szCs w:val="18"/>
          <w:color w:val="auto"/>
        </w:rPr>
      </w:pPr>
    </w:p>
    <w:p>
      <w:pPr>
        <w:ind w:left="820" w:hanging="164"/>
        <w:spacing w:after="0" w:line="265" w:lineRule="auto"/>
        <w:tabs>
          <w:tab w:leader="none" w:pos="8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ind w:left="820" w:right="560"/>
        <w:spacing w:after="0" w:line="261" w:lineRule="auto"/>
        <w:rPr>
          <w:rFonts w:ascii="Arial" w:cs="Arial" w:eastAsia="Arial" w:hAnsi="Arial"/>
          <w:sz w:val="17"/>
          <w:szCs w:val="17"/>
          <w:color w:val="auto"/>
        </w:rPr>
      </w:pPr>
      <w:r>
        <w:rPr>
          <w:rFonts w:ascii="Arial" w:cs="Arial" w:eastAsia="Arial" w:hAnsi="Arial"/>
          <w:sz w:val="18"/>
          <w:szCs w:val="18"/>
          <w:color w:val="auto"/>
        </w:rPr>
        <w:t>Similar to the U.S. federal Anti-Kickback Statute, a person or entity does not need to have actual knowledge of the statute or specific intent to violate it in order to have committed a violation;</w:t>
      </w:r>
    </w:p>
    <w:p>
      <w:pPr>
        <w:spacing w:after="0" w:line="130" w:lineRule="exact"/>
        <w:rPr>
          <w:rFonts w:ascii="Arial" w:cs="Arial" w:eastAsia="Arial" w:hAnsi="Arial"/>
          <w:sz w:val="17"/>
          <w:szCs w:val="17"/>
          <w:color w:val="auto"/>
        </w:rPr>
      </w:pPr>
    </w:p>
    <w:p>
      <w:pPr>
        <w:ind w:left="820" w:hanging="164"/>
        <w:spacing w:after="0" w:line="269" w:lineRule="auto"/>
        <w:tabs>
          <w:tab w:leader="none" w:pos="8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the ownership and investment interests held by such physicians and their immediate family members. Beginning in 2022, manufacturers will also be required to report payments and other transfers of value provided to physician assistants, nurse practitioners, clinical nurse specialists, certified registered nurse anesthetists, anesthesiologist assistants and certified nurse midwives during the previous year;</w:t>
      </w:r>
    </w:p>
    <w:p>
      <w:pPr>
        <w:spacing w:after="0" w:line="126" w:lineRule="exact"/>
        <w:rPr>
          <w:rFonts w:ascii="Arial" w:cs="Arial" w:eastAsia="Arial" w:hAnsi="Arial"/>
          <w:sz w:val="17"/>
          <w:szCs w:val="17"/>
          <w:color w:val="auto"/>
        </w:rPr>
      </w:pPr>
    </w:p>
    <w:p>
      <w:pPr>
        <w:ind w:left="820" w:right="360" w:hanging="164"/>
        <w:spacing w:after="0" w:line="254"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22" w:lineRule="exact"/>
        <w:rPr>
          <w:rFonts w:ascii="Arial" w:cs="Arial" w:eastAsia="Arial" w:hAnsi="Arial"/>
          <w:sz w:val="18"/>
          <w:szCs w:val="18"/>
          <w:color w:val="auto"/>
        </w:rPr>
      </w:pPr>
    </w:p>
    <w:p>
      <w:pPr>
        <w:ind w:left="820" w:right="860" w:hanging="164"/>
        <w:spacing w:after="0" w:line="261"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hanging="164"/>
        <w:spacing w:after="0" w:line="269" w:lineRule="auto"/>
        <w:tabs>
          <w:tab w:leader="none" w:pos="8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and device companies to comply with the industry’s voluntary compliance guidelines and the relevant compliance guidance promulgated by the U.S. government, or otherwise restrict payments that may be made to healthcare providers and other potential referral sources; and state laws and regulations that require manufacturers to report information related to payments and other transfers of value to physicians and other healthcare providers or marketing expenditures and pricing information;</w:t>
      </w:r>
    </w:p>
    <w:p>
      <w:pPr>
        <w:spacing w:after="0" w:line="11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consulting arrangements with and/or ownership interests by physicians and other healthcare providers,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healthcare programs,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our product candidates outside the United States and the FDA and applicable foreign regulatory authorities may not accept data from such trials.</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have conducted and may in the future choose to conduct one or more of our clinical trials outside the United States, including in Canada and Europe. Although the FDA or applicable foreign regulatory authority may accept data from clinical trials conducted outside the United States or the applicable jurisdiction, acceptance of such study data by the FDA or applicable foreign regulatory authority may be subject to certain conditions.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foreign regulatory authorities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applicable foreign regulatory authority does not accept such data, it would likely result in the need for additional trials, which would be costly and time-consuming and delay aspects of our business plan.</w:t>
      </w:r>
    </w:p>
    <w:p>
      <w:pPr>
        <w:spacing w:after="0" w:line="10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0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the United States and some non-U.S.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36"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For example, in March 2010, the Patient Protection and ACA, as amended by the Health Care and Education Reconciliation Act, collectively the ACA, was enacted in the United States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law has continued the downward pressure on the pricing of medical items and services, especially under the Medicare program, and increased the industry’s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regulatory burdens and operating costs. Among the provisions of the ACA of importance to our potential product candidates are the following:</w:t>
      </w:r>
    </w:p>
    <w:p>
      <w:pPr>
        <w:spacing w:after="0" w:line="117" w:lineRule="exact"/>
        <w:rPr>
          <w:sz w:val="20"/>
          <w:szCs w:val="20"/>
          <w:color w:val="auto"/>
        </w:rPr>
      </w:pPr>
    </w:p>
    <w:p>
      <w:pPr>
        <w:ind w:left="820" w:right="4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57"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16" w:lineRule="exact"/>
        <w:rPr>
          <w:rFonts w:ascii="Arial" w:cs="Arial" w:eastAsia="Arial" w:hAnsi="Arial"/>
          <w:sz w:val="18"/>
          <w:szCs w:val="18"/>
          <w:color w:val="auto"/>
        </w:rPr>
      </w:pPr>
    </w:p>
    <w:p>
      <w:pPr>
        <w:ind w:left="820" w:right="200" w:hanging="164"/>
        <w:spacing w:after="0" w:line="256"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157" w:lineRule="exact"/>
        <w:rPr>
          <w:rFonts w:ascii="Arial" w:cs="Arial" w:eastAsia="Arial" w:hAnsi="Arial"/>
          <w:sz w:val="18"/>
          <w:szCs w:val="18"/>
          <w:color w:val="auto"/>
        </w:rPr>
      </w:pPr>
    </w:p>
    <w:p>
      <w:pPr>
        <w:ind w:left="820" w:right="94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16" w:lineRule="exact"/>
        <w:rPr>
          <w:rFonts w:ascii="Arial" w:cs="Arial" w:eastAsia="Arial" w:hAnsi="Arial"/>
          <w:sz w:val="18"/>
          <w:szCs w:val="18"/>
          <w:color w:val="auto"/>
        </w:rPr>
      </w:pPr>
    </w:p>
    <w:p>
      <w:pPr>
        <w:ind w:left="820" w:right="140" w:hanging="164"/>
        <w:spacing w:after="0" w:line="261"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independent payment advisory board that will submit recommendations to Congress to reduce Medicare spending if projected Medicare spending exceeds a specified growth rate.</w:t>
      </w:r>
    </w:p>
    <w:p>
      <w:pPr>
        <w:spacing w:after="0" w:line="13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By way of example, the Tax Cuts and Jobs Act of 2017, or TCJA, was enacted, which, among other things, removes penalties for not complying with the individual mandate to carry health insurance. On December 14, 2018, a U.S. District Court Judge in the Northern District of Texas (Texas District Court Judge) ruled that the individual mandate is a critical and inseverable feature of the ACA, and therefore, because it was repealed as part of the TCJA, the remaining provisions of the ACA are invalid as well.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unclear how the Supreme Court will rule. It is also unclear how other efforts to challenge, repeal or replace the ACA will impact the law or our business. It is also unclear how other efforts, if any, to challenge, repeal or replace the ACA will impact the ACA our business or financial condition.</w:t>
      </w:r>
    </w:p>
    <w:p>
      <w:pPr>
        <w:spacing w:after="0" w:line="144" w:lineRule="exact"/>
        <w:rPr>
          <w:sz w:val="20"/>
          <w:szCs w:val="20"/>
          <w:color w:val="auto"/>
        </w:rPr>
      </w:pPr>
    </w:p>
    <w:p>
      <w:pPr>
        <w:ind w:right="360" w:firstLine="648"/>
        <w:spacing w:after="0" w:line="250"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 the Budget Control Act of 2011, which, among other things, resulted in reductions to Medicare payments to providers of</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2% per fiscal year and will remain in effect through 2030, with the exception of a temporary suspension from May 1, 2020 through March 31, 2021; the American Taxpayer Relief Act of 2012, which, among other things, further reduced Medicare payments to several types of providers and increased the statute of limitations period for the government to recover overpayments to providers from three to five years; and the Medicare Access and CHIP Reauthorization Act of 2015, which, among other things, ended the use of the sustainable growth rate formula and provides for a 0.5% update to physician payment rates for each calendar year through 2019, after which there will be a 0% annual update each year through 2025.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to purchase and which suppliers will be included in their prescription drug and other healthcare programs.</w:t>
      </w:r>
    </w:p>
    <w:p>
      <w:pPr>
        <w:spacing w:after="0" w:line="12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are slow or unable to adapt to new requirements or policies, or if we are not able to maintain regulatory compliance, our product candidates be subject to enforcement action and we may not achieve or sustain profitability, which would adversely affect our business.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1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In addition, although we believe our product candidates may exhibit a lower risk of side effects or more favorable tolerability profile or better symptomatic improvement than other products for the indications we are studying, without head-to-head data, we will be unable to make comparative claims for our product candidates, if approved. If we receive regulatory approval for any of our products and are found to have promoted any of our products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12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cannot, however, prevent a physician from using our product candidates in ways that fall outside the scope of the approved indications, as he or she may deem appropriate in his or her medical judgment. Physicians may also misuse our product candidates or use improper techniques, which may lead to adverse results, side effects or injury and, potentially, subsequent product liability claims. Furthermore, the use of our product candidates for indications other than those approved by the FDA and/or other regulatory authorities may not effectively treat such conditions, which could harm our brand and reputation among both physicians and patients.</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 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15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JOBS Act and we have decided to avail ourselves of reduced disclosure requirements applicable to emerging growth companies, including delaying adopting new or revised accounting standards, which could make our common stock less attractive to investors.</w:t>
      </w:r>
    </w:p>
    <w:p>
      <w:pPr>
        <w:spacing w:after="0" w:line="11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qualify as an “emerging growth company” as defined in the JOBS Act, and we intend to take advantage of certain exemptions from various reporting requirements that are applicable to other public companies that are not “emerging growth companies” including certain reduced financial statement reporting obligations, reduced disclosure obligations about our executive compensation arrangements, exemptions from the requirement that we solicit non-binding advisory votes on executive compensation or golden parachute arrangements and exemption from the auditor’s attestation requirements of Section 404(b) of the Sarbanes-Oxley Act. We may take advantage of these reporting exemptions until we are no longer an “emerging growth company.” We will remain an emerging growth company until the last day of our fiscal year following the fifth anniversary of the completion of the IPO. However, if certain events occur prior to the end of such five year period, including if we become a “large accelerated filer,” our annual gross revenues exceed $1.07 billion or we issue more than $1.0 billion of non-convertible debt in any three year period, we will cease to be an emerging growth company prior to the end of such five year period.</w:t>
      </w:r>
    </w:p>
    <w:p>
      <w:pPr>
        <w:spacing w:after="0" w:line="128"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“emerging growth company” or affirmatively and irrevocably opt out of the exemption provided by Section 7(a)(2)(B) of the Securities Act of 1933, as amended, or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0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w:t>
      </w:r>
    </w:p>
    <w:p>
      <w:pPr>
        <w:spacing w:after="0" w:line="12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Until such time, if ever, that we can generate substantial product revenue, we expect to finance our cash needs through a combination of equity offerings, debt financings,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13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2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May 6, 2021, we entered into a sales agreement, or Sales Agreement, with Cowen and Company, LLC, or Cowen, to sell shares of our common stock, from time to time, with aggregate gross sales proceeds of up to $100,000,000, through an at-the-market equity offering program under which Cowen will act as our sales agent. During the three months ended March 31, 2021, we did not issue or sell any shares of our common stock through our ATM Offering Program. If we issue common stock or securities convertible into common stock, our common stockholders would experience additional dilution and, as a result, our stock price may decline.</w:t>
      </w:r>
    </w:p>
    <w:p>
      <w:pPr>
        <w:spacing w:after="0" w:line="1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07"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As of March 31, 2021, our executive officers, directors and their respective affiliates beneficially owned approximately 47% of our voting stock. Therefore, these stockholders will have the ability to influence us through this ownership position, including the ability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approximately 25.8 million shares of our common stock (including 1.4 million shares issued and sold pursuant to the private placement of shares in connection with our follow-on financing)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3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income tax credit carryforwards may be limited.</w:t>
      </w:r>
    </w:p>
    <w:p>
      <w:pPr>
        <w:spacing w:after="0" w:line="10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We have net operating loss (NOL) carryforwards available to reduce future taxable income, if any, for federal, California and other state income tax purposes. If not utilized, state NOL carryforwards will expire beginning in 2030. A small amount of our federal NOL that was originated before the 2018 tax year will expire beginning in 2036. Under the Tax Act and Jobs Act of 2017, the remaining amount of our federal NOL carryforwards generated after December 31, 2017 will carryforward indefinitely. Under Section 382 and 383 of the Internal Revenue Code of 1986, as amended, if a corporation undergoes an “ownership change,” generally defined as a greater than 50% change (by value) in its equity ownership by certain stockholders over a three year period, the corporation’s ability to use its pre-change NOL carryforwards and other pre-change tax attributes (such as research tax credits) to offset its post-change income or taxes may be limited. A formal study has not been completed to determine if a change in ownership, as defined by Section 382, has occurred. We believe that we may undergo an “ownership change” limitation as a result of our IPO (some of which shifts are outside of our control). We may also experience additional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2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12"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changes in control or changes in our management without the consent of our board of directors. These provisions include the following:</w:t>
      </w:r>
    </w:p>
    <w:p>
      <w:pPr>
        <w:spacing w:after="0" w:line="130" w:lineRule="exact"/>
        <w:rPr>
          <w:sz w:val="20"/>
          <w:szCs w:val="20"/>
          <w:color w:val="auto"/>
        </w:rPr>
      </w:pPr>
    </w:p>
    <w:p>
      <w:pPr>
        <w:ind w:left="820" w:right="84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with three year staggered terms, which may delay the ability of stockholders to change the membership of a majority of our board of directors;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ind w:left="820" w:right="80" w:hanging="164"/>
        <w:spacing w:after="0" w:line="256"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34" w:lineRule="exact"/>
        <w:rPr>
          <w:rFonts w:ascii="Arial" w:cs="Arial" w:eastAsia="Arial" w:hAnsi="Arial"/>
          <w:sz w:val="18"/>
          <w:szCs w:val="18"/>
          <w:color w:val="auto"/>
        </w:rPr>
      </w:pPr>
    </w:p>
    <w:p>
      <w:pPr>
        <w:ind w:left="820" w:right="200" w:hanging="164"/>
        <w:spacing w:after="0" w:line="256"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4" w:lineRule="exact"/>
        <w:rPr>
          <w:rFonts w:ascii="Arial" w:cs="Arial" w:eastAsia="Arial" w:hAnsi="Arial"/>
          <w:sz w:val="18"/>
          <w:szCs w:val="18"/>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44" w:lineRule="exact"/>
        <w:rPr>
          <w:rFonts w:ascii="Arial" w:cs="Arial" w:eastAsia="Arial" w:hAnsi="Arial"/>
          <w:sz w:val="18"/>
          <w:szCs w:val="18"/>
          <w:color w:val="auto"/>
        </w:rPr>
      </w:pPr>
    </w:p>
    <w:p>
      <w:pPr>
        <w:ind w:left="820" w:right="38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required approval of a super-majority of the shares entitled to vote at an election of directors to adopt, amend or repeal our bylaws or repeal the provisions of our restated certificate of incorporation regarding the election and removal of directors;</w:t>
      </w:r>
    </w:p>
    <w:p>
      <w:pPr>
        <w:spacing w:after="0" w:line="130" w:lineRule="exact"/>
        <w:rPr>
          <w:rFonts w:ascii="Arial" w:cs="Arial" w:eastAsia="Arial" w:hAnsi="Arial"/>
          <w:sz w:val="18"/>
          <w:szCs w:val="18"/>
          <w:color w:val="auto"/>
        </w:rPr>
      </w:pPr>
    </w:p>
    <w:p>
      <w:pPr>
        <w:ind w:left="820" w:right="80" w:hanging="164"/>
        <w:spacing w:after="0" w:line="261"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30" w:lineRule="exact"/>
        <w:rPr>
          <w:rFonts w:ascii="Arial" w:cs="Arial" w:eastAsia="Arial" w:hAnsi="Arial"/>
          <w:sz w:val="18"/>
          <w:szCs w:val="18"/>
          <w:color w:val="auto"/>
        </w:rPr>
      </w:pPr>
    </w:p>
    <w:p>
      <w:pPr>
        <w:ind w:left="820" w:right="200" w:hanging="164"/>
        <w:spacing w:after="0" w:line="256"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chief executive officer or the president or the board of directors, which may delay the ability of our stockholders to force consideration of a proposal or to take action, including the removal of directors; and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right="140" w:hanging="164"/>
        <w:spacing w:after="0" w:line="256" w:lineRule="auto"/>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5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We are also subject to the anti -takeover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1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4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1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94"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General Risk Factors</w:t>
      </w:r>
    </w:p>
    <w:p>
      <w:pPr>
        <w:spacing w:after="0" w:line="144"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0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A global financial crisis or a global or regional political disruption could cause extreme volatility in the capital and credit markets. For example, outbreaks of epidemic, pandemic, or contagious diseases, such as the recent COVID-19 outbreak, could disrupt our business. Business disruptions could include disruptions to the enrollment, clinical site availability, patient accessibility and conduct of our clinical trials, as well as temporary closures of the facilities of suppliers or contract manufacturers in the biotechnology supply chain. In addition, the COVID-19 outbreak may result in a severe economic downturn and has already significantly affected the financial markets of many countries. A severe or prolonged economic downturn or political disruption could result in a variety of risks to our business, including our ability to raise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 price of our common stock may be volatile or may decline.</w:t>
      </w:r>
    </w:p>
    <w:p>
      <w:pPr>
        <w:spacing w:after="0" w:line="166"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35" w:lineRule="exact"/>
        <w:rPr>
          <w:sz w:val="20"/>
          <w:szCs w:val="20"/>
          <w:color w:val="auto"/>
        </w:rPr>
      </w:pPr>
    </w:p>
    <w:p>
      <w:pPr>
        <w:ind w:left="820" w:hanging="164"/>
        <w:spacing w:after="0"/>
        <w:tabs>
          <w:tab w:leader="none" w:pos="820" w:val="left"/>
        </w:tabs>
        <w:numPr>
          <w:ilvl w:val="0"/>
          <w:numId w:val="39"/>
        </w:numPr>
        <w:rPr>
          <w:rFonts w:ascii="Arial" w:cs="Arial" w:eastAsia="Arial" w:hAnsi="Arial"/>
          <w:sz w:val="22"/>
          <w:szCs w:val="22"/>
          <w:color w:val="auto"/>
        </w:rPr>
      </w:pPr>
      <w:r>
        <w:rPr>
          <w:rFonts w:ascii="Arial" w:cs="Arial" w:eastAsia="Arial" w:hAnsi="Arial"/>
          <w:sz w:val="18"/>
          <w:szCs w:val="18"/>
          <w:color w:val="auto"/>
        </w:rPr>
        <w:t>limited daily trading volume resulting in the lack of a liquid market;</w:t>
      </w:r>
    </w:p>
    <w:p>
      <w:pPr>
        <w:spacing w:after="0" w:line="147" w:lineRule="exact"/>
        <w:rPr>
          <w:rFonts w:ascii="Arial" w:cs="Arial" w:eastAsia="Arial" w:hAnsi="Arial"/>
          <w:sz w:val="22"/>
          <w:szCs w:val="22"/>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whether any of our product candidates receive regulatory approval;</w:t>
      </w:r>
    </w:p>
    <w:p>
      <w:pPr>
        <w:spacing w:after="0" w:line="144" w:lineRule="exact"/>
        <w:rPr>
          <w:rFonts w:ascii="Arial" w:cs="Arial" w:eastAsia="Arial" w:hAnsi="Arial"/>
          <w:sz w:val="18"/>
          <w:szCs w:val="18"/>
          <w:color w:val="auto"/>
        </w:rPr>
      </w:pPr>
    </w:p>
    <w:p>
      <w:pPr>
        <w:ind w:left="820" w:right="12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performance of third parties on whom we rely for clinical trials, manufacturing, marketing, sales and distribution, including their ability to comply with regulatory requirements;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legal or political developments in the United States and foreign countries;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results of our competitors or potential competitors;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execution of our partnering and manufacturing arrangements;</w:t>
      </w:r>
    </w:p>
    <w:p>
      <w:pPr>
        <w:spacing w:after="0" w:line="157" w:lineRule="exact"/>
        <w:rPr>
          <w:rFonts w:ascii="Arial" w:cs="Arial" w:eastAsia="Arial" w:hAnsi="Arial"/>
          <w:sz w:val="18"/>
          <w:szCs w:val="18"/>
          <w:color w:val="auto"/>
        </w:rPr>
      </w:pPr>
    </w:p>
    <w:p>
      <w:pPr>
        <w:ind w:left="820" w:right="4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execution of collaboration, co-promotion, licensing or other arrangements, and the timing of payments we may make or receive under these arrangements;</w:t>
      </w:r>
    </w:p>
    <w:p>
      <w:pPr>
        <w:spacing w:after="0" w:line="116" w:lineRule="exact"/>
        <w:rPr>
          <w:rFonts w:ascii="Arial" w:cs="Arial" w:eastAsia="Arial" w:hAnsi="Arial"/>
          <w:sz w:val="18"/>
          <w:szCs w:val="18"/>
          <w:color w:val="auto"/>
        </w:rPr>
      </w:pPr>
    </w:p>
    <w:p>
      <w:pPr>
        <w:ind w:left="820" w:right="26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preclinical and clinical development programs, including relating to the timing of invoices from, and other billing practices of, our CROs and clinical trial sites;</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commercialization activities, if any product candidates are approved;</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and fluctuations in, the commercial sales any product candidates approved for commercialization in the future;</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pharmaceutical companies;</w:t>
      </w:r>
    </w:p>
    <w:p>
      <w:pPr>
        <w:spacing w:after="0" w:line="144"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 including as a result of market volatility related to global health concerns and, in particular, the extreme volatility experienced during the ongoing COVID-19 pandemic;</w:t>
      </w:r>
    </w:p>
    <w:p>
      <w:pPr>
        <w:spacing w:after="0" w:line="130" w:lineRule="exact"/>
        <w:rPr>
          <w:rFonts w:ascii="Arial" w:cs="Arial" w:eastAsia="Arial" w:hAnsi="Arial"/>
          <w:sz w:val="18"/>
          <w:szCs w:val="18"/>
          <w:color w:val="auto"/>
        </w:rPr>
      </w:pPr>
    </w:p>
    <w:p>
      <w:pPr>
        <w:ind w:left="820" w:right="340" w:hanging="164"/>
        <w:spacing w:after="0" w:line="256"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acquisitions, strategic transactions, licenses, joint ventures, capital commitments, intellectual property, litigation or other disputes impacting us or our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or foreign regulatory actions affecting us or our industry;</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57" w:lineRule="exact"/>
        <w:rPr>
          <w:rFonts w:ascii="Arial" w:cs="Arial" w:eastAsia="Arial" w:hAnsi="Arial"/>
          <w:sz w:val="18"/>
          <w:szCs w:val="18"/>
          <w:color w:val="auto"/>
        </w:rPr>
      </w:pPr>
    </w:p>
    <w:p>
      <w:pPr>
        <w:ind w:left="820" w:right="360" w:hanging="164"/>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financial estimates by any securities analysts who follow our common stock, our failure to meet these estimates or failure of those analysts to initiate or maintain coverage of our common stock;</w:t>
      </w:r>
    </w:p>
    <w:p>
      <w:pPr>
        <w:spacing w:after="0" w:line="130"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ratings downgrades by any securities analysts who follow our common stock;</w:t>
      </w:r>
    </w:p>
    <w:p>
      <w:pPr>
        <w:spacing w:after="0" w:line="144"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of our market float;</w:t>
      </w:r>
    </w:p>
    <w:p>
      <w:pPr>
        <w:spacing w:after="0" w:line="157" w:lineRule="exact"/>
        <w:rPr>
          <w:rFonts w:ascii="Arial" w:cs="Arial" w:eastAsia="Arial" w:hAnsi="Arial"/>
          <w:sz w:val="18"/>
          <w:szCs w:val="18"/>
          <w:color w:val="auto"/>
        </w:rPr>
      </w:pPr>
    </w:p>
    <w:p>
      <w:pPr>
        <w:ind w:left="820" w:hanging="164"/>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future sales of our common stock by our officers, directors and significant stockholders;</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57"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57" w:lineRule="exact"/>
        <w:rPr>
          <w:rFonts w:ascii="Arial" w:cs="Arial" w:eastAsia="Arial" w:hAnsi="Arial"/>
          <w:sz w:val="18"/>
          <w:szCs w:val="18"/>
          <w:color w:val="auto"/>
        </w:rPr>
      </w:pPr>
    </w:p>
    <w:p>
      <w:pPr>
        <w:ind w:left="820" w:right="180" w:hanging="164"/>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natural disasters or responses to these events; and</w:t>
      </w:r>
    </w:p>
    <w:p>
      <w:pPr>
        <w:spacing w:after="0" w:line="116" w:lineRule="exact"/>
        <w:rPr>
          <w:rFonts w:ascii="Arial" w:cs="Arial" w:eastAsia="Arial" w:hAnsi="Arial"/>
          <w:sz w:val="18"/>
          <w:szCs w:val="18"/>
          <w:color w:val="auto"/>
        </w:rPr>
      </w:pPr>
    </w:p>
    <w:p>
      <w:pPr>
        <w:ind w:left="820" w:hanging="1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factors discussed in this Annual Report on Form 10-K.</w:t>
      </w:r>
    </w:p>
    <w:p>
      <w:pPr>
        <w:spacing w:after="0" w:line="15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pharmaceutical companies. Due to the COVID-19 outbreak, there has been significant stock market exchange volatility, including temporary trading halts. Stock prices of many 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9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only recently completed our IPO and just recently obtained research coverage by securities and industry analysts. If only a limited number of securities or industry analysts commence coverage of us or the few analysts that have initiated coverage, drop coverage, the trading price for our stock would be negatively impacted.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9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Todd Franklin Watanabe, our Chief Technical Officer, David W. Osborne, Ph.D, and our Chief Medical Officer, Patrick Burnett, M.D., Ph.D. The loss of the services of any of these individuals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3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13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might not be able to attract or retain qualified management and other key personnel in the future due to the intense competition for qualified personnel among biotechnology, pharmaceutical and other businesses, particularly in the Northern Los Angeles Area where we are headquartered.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1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corporate headquarters and other facilities are located in the Northern Los Angeles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2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a natural disaster, power outage or other event occurred, including an epidemic, pandemic or contagious disease outbreak such as COVID-19 that disrupted operations, we may experience difficulties in operating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Furthermore, our third-party manufacturers or suppliers are similarly vulnerable to natural disasters or other sudden, unforeseen and severe adverse events. If such an event were to affect our supply chain, it could have a material adverse effect on our business.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litigation could have a material adverse effect on our business and results of operations.</w:t>
      </w:r>
    </w:p>
    <w:p>
      <w:pPr>
        <w:spacing w:after="0" w:line="16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Lawsuits and other administrative or legal proceedings, including intellectual property litigation or other legal proceedings relating to intellectual property claims, that may arise in the course of our operations can involve substantial costs, including the costs associated with investigation, litigation and possible settlement, judgment, penalty or fine. In addition, lawsuits and other legal proceedings may be time-consuming to defend or prosecute and may require a commitment of management and personnel resources that will be diverted from our normal business operations. Although we generally maintain insurance to mitigate certain costs, there can be no assurance that costs associated with lawsuits or other legal proceedings will not exceed the limits of insurance policies. Moreover, we may be unable to continue to maintain our existing insurance at a reasonable cost, if at all, or to secure additional coverage, which may result in costs associated with lawsuits and other legal proceedings being uninsured. Our business, financial condition and results of operations could be adversely affected if a judgment, settlement penalty or fine is not fully covered by insurance.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related prospectus dated January 30, 2020, filed with the SEC pursuant to Rule 424(b)(4) under the Securities Act of 1933, as amended.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Effective on February 8, 2021, we entered into an Exclusive Distribution Agreement (the “Distribution Agreement”) with Cardinal Health 105, Inc. (“Cardinal Health”) pursuant to which Cardinal Health will act as our exclusive third-party logistics distribution agent for commercial sales of pharmaceutical products that we manufacture or market. Under the Distribution Agreement, we have agreed to pay to Cardinal Health certain one-time and periodic fees for, among other things, supply, storage and warehousing operations, customer service and account management fees in connection with the exclusive distribution arrangement. The initial term of the Distribution Agreement is three years following the first shipment of an FDA approved product and shall automatically renew for additional one year terms unless written notice of termination is given by either party at least terminated by either party with 90 days’ notice prior to the end of the then current term. We may also terminate the Distribution Agreement during the initial three year term upon 180 days’ notice, provided that we pay a termination fee equal to a percentage of the remaining fees under the Distribution Agreement determined by the timing of such termination. The Distribution Agreement also contains customary representations and warranties, covenants, confidentiality provisions, and indemnification and limitations of liability provisions in favor of either party.</w:t>
      </w:r>
    </w:p>
    <w:p>
      <w:pPr>
        <w:spacing w:after="0" w:line="14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On May 6, 2021, we entered into a sales agreement ("Sales Agreement") with Cowen and Company, LLC ("Cowen"), under which we may from time to time issue and sell shares of its common stock through at-the-market ("ATM") offerings for an aggregate offering price of up to $100.0 million. Cowen will act as our sales agent for the ATM program. The issuance and sale of shares of common stock by us pursuant to the Sales Agreement are deemed an “at-the-market” offering under the Securities Act of 1933, as amended. Cowen is entitled to compensation for its services equal to 3% of the gross proceeds of any shares of common stock sold through Cowen under the Sales Agreement. The ATM program has been registered under the Securities Act pursuant to the Company's shelf registration statement on Form S-3, as amended (Registration No. 333-252612), as supplemented by the Prospectus Supplement dated May 6, 2021 relating to the sale of shares of our common stock. The foregoing description of the Sales Agreement is not complete and is qualified in its entirety by reference to the full text of such agreement, a copy of which was filed hereto as Exhibit 10.3 and is incorporated by reference herein. A copy of the opinion of Latham &amp; Watkins LLP relating to the validity of the securities to be issued pursuant to the Sales Agreement is filed hereto as Exhibit 5.1.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Description of Document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Incorporated by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2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6"/>
        </w:trPr>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0" w:type="dxa"/>
            <w:vAlign w:val="bottom"/>
            <w:gridSpan w:val="5"/>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Reference Form</w:t>
            </w:r>
          </w:p>
        </w:tc>
        <w:tc>
          <w:tcPr>
            <w:tcW w:w="9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80" w:type="dxa"/>
            <w:vAlign w:val="bottom"/>
            <w:tcBorders>
              <w:top w:val="single" w:sz="8" w:color="auto"/>
            </w:tcBorders>
            <w:gridSpan w:val="6"/>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Restated Certificate of Incorporation.</w:t>
              </w:r>
            </w:hyperlink>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10-Q</w:t>
            </w:r>
          </w:p>
        </w:tc>
        <w:tc>
          <w:tcPr>
            <w:tcW w:w="9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5/12/20</w:t>
            </w:r>
          </w:p>
        </w:tc>
        <w:tc>
          <w:tcPr>
            <w:tcW w:w="8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3.1</w:t>
            </w:r>
          </w:p>
        </w:tc>
        <w:tc>
          <w:tcPr>
            <w:tcW w:w="12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Borders>
              <w:top w:val="single" w:sz="8" w:color="0000FF"/>
            </w:tcBorders>
            <w:gridSpan w:val="3"/>
          </w:tcPr>
          <w:p>
            <w:pPr>
              <w:spacing w:after="0"/>
              <w:rPr>
                <w:rFonts w:ascii="Arial" w:cs="Arial" w:eastAsia="Arial" w:hAnsi="Arial"/>
                <w:sz w:val="18"/>
                <w:szCs w:val="18"/>
                <w:color w:val="0000FF"/>
              </w:rPr>
            </w:pPr>
            <w:hyperlink r:id="rId98">
              <w:r>
                <w:rPr>
                  <w:rFonts w:ascii="Arial" w:cs="Arial" w:eastAsia="Arial" w:hAnsi="Arial"/>
                  <w:sz w:val="18"/>
                  <w:szCs w:val="18"/>
                  <w:color w:val="0000FF"/>
                </w:rPr>
                <w:t>Restated Bylaws.</w:t>
              </w:r>
            </w:hyperlink>
          </w:p>
        </w:tc>
        <w:tc>
          <w:tcPr>
            <w:tcW w:w="2660" w:type="dxa"/>
            <w:vAlign w:val="bottom"/>
            <w:gridSpan w:val="3"/>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5/12/20</w:t>
            </w:r>
          </w:p>
        </w:tc>
        <w:tc>
          <w:tcPr>
            <w:tcW w:w="860" w:type="dxa"/>
            <w:vAlign w:val="bottom"/>
          </w:tcPr>
          <w:p>
            <w:pPr>
              <w:jc w:val="center"/>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6"/>
          </w:tcPr>
          <w:p>
            <w:pPr>
              <w:spacing w:after="0"/>
              <w:rPr>
                <w:rFonts w:ascii="Arial" w:cs="Arial" w:eastAsia="Arial" w:hAnsi="Arial"/>
                <w:sz w:val="18"/>
                <w:szCs w:val="18"/>
                <w:color w:val="0000FF"/>
              </w:rPr>
            </w:pPr>
            <w:hyperlink r:id="rId99">
              <w:r>
                <w:rPr>
                  <w:rFonts w:ascii="Arial" w:cs="Arial" w:eastAsia="Arial" w:hAnsi="Arial"/>
                  <w:sz w:val="18"/>
                  <w:szCs w:val="18"/>
                  <w:color w:val="0000FF"/>
                </w:rPr>
                <w:t>Form of Common Stock Certificate.</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860" w:type="dxa"/>
            <w:vAlign w:val="bottom"/>
          </w:tcPr>
          <w:p>
            <w:pPr>
              <w:jc w:val="center"/>
              <w:spacing w:after="0"/>
              <w:rPr>
                <w:sz w:val="20"/>
                <w:szCs w:val="20"/>
                <w:color w:val="auto"/>
              </w:rPr>
            </w:pPr>
            <w:r>
              <w:rPr>
                <w:rFonts w:ascii="Arial" w:cs="Arial" w:eastAsia="Arial" w:hAnsi="Arial"/>
                <w:sz w:val="18"/>
                <w:szCs w:val="18"/>
                <w:color w:val="auto"/>
              </w:rPr>
              <w:t>4.1</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5580" w:type="dxa"/>
            <w:vAlign w:val="bottom"/>
            <w:gridSpan w:val="6"/>
          </w:tcPr>
          <w:p>
            <w:pPr>
              <w:spacing w:after="0"/>
              <w:rPr>
                <w:rFonts w:ascii="Arial" w:cs="Arial" w:eastAsia="Arial" w:hAnsi="Arial"/>
                <w:sz w:val="18"/>
                <w:szCs w:val="18"/>
                <w:color w:val="0000FF"/>
              </w:rPr>
            </w:pPr>
            <w:hyperlink r:id="rId100">
              <w:r>
                <w:rPr>
                  <w:rFonts w:ascii="Arial" w:cs="Arial" w:eastAsia="Arial" w:hAnsi="Arial"/>
                  <w:sz w:val="18"/>
                  <w:szCs w:val="18"/>
                  <w:color w:val="0000FF"/>
                </w:rPr>
                <w:t>Amended and Restated Investors’ Rights Agreement, dated October</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1/21/20</w:t>
            </w:r>
          </w:p>
        </w:tc>
        <w:tc>
          <w:tcPr>
            <w:tcW w:w="860" w:type="dxa"/>
            <w:vAlign w:val="bottom"/>
          </w:tcPr>
          <w:p>
            <w:pPr>
              <w:jc w:val="center"/>
              <w:spacing w:after="0"/>
              <w:rPr>
                <w:sz w:val="20"/>
                <w:szCs w:val="20"/>
                <w:color w:val="auto"/>
              </w:rPr>
            </w:pPr>
            <w:r>
              <w:rPr>
                <w:rFonts w:ascii="Arial" w:cs="Arial" w:eastAsia="Arial" w:hAnsi="Arial"/>
                <w:sz w:val="18"/>
                <w:szCs w:val="18"/>
                <w:color w:val="auto"/>
              </w:rPr>
              <w:t>4.2</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100">
              <w:r>
                <w:rPr>
                  <w:rFonts w:ascii="Arial" w:cs="Arial" w:eastAsia="Arial" w:hAnsi="Arial"/>
                  <w:sz w:val="18"/>
                  <w:szCs w:val="18"/>
                  <w:color w:val="0000FF"/>
                  <w:w w:val="98"/>
                </w:rPr>
                <w:t>8, 2019, by and among the Registrant and certain of its stockholders.</w:t>
              </w:r>
            </w:hyperlink>
          </w:p>
        </w:tc>
        <w:tc>
          <w:tcPr>
            <w:tcW w:w="4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gridSpan w:val="5"/>
          </w:tcPr>
          <w:p>
            <w:pPr>
              <w:jc w:val="right"/>
              <w:ind w:right="9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5880" w:type="dxa"/>
            <w:vAlign w:val="bottom"/>
            <w:gridSpan w:val="17"/>
          </w:tcPr>
          <w:p>
            <w:pPr>
              <w:spacing w:after="0"/>
              <w:rPr>
                <w:rFonts w:ascii="Arial" w:cs="Arial" w:eastAsia="Arial" w:hAnsi="Arial"/>
                <w:sz w:val="18"/>
                <w:szCs w:val="18"/>
                <w:color w:val="0000FF"/>
              </w:rPr>
            </w:pPr>
            <w:hyperlink r:id="rId103">
              <w:r>
                <w:rPr>
                  <w:rFonts w:ascii="Arial" w:cs="Arial" w:eastAsia="Arial" w:hAnsi="Arial"/>
                  <w:sz w:val="18"/>
                  <w:szCs w:val="18"/>
                  <w:color w:val="0000FF"/>
                </w:rPr>
                <w:t>Description of Arcutis Biotherapeutics’ Securities Registered Pursuant</w:t>
              </w:r>
            </w:hyperlink>
          </w:p>
        </w:tc>
        <w:tc>
          <w:tcPr>
            <w:tcW w:w="1000" w:type="dxa"/>
            <w:vAlign w:val="bottom"/>
          </w:tcPr>
          <w:p>
            <w:pPr>
              <w:ind w:left="280"/>
              <w:spacing w:after="0"/>
              <w:rPr>
                <w:sz w:val="20"/>
                <w:szCs w:val="20"/>
                <w:color w:val="auto"/>
              </w:rPr>
            </w:pPr>
            <w:r>
              <w:rPr>
                <w:rFonts w:ascii="Arial" w:cs="Arial" w:eastAsia="Arial" w:hAnsi="Arial"/>
                <w:sz w:val="18"/>
                <w:szCs w:val="18"/>
                <w:color w:val="auto"/>
              </w:rPr>
              <w:t>10-K</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3/19/20</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to Section 12 of the Securities Exchange Act of 1934.</w:t>
              </w:r>
            </w:hyperlink>
          </w:p>
        </w:tc>
        <w:tc>
          <w:tcPr>
            <w:tcW w:w="132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5.1</w:t>
            </w:r>
          </w:p>
        </w:tc>
        <w:tc>
          <w:tcPr>
            <w:tcW w:w="5880" w:type="dxa"/>
            <w:vAlign w:val="bottom"/>
            <w:gridSpan w:val="17"/>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Opinion of Latham &amp; Watkins LLP</w:t>
              </w:r>
            </w:hyperlink>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5880" w:type="dxa"/>
            <w:vAlign w:val="bottom"/>
            <w:gridSpan w:val="17"/>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Exclusive Distribution Agreement, dated February 8, 2021, by and</w:t>
              </w:r>
            </w:hyperlink>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89">
              <w:r>
                <w:rPr>
                  <w:rFonts w:ascii="Arial" w:cs="Arial" w:eastAsia="Arial" w:hAnsi="Arial"/>
                  <w:sz w:val="18"/>
                  <w:szCs w:val="18"/>
                  <w:color w:val="0000FF"/>
                  <w:w w:val="99"/>
                </w:rPr>
                <w:t>between the Registrant and Cardinal Health 105, Inc.</w:t>
              </w:r>
            </w:hyperlink>
          </w:p>
        </w:tc>
        <w:tc>
          <w:tcPr>
            <w:tcW w:w="1020" w:type="dxa"/>
            <w:vAlign w:val="bottom"/>
            <w:tcBorders>
              <w:top w:val="single" w:sz="8" w:color="0000FF"/>
            </w:tcBorders>
            <w:gridSpan w:val="5"/>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w:t>
            </w:r>
          </w:p>
        </w:tc>
        <w:tc>
          <w:tcPr>
            <w:tcW w:w="5880" w:type="dxa"/>
            <w:vAlign w:val="bottom"/>
            <w:gridSpan w:val="17"/>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Severance &amp; Change in Control Agreement, by and between the</w:t>
              </w:r>
            </w:hyperlink>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07">
              <w:r>
                <w:rPr>
                  <w:rFonts w:ascii="Arial" w:cs="Arial" w:eastAsia="Arial" w:hAnsi="Arial"/>
                  <w:sz w:val="18"/>
                  <w:szCs w:val="18"/>
                  <w:color w:val="0000FF"/>
                </w:rPr>
                <w:t>Registrant and Scott L. Burrows</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10.3</w:t>
            </w:r>
          </w:p>
        </w:tc>
        <w:tc>
          <w:tcPr>
            <w:tcW w:w="5880" w:type="dxa"/>
            <w:vAlign w:val="bottom"/>
            <w:gridSpan w:val="17"/>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Sales Agreement, dated May 6, 2021, by and between the Registrant</w:t>
              </w:r>
            </w:hyperlink>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5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16">
              <w:r>
                <w:rPr>
                  <w:rFonts w:ascii="Arial" w:cs="Arial" w:eastAsia="Arial" w:hAnsi="Arial"/>
                  <w:sz w:val="18"/>
                  <w:szCs w:val="18"/>
                  <w:color w:val="0000FF"/>
                </w:rPr>
                <w:t>and Cowen and Company, LLC</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color w:val="auto"/>
              </w:rPr>
              <w:t>23.1</w:t>
            </w:r>
          </w:p>
        </w:tc>
        <w:tc>
          <w:tcPr>
            <w:tcW w:w="250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vMerge w:val="continue"/>
          </w:tcPr>
          <w:p>
            <w:pPr>
              <w:spacing w:after="0"/>
              <w:rPr>
                <w:sz w:val="22"/>
                <w:szCs w:val="22"/>
                <w:color w:val="auto"/>
              </w:rPr>
            </w:pPr>
          </w:p>
        </w:tc>
        <w:tc>
          <w:tcPr>
            <w:tcW w:w="5880" w:type="dxa"/>
            <w:vAlign w:val="bottom"/>
            <w:gridSpan w:val="17"/>
          </w:tcPr>
          <w:p>
            <w:pPr>
              <w:spacing w:after="0"/>
              <w:rPr>
                <w:sz w:val="20"/>
                <w:szCs w:val="20"/>
                <w:color w:val="auto"/>
              </w:rPr>
            </w:pPr>
            <w:r>
              <w:rPr>
                <w:rFonts w:ascii="Arial" w:cs="Arial" w:eastAsia="Arial" w:hAnsi="Arial"/>
                <w:sz w:val="18"/>
                <w:szCs w:val="18"/>
                <w:color w:val="auto"/>
              </w:rPr>
              <w:t>Consent of Latham &amp; Watkins LLP (included in Exhibit 5.1)</w:t>
            </w:r>
          </w:p>
        </w:tc>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562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155">
              <w:r>
                <w:rPr>
                  <w:rFonts w:ascii="Arial" w:cs="Arial" w:eastAsia="Arial" w:hAnsi="Arial"/>
                  <w:sz w:val="18"/>
                  <w:szCs w:val="18"/>
                  <w:color w:val="0000FF"/>
                  <w:w w:val="99"/>
                </w:rPr>
                <w:t>Certification of Principal Executive Officer Pursuant to Rules 13a-14(a)</w:t>
              </w:r>
            </w:hyperlink>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2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155">
              <w:r>
                <w:rPr>
                  <w:rFonts w:ascii="Arial" w:cs="Arial" w:eastAsia="Arial" w:hAnsi="Arial"/>
                  <w:sz w:val="18"/>
                  <w:szCs w:val="18"/>
                  <w:color w:val="0000FF"/>
                  <w:w w:val="99"/>
                </w:rPr>
                <w:t>and 15d-14(a) under the Securities and Exchange Act of 1934, as</w:t>
              </w:r>
            </w:hyperlink>
          </w:p>
        </w:tc>
        <w:tc>
          <w:tcPr>
            <w:tcW w:w="640" w:type="dxa"/>
            <w:vAlign w:val="bottom"/>
            <w:gridSpan w:val="9"/>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48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w:anchor="page155">
              <w:r>
                <w:rPr>
                  <w:rFonts w:ascii="Arial" w:cs="Arial" w:eastAsia="Arial" w:hAnsi="Arial"/>
                  <w:sz w:val="18"/>
                  <w:szCs w:val="18"/>
                  <w:color w:val="0000FF"/>
                </w:rPr>
                <w:t>adopted pursuant to Section 302 of the Sarbanes-Oxley Act of 2002.</w:t>
              </w:r>
            </w:hyperlink>
          </w:p>
        </w:tc>
        <w:tc>
          <w:tcPr>
            <w:tcW w:w="400" w:type="dxa"/>
            <w:vAlign w:val="bottom"/>
            <w:gridSpan w:val="5"/>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556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156">
              <w:r>
                <w:rPr>
                  <w:rFonts w:ascii="Arial" w:cs="Arial" w:eastAsia="Arial" w:hAnsi="Arial"/>
                  <w:sz w:val="18"/>
                  <w:szCs w:val="18"/>
                  <w:color w:val="0000FF"/>
                  <w:w w:val="99"/>
                </w:rPr>
                <w:t>Certification of Principal Financial Officer Pursuant to Rules 13a-14(a)</w:t>
              </w:r>
            </w:hyperlink>
          </w:p>
        </w:tc>
        <w:tc>
          <w:tcPr>
            <w:tcW w:w="320" w:type="dxa"/>
            <w:vAlign w:val="bottom"/>
            <w:gridSpan w:val="3"/>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2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156">
              <w:r>
                <w:rPr>
                  <w:rFonts w:ascii="Arial" w:cs="Arial" w:eastAsia="Arial" w:hAnsi="Arial"/>
                  <w:sz w:val="18"/>
                  <w:szCs w:val="18"/>
                  <w:color w:val="0000FF"/>
                  <w:w w:val="99"/>
                </w:rPr>
                <w:t>and 15d-14(a) under the Securities and Exchange Act of 1934, as</w:t>
              </w:r>
            </w:hyperlink>
          </w:p>
        </w:tc>
        <w:tc>
          <w:tcPr>
            <w:tcW w:w="640" w:type="dxa"/>
            <w:vAlign w:val="bottom"/>
            <w:gridSpan w:val="9"/>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46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156">
              <w:r>
                <w:rPr>
                  <w:rFonts w:ascii="Arial" w:cs="Arial" w:eastAsia="Arial" w:hAnsi="Arial"/>
                  <w:sz w:val="18"/>
                  <w:szCs w:val="18"/>
                  <w:color w:val="0000FF"/>
                  <w:w w:val="99"/>
                </w:rPr>
                <w:t>adopted pursuant to Section 302 of the Sarbanes-Oxley Act of 2002.</w:t>
              </w:r>
            </w:hyperlink>
          </w:p>
        </w:tc>
        <w:tc>
          <w:tcPr>
            <w:tcW w:w="420" w:type="dxa"/>
            <w:vAlign w:val="bottom"/>
            <w:gridSpan w:val="6"/>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5880" w:type="dxa"/>
            <w:vAlign w:val="bottom"/>
            <w:gridSpan w:val="17"/>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Certification of Principal Executive Officer and Principal Financial</w:t>
              </w:r>
            </w:hyperlink>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53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w:anchor="page157">
              <w:r>
                <w:rPr>
                  <w:rFonts w:ascii="Arial" w:cs="Arial" w:eastAsia="Arial" w:hAnsi="Arial"/>
                  <w:sz w:val="18"/>
                  <w:szCs w:val="18"/>
                  <w:color w:val="0000FF"/>
                  <w:w w:val="99"/>
                </w:rPr>
                <w:t>Officer Pursuant to 18 U.S.C. Section 1350, as adopted pursuant to</w:t>
              </w:r>
            </w:hyperlink>
          </w:p>
        </w:tc>
        <w:tc>
          <w:tcPr>
            <w:tcW w:w="500" w:type="dxa"/>
            <w:vAlign w:val="bottom"/>
            <w:gridSpan w:val="7"/>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880" w:type="dxa"/>
            <w:vAlign w:val="bottom"/>
            <w:gridSpan w:val="17"/>
          </w:tcPr>
          <w:p>
            <w:pPr>
              <w:spacing w:after="0" w:line="182" w:lineRule="exact"/>
              <w:rPr>
                <w:rFonts w:ascii="Arial" w:cs="Arial" w:eastAsia="Arial" w:hAnsi="Arial"/>
                <w:sz w:val="18"/>
                <w:szCs w:val="18"/>
                <w:color w:val="0000FF"/>
              </w:rPr>
            </w:pPr>
            <w:hyperlink w:anchor="page157">
              <w:r>
                <w:rPr>
                  <w:rFonts w:ascii="Arial" w:cs="Arial" w:eastAsia="Arial" w:hAnsi="Arial"/>
                  <w:sz w:val="18"/>
                  <w:szCs w:val="18"/>
                  <w:color w:val="0000FF"/>
                </w:rPr>
                <w:t>Section 906 of the Sarbanes-Oxley Act of 2002.</w:t>
              </w:r>
            </w:hyperlink>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800" w:type="dxa"/>
            <w:vAlign w:val="bottom"/>
            <w:gridSpan w:val="3"/>
            <w:shd w:val="clear" w:color="auto" w:fill="0000FF"/>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vMerge w:val="continue"/>
          </w:tcPr>
          <w:p>
            <w:pPr>
              <w:spacing w:after="0"/>
              <w:rPr>
                <w:sz w:val="22"/>
                <w:szCs w:val="22"/>
                <w:color w:val="auto"/>
              </w:rPr>
            </w:pP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5880" w:type="dxa"/>
            <w:vAlign w:val="bottom"/>
            <w:gridSpan w:val="17"/>
          </w:tcPr>
          <w:p>
            <w:pPr>
              <w:spacing w:after="0" w:line="202" w:lineRule="exact"/>
              <w:rPr>
                <w:sz w:val="20"/>
                <w:szCs w:val="20"/>
                <w:color w:val="auto"/>
              </w:rPr>
            </w:pPr>
            <w:r>
              <w:rPr>
                <w:rFonts w:ascii="Arial" w:cs="Arial" w:eastAsia="Arial" w:hAnsi="Arial"/>
                <w:sz w:val="18"/>
                <w:szCs w:val="18"/>
                <w:color w:val="auto"/>
              </w:rPr>
              <w:t>appear in the interactive data file because its XBRL tags are</w:t>
            </w: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88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58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20" w:right="3660" w:hanging="1194"/>
        <w:spacing w:after="0" w:line="246"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Registrant has omitted portions of the exhibit as permitted under Item 601(b)(10) of Regulation 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898" w:lineRule="exact"/>
        <w:rPr>
          <w:sz w:val="20"/>
          <w:szCs w:val="20"/>
          <w:color w:val="auto"/>
        </w:rPr>
      </w:pPr>
    </w:p>
    <w:p>
      <w:pPr>
        <w:sectPr>
          <w:pgSz w:w="11900" w:h="16838" w:orient="portrait"/>
          <w:cols w:equalWidth="0" w:num="2">
            <w:col w:w="9940" w:space="720"/>
            <w:col w:w="460"/>
          </w:cols>
          <w:pgMar w:left="320" w:top="125" w:right="459" w:bottom="1440" w:gutter="0" w:footer="0" w:header="0"/>
          <w:type w:val="continuous"/>
        </w:sectPr>
      </w:pPr>
    </w:p>
    <w:p>
      <w:pPr>
        <w:jc w:val="both"/>
        <w:ind w:left="660" w:hanging="652"/>
        <w:spacing w:after="0" w:line="254" w:lineRule="auto"/>
        <w:tabs>
          <w:tab w:leader="none" w:pos="27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Arcutis Biopharmaceuticals,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85" w:name="page86"/>
    <w:bookmarkEnd w:id="85"/>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21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ARCUTIS BIOTHERAPEUTICS, INC.</w:t>
      </w:r>
    </w:p>
    <w:p>
      <w:pPr>
        <w:spacing w:after="0" w:line="315" w:lineRule="exact"/>
        <w:rPr>
          <w:sz w:val="20"/>
          <w:szCs w:val="20"/>
          <w:color w:val="auto"/>
        </w:rPr>
      </w:pPr>
    </w:p>
    <w:p>
      <w:pPr>
        <w:ind w:left="20"/>
        <w:spacing w:after="0"/>
        <w:tabs>
          <w:tab w:leader="none" w:pos="740" w:val="left"/>
          <w:tab w:leader="none" w:pos="59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06,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6350</wp:posOffset>
            </wp:positionV>
            <wp:extent cx="30086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Todd Franklin Watanabe</w:t>
      </w:r>
    </w:p>
    <w:p>
      <w:pPr>
        <w:ind w:left="6460"/>
        <w:spacing w:after="0" w:line="203" w:lineRule="auto"/>
        <w:rPr>
          <w:sz w:val="20"/>
          <w:szCs w:val="20"/>
          <w:color w:val="auto"/>
        </w:rPr>
      </w:pPr>
      <w:r>
        <w:rPr>
          <w:rFonts w:ascii="Arial" w:cs="Arial" w:eastAsia="Arial" w:hAnsi="Arial"/>
          <w:sz w:val="18"/>
          <w:szCs w:val="18"/>
          <w:i w:val="1"/>
          <w:iCs w:val="1"/>
          <w:color w:val="auto"/>
        </w:rPr>
        <w:t>President, Chief Executive Officer and Director</w:t>
      </w: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40" w:val="left"/>
          <w:tab w:leader="none" w:pos="59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06,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6350</wp:posOffset>
            </wp:positionV>
            <wp:extent cx="30086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Scott L. Burrows</w:t>
      </w:r>
    </w:p>
    <w:p>
      <w:pPr>
        <w:ind w:left="6460"/>
        <w:spacing w:after="0" w:line="203" w:lineRule="auto"/>
        <w:rPr>
          <w:sz w:val="20"/>
          <w:szCs w:val="20"/>
          <w:color w:val="auto"/>
        </w:rPr>
      </w:pPr>
      <w:r>
        <w:rPr>
          <w:rFonts w:ascii="Arial" w:cs="Arial" w:eastAsia="Arial" w:hAnsi="Arial"/>
          <w:sz w:val="18"/>
          <w:szCs w:val="18"/>
          <w:i w:val="1"/>
          <w:iCs w:val="1"/>
          <w:color w:val="auto"/>
        </w:rPr>
        <w:t>Chief Financial Officer</w:t>
      </w:r>
    </w:p>
    <w:p>
      <w:pPr>
        <w:ind w:left="64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0900"/>
          </w:cols>
          <w:pgMar w:left="320" w:top="1035" w:right="679" w:bottom="1440" w:gutter="0" w:footer="0" w:header="0"/>
        </w:sectPr>
      </w:pPr>
    </w:p>
    <w:bookmarkStart w:id="86" w:name="page87"/>
    <w:bookmarkEnd w:id="86"/>
    <w:p>
      <w:pPr>
        <w:ind w:left="1024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-840740</wp:posOffset>
            </wp:positionV>
            <wp:extent cx="23571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Arcutis Biotherapeutics, Inc.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2945 Townsgate Road, Suite 110</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Westlake Village, California 91361</w:t>
      </w:r>
    </w:p>
    <w:p>
      <w:pPr>
        <w:spacing w:after="0" w:line="200" w:lineRule="exact"/>
        <w:rPr>
          <w:sz w:val="20"/>
          <w:szCs w:val="20"/>
          <w:color w:val="auto"/>
        </w:rPr>
      </w:pPr>
    </w:p>
    <w:p>
      <w:pPr>
        <w:spacing w:after="0" w:line="366"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Re:</w:t>
        <w:tab/>
        <w:t>Registration Statement on Form S-3 (No. 333-252612)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Up to $100,000,000 shares of common stock, $0.0001 par value per share</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140 Scott Drive</w:t>
      </w:r>
    </w:p>
    <w:p>
      <w:pPr>
        <w:spacing w:after="0" w:line="195" w:lineRule="auto"/>
        <w:rPr>
          <w:sz w:val="20"/>
          <w:szCs w:val="20"/>
          <w:color w:val="auto"/>
        </w:rPr>
      </w:pPr>
      <w:r>
        <w:rPr>
          <w:rFonts w:ascii="Arial" w:cs="Arial" w:eastAsia="Arial" w:hAnsi="Arial"/>
          <w:sz w:val="13"/>
          <w:szCs w:val="13"/>
          <w:color w:val="auto"/>
        </w:rPr>
        <w:t>Menlo Park, California 94025</w:t>
      </w:r>
    </w:p>
    <w:p>
      <w:pPr>
        <w:ind w:right="1580"/>
        <w:spacing w:after="0" w:line="219" w:lineRule="auto"/>
        <w:rPr>
          <w:sz w:val="20"/>
          <w:szCs w:val="20"/>
          <w:color w:val="auto"/>
        </w:rPr>
      </w:pPr>
      <w:r>
        <w:rPr>
          <w:rFonts w:ascii="Arial" w:cs="Arial" w:eastAsia="Arial" w:hAnsi="Arial"/>
          <w:sz w:val="13"/>
          <w:szCs w:val="13"/>
          <w:color w:val="auto"/>
        </w:rPr>
        <w:t>Tel: +1.650.328.4600 Fax: +1.650.463.2600 www.lw.com</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53"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53"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Diego</w:t>
      </w:r>
    </w:p>
    <w:p>
      <w:pPr>
        <w:spacing w:after="0" w:line="53"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53"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107" w:lineRule="exact"/>
        <w:rPr>
          <w:sz w:val="20"/>
          <w:szCs w:val="20"/>
          <w:color w:val="auto"/>
        </w:rPr>
      </w:pPr>
    </w:p>
    <w:p>
      <w:pPr>
        <w:spacing w:after="0"/>
        <w:tabs>
          <w:tab w:leader="none" w:pos="174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Tokyo</w:t>
      </w:r>
    </w:p>
    <w:p>
      <w:pPr>
        <w:spacing w:after="0" w:line="107" w:lineRule="exact"/>
        <w:rPr>
          <w:sz w:val="20"/>
          <w:szCs w:val="20"/>
          <w:color w:val="auto"/>
        </w:rPr>
      </w:pPr>
    </w:p>
    <w:p>
      <w:pPr>
        <w:spacing w:after="0"/>
        <w:tabs>
          <w:tab w:leader="none" w:pos="1740" w:val="left"/>
        </w:tabs>
        <w:rPr>
          <w:sz w:val="20"/>
          <w:szCs w:val="20"/>
          <w:color w:val="auto"/>
        </w:rPr>
      </w:pPr>
      <w:r>
        <w:rPr>
          <w:rFonts w:ascii="Arial" w:cs="Arial" w:eastAsia="Arial" w:hAnsi="Arial"/>
          <w:sz w:val="12"/>
          <w:szCs w:val="12"/>
          <w:color w:val="auto"/>
        </w:rPr>
        <w:t>Madrid</w:t>
      </w:r>
      <w:r>
        <w:rPr>
          <w:sz w:val="20"/>
          <w:szCs w:val="20"/>
          <w:color w:val="auto"/>
        </w:rPr>
        <w:tab/>
      </w:r>
      <w:r>
        <w:rPr>
          <w:rFonts w:ascii="Arial" w:cs="Arial" w:eastAsia="Arial" w:hAnsi="Arial"/>
          <w:sz w:val="12"/>
          <w:szCs w:val="12"/>
          <w:color w:val="auto"/>
        </w:rPr>
        <w:t>Washington, D.C.</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Milan</w:t>
      </w:r>
    </w:p>
    <w:p>
      <w:pPr>
        <w:spacing w:after="0" w:line="1651" w:lineRule="exact"/>
        <w:rPr>
          <w:sz w:val="20"/>
          <w:szCs w:val="20"/>
          <w:color w:val="auto"/>
        </w:rPr>
      </w:pPr>
    </w:p>
    <w:p>
      <w:pPr>
        <w:sectPr>
          <w:pgSz w:w="11900" w:h="16838" w:orient="portrait"/>
          <w:cols w:equalWidth="0" w:num="2">
            <w:col w:w="6600" w:space="600"/>
            <w:col w:w="4040"/>
          </w:cols>
          <w:pgMar w:left="320" w:top="126" w:right="339" w:bottom="1440" w:gutter="0" w:footer="0" w:header="0"/>
          <w:type w:val="continuous"/>
        </w:sectPr>
      </w:pPr>
    </w:p>
    <w:p>
      <w:pPr>
        <w:spacing w:after="0" w:line="41" w:lineRule="exact"/>
        <w:rPr>
          <w:sz w:val="20"/>
          <w:szCs w:val="20"/>
          <w:color w:val="auto"/>
        </w:rPr>
      </w:pPr>
    </w:p>
    <w:p>
      <w:pPr>
        <w:ind w:right="20" w:firstLine="648"/>
        <w:spacing w:after="0" w:line="284" w:lineRule="auto"/>
        <w:rPr>
          <w:sz w:val="20"/>
          <w:szCs w:val="20"/>
          <w:color w:val="auto"/>
        </w:rPr>
      </w:pPr>
      <w:r>
        <w:rPr>
          <w:rFonts w:ascii="Arial" w:cs="Arial" w:eastAsia="Arial" w:hAnsi="Arial"/>
          <w:sz w:val="19"/>
          <w:szCs w:val="19"/>
          <w:color w:val="auto"/>
        </w:rPr>
        <w:t xml:space="preserve">We have acted as special counsel to Arcutis Biotherapeutics,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in connection with the proposed issuance from time to time of shares of common stock of the Company, $0.0001 par value per share (the </w:t>
      </w:r>
      <w:r>
        <w:rPr>
          <w:rFonts w:ascii="Arial" w:cs="Arial" w:eastAsia="Arial" w:hAnsi="Arial"/>
          <w:sz w:val="19"/>
          <w:szCs w:val="19"/>
          <w:b w:val="1"/>
          <w:bCs w:val="1"/>
          <w:color w:val="auto"/>
        </w:rPr>
        <w:t>“Common Stock”</w:t>
      </w:r>
      <w:r>
        <w:rPr>
          <w:rFonts w:ascii="Arial" w:cs="Arial" w:eastAsia="Arial" w:hAnsi="Arial"/>
          <w:sz w:val="19"/>
          <w:szCs w:val="19"/>
          <w:color w:val="auto"/>
        </w:rPr>
        <w:t xml:space="preserve">), having an aggregate offering price of up to $100,000,000 (the </w:t>
      </w:r>
      <w:r>
        <w:rPr>
          <w:rFonts w:ascii="Arial" w:cs="Arial" w:eastAsia="Arial" w:hAnsi="Arial"/>
          <w:sz w:val="19"/>
          <w:szCs w:val="19"/>
          <w:b w:val="1"/>
          <w:bCs w:val="1"/>
          <w:color w:val="auto"/>
        </w:rPr>
        <w:t>“Shares”</w:t>
      </w:r>
      <w:r>
        <w:rPr>
          <w:rFonts w:ascii="Arial" w:cs="Arial" w:eastAsia="Arial" w:hAnsi="Arial"/>
          <w:sz w:val="19"/>
          <w:szCs w:val="19"/>
          <w:color w:val="auto"/>
        </w:rPr>
        <w:t xml:space="preserve">), by the Company pursuant to the Sales Agreement, dated May 6, 2021 (the </w:t>
      </w:r>
      <w:r>
        <w:rPr>
          <w:rFonts w:ascii="Arial" w:cs="Arial" w:eastAsia="Arial" w:hAnsi="Arial"/>
          <w:sz w:val="19"/>
          <w:szCs w:val="19"/>
          <w:b w:val="1"/>
          <w:bCs w:val="1"/>
          <w:color w:val="auto"/>
        </w:rPr>
        <w:t>“Sales Agreement”</w:t>
      </w:r>
      <w:r>
        <w:rPr>
          <w:rFonts w:ascii="Arial" w:cs="Arial" w:eastAsia="Arial" w:hAnsi="Arial"/>
          <w:sz w:val="19"/>
          <w:szCs w:val="19"/>
          <w:color w:val="auto"/>
        </w:rPr>
        <w:t xml:space="preserve">) between the Company and Cowen and Company, LLC. The Shares are included in a registration statement on Form S-3 under the Securities Act of 1933, as amended (the </w:t>
      </w:r>
      <w:r>
        <w:rPr>
          <w:rFonts w:ascii="Arial" w:cs="Arial" w:eastAsia="Arial" w:hAnsi="Arial"/>
          <w:sz w:val="19"/>
          <w:szCs w:val="19"/>
          <w:b w:val="1"/>
          <w:bCs w:val="1"/>
          <w:color w:val="auto"/>
        </w:rPr>
        <w:t>“Act”</w:t>
      </w:r>
      <w:r>
        <w:rPr>
          <w:rFonts w:ascii="Arial" w:cs="Arial" w:eastAsia="Arial" w:hAnsi="Arial"/>
          <w:sz w:val="19"/>
          <w:szCs w:val="19"/>
          <w:color w:val="auto"/>
        </w:rPr>
        <w:t xml:space="preserve">),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xml:space="preserve">) on February 1, 2021 (Registration No. 333-252612) (as amended,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xml:space="preserve">) and are being offered pursuant to a base prospectus dated February 1, 2021 (the </w:t>
      </w:r>
      <w:r>
        <w:rPr>
          <w:rFonts w:ascii="Arial" w:cs="Arial" w:eastAsia="Arial" w:hAnsi="Arial"/>
          <w:sz w:val="19"/>
          <w:szCs w:val="19"/>
          <w:b w:val="1"/>
          <w:b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color w:val="auto"/>
        </w:rPr>
        <w:t>Prospectus”</w:t>
      </w:r>
      <w:r>
        <w:rPr>
          <w:rFonts w:ascii="Arial" w:cs="Arial" w:eastAsia="Arial" w:hAnsi="Arial"/>
          <w:sz w:val="19"/>
          <w:szCs w:val="19"/>
          <w:color w:val="auto"/>
        </w:rPr>
        <w:t>) and a prospectus supplement dated May 6, 2021 filed with the Commission pursuant to Rule 424(b) under the Act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(together with the Base Prospectus, the </w:t>
      </w:r>
      <w:r>
        <w:rPr>
          <w:rFonts w:ascii="Arial" w:cs="Arial" w:eastAsia="Arial" w:hAnsi="Arial"/>
          <w:sz w:val="19"/>
          <w:szCs w:val="19"/>
          <w:b w:val="1"/>
          <w:bCs w:val="1"/>
          <w:color w:val="auto"/>
        </w:rPr>
        <w:t>“Prospectus”</w:t>
      </w:r>
      <w:r>
        <w:rPr>
          <w:rFonts w:ascii="Arial" w:cs="Arial" w:eastAsia="Arial" w:hAnsi="Arial"/>
          <w:sz w:val="19"/>
          <w:szCs w:val="19"/>
          <w:color w:val="auto"/>
        </w:rPr>
        <w:t>).</w:t>
      </w:r>
    </w:p>
    <w:p>
      <w:pPr>
        <w:spacing w:after="0" w:line="6" w:lineRule="exact"/>
        <w:rPr>
          <w:sz w:val="20"/>
          <w:szCs w:val="20"/>
          <w:color w:val="auto"/>
        </w:rPr>
      </w:pPr>
    </w:p>
    <w:p>
      <w:pPr>
        <w:ind w:right="240" w:firstLine="648"/>
        <w:spacing w:after="0" w:line="245" w:lineRule="auto"/>
        <w:rPr>
          <w:sz w:val="20"/>
          <w:szCs w:val="20"/>
          <w:color w:val="auto"/>
        </w:rPr>
      </w:pPr>
      <w:r>
        <w:rPr>
          <w:rFonts w:ascii="Arial" w:cs="Arial" w:eastAsia="Arial" w:hAnsi="Arial"/>
          <w:sz w:val="22"/>
          <w:szCs w:val="22"/>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US-DOCS\123707309.2</w:t>
      </w:r>
    </w:p>
    <w:p>
      <w:pPr>
        <w:sectPr>
          <w:pgSz w:w="11900" w:h="16838" w:orient="portrait"/>
          <w:cols w:equalWidth="0" w:num="1">
            <w:col w:w="11240"/>
          </w:cols>
          <w:pgMar w:left="320" w:top="126"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3"/>
          <w:szCs w:val="13"/>
          <w:b w:val="1"/>
          <w:bCs w:val="1"/>
          <w:color w:val="auto"/>
        </w:rPr>
        <w:t>May 6, 2021</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5717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571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9"/>
          <w:szCs w:val="19"/>
          <w:b w:val="1"/>
          <w:bCs w:val="1"/>
          <w:color w:val="auto"/>
        </w:rPr>
        <w:t>DGCL”</w:t>
      </w:r>
      <w:r>
        <w:rPr>
          <w:rFonts w:ascii="Arial" w:cs="Arial" w:eastAsia="Arial" w:hAnsi="Arial"/>
          <w:sz w:val="19"/>
          <w:szCs w:val="19"/>
          <w:color w:val="auto"/>
        </w:rPr>
        <w:t>), and we express no opinion with respect to any other laws.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Sales Agreement, the issuance and sale of the Shares will have been duly authorized by all necessary corporate action of the Company, and the Shares will be validly issued, fully paid and nonassessable. In rendering the foregoing opinion, we have assumed that (i) the Company will comply with all applicable notice requirements regarding uncertificated shares provided in the DGCL and (ii) upon the issuance of any of the Shares, the total number of shares of Common Stock issued and outstanding will not exceed the total number of shares of Common Stock that the Company is then authorized to issue under its Certificate of Incorporation.</w:t>
      </w:r>
    </w:p>
    <w:p>
      <w:pPr>
        <w:spacing w:after="0" w:line="206" w:lineRule="exact"/>
        <w:rPr>
          <w:sz w:val="20"/>
          <w:szCs w:val="20"/>
          <w:color w:val="auto"/>
        </w:rPr>
      </w:pPr>
    </w:p>
    <w:p>
      <w:pPr>
        <w:ind w:right="200" w:firstLine="648"/>
        <w:spacing w:after="0" w:line="247" w:lineRule="auto"/>
        <w:rPr>
          <w:sz w:val="20"/>
          <w:szCs w:val="20"/>
          <w:color w:val="auto"/>
        </w:rPr>
      </w:pPr>
      <w:r>
        <w:rPr>
          <w:rFonts w:ascii="Arial" w:cs="Arial" w:eastAsia="Arial" w:hAnsi="Arial"/>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Quarterly Report on Form 10-Q for the three month period ended March 31, 2021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Latham &amp; Watkins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US-DOCS\123707309.2</w:t>
      </w:r>
    </w:p>
    <w:p>
      <w:pPr>
        <w:sectPr>
          <w:pgSz w:w="11900" w:h="16838" w:orient="portrait"/>
          <w:cols w:equalWidth="0" w:num="1">
            <w:col w:w="11220"/>
          </w:cols>
          <w:pgMar w:left="320" w:top="118" w:right="359" w:bottom="1440" w:gutter="0" w:footer="0" w:header="0"/>
        </w:sectPr>
      </w:pPr>
    </w:p>
    <w:bookmarkStart w:id="88" w:name="page89"/>
    <w:bookmarkEnd w:id="88"/>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420" w:firstLine="8"/>
        <w:spacing w:after="0" w:line="312" w:lineRule="auto"/>
        <w:tabs>
          <w:tab w:leader="none" w:pos="435"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excluded pursuant to Regulation S-K, Item 601(b)(10). Such excluded information is not material and is the type of information that the registrant customarily and actually treats as private and confidential.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EXCLUSIVE DISTRIBUTION AGREEMENT</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Exclusive Distribution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February, 2021 (the “</w:t>
      </w:r>
      <w:r>
        <w:rPr>
          <w:rFonts w:ascii="Arial" w:cs="Arial" w:eastAsia="Arial" w:hAnsi="Arial"/>
          <w:sz w:val="20"/>
          <w:szCs w:val="20"/>
          <w:b w:val="1"/>
          <w:bCs w:val="1"/>
          <w:color w:val="auto"/>
        </w:rPr>
        <w:t>Effective Date</w:t>
      </w:r>
      <w:r>
        <w:rPr>
          <w:rFonts w:ascii="Arial" w:cs="Arial" w:eastAsia="Arial" w:hAnsi="Arial"/>
          <w:sz w:val="20"/>
          <w:szCs w:val="20"/>
          <w:color w:val="auto"/>
        </w:rPr>
        <w:t>”), between Arcutis Biotherapeutics, Inc. a corporation with an address of 3027 Townsgate Road, Suite 300, Westlake Village, CA 91361 (“</w:t>
      </w:r>
      <w:r>
        <w:rPr>
          <w:rFonts w:ascii="Arial" w:cs="Arial" w:eastAsia="Arial" w:hAnsi="Arial"/>
          <w:sz w:val="20"/>
          <w:szCs w:val="20"/>
          <w:b w:val="1"/>
          <w:bCs w:val="1"/>
          <w:color w:val="auto"/>
        </w:rPr>
        <w:t>Client</w:t>
      </w:r>
      <w:r>
        <w:rPr>
          <w:rFonts w:ascii="Arial" w:cs="Arial" w:eastAsia="Arial" w:hAnsi="Arial"/>
          <w:sz w:val="20"/>
          <w:szCs w:val="20"/>
          <w:color w:val="auto"/>
        </w:rPr>
        <w:t>”), and Cardinal Health 105, Inc., an Ohio corporation, with a place of business at 501 Mason Road, Suite 200, La Vergne, Tennessee, 37086 (“</w:t>
      </w:r>
      <w:r>
        <w:rPr>
          <w:rFonts w:ascii="Arial" w:cs="Arial" w:eastAsia="Arial" w:hAnsi="Arial"/>
          <w:sz w:val="20"/>
          <w:szCs w:val="20"/>
          <w:b w:val="1"/>
          <w:bCs w:val="1"/>
          <w:color w:val="auto"/>
        </w:rPr>
        <w:t>Cardinal Health</w:t>
      </w:r>
      <w:r>
        <w:rPr>
          <w:rFonts w:ascii="Arial" w:cs="Arial" w:eastAsia="Arial" w:hAnsi="Arial"/>
          <w:sz w:val="20"/>
          <w:szCs w:val="20"/>
          <w:color w:val="auto"/>
        </w:rPr>
        <w:t>”) each individually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53" w:lineRule="exact"/>
        <w:rPr>
          <w:sz w:val="20"/>
          <w:szCs w:val="20"/>
          <w:color w:val="auto"/>
        </w:rPr>
      </w:pPr>
    </w:p>
    <w:p>
      <w:pPr>
        <w:ind w:right="20" w:firstLine="242"/>
        <w:spacing w:after="0" w:line="263" w:lineRule="auto"/>
        <w:tabs>
          <w:tab w:leader="none" w:pos="691" w:val="left"/>
        </w:tabs>
        <w:numPr>
          <w:ilvl w:val="0"/>
          <w:numId w:val="45"/>
        </w:numPr>
        <w:rPr>
          <w:rFonts w:ascii="Arial" w:cs="Arial" w:eastAsia="Arial" w:hAnsi="Arial"/>
          <w:sz w:val="22"/>
          <w:szCs w:val="22"/>
          <w:color w:val="auto"/>
        </w:rPr>
      </w:pPr>
      <w:r>
        <w:rPr>
          <w:rFonts w:ascii="Arial" w:cs="Arial" w:eastAsia="Arial" w:hAnsi="Arial"/>
          <w:sz w:val="22"/>
          <w:szCs w:val="22"/>
          <w:color w:val="auto"/>
        </w:rPr>
        <w:t>Client is, among other things, in the business of developing and marketing pharmaceutical products in the United States, its territories, possessions and commonwealths (“</w:t>
      </w:r>
      <w:r>
        <w:rPr>
          <w:rFonts w:ascii="Arial" w:cs="Arial" w:eastAsia="Arial" w:hAnsi="Arial"/>
          <w:sz w:val="22"/>
          <w:szCs w:val="22"/>
          <w:b w:val="1"/>
          <w:bCs w:val="1"/>
          <w:color w:val="auto"/>
        </w:rPr>
        <w:t>Territory</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266"/>
        <w:spacing w:after="0" w:line="271" w:lineRule="auto"/>
        <w:tabs>
          <w:tab w:leader="none" w:pos="715" w:val="left"/>
        </w:tabs>
        <w:numPr>
          <w:ilvl w:val="2"/>
          <w:numId w:val="45"/>
        </w:numPr>
        <w:rPr>
          <w:rFonts w:ascii="Arial" w:cs="Arial" w:eastAsia="Arial" w:hAnsi="Arial"/>
          <w:sz w:val="21"/>
          <w:szCs w:val="21"/>
          <w:color w:val="auto"/>
        </w:rPr>
      </w:pPr>
      <w:r>
        <w:rPr>
          <w:rFonts w:ascii="Arial" w:cs="Arial" w:eastAsia="Arial" w:hAnsi="Arial"/>
          <w:sz w:val="21"/>
          <w:szCs w:val="21"/>
          <w:color w:val="auto"/>
        </w:rPr>
        <w:t>Cardinal Health is, among other things, in the business of distributing pharmaceutical products to wholesalers, specialty distributors, physicians, clinics, hospitals, pharmacies, and other health care providers in the Territory, and of providing information systems and other services that support its clients’ use of its distribution capabilities.</w:t>
      </w:r>
    </w:p>
    <w:p>
      <w:pPr>
        <w:spacing w:after="0" w:line="194" w:lineRule="exact"/>
        <w:rPr>
          <w:rFonts w:ascii="Arial" w:cs="Arial" w:eastAsia="Arial" w:hAnsi="Arial"/>
          <w:sz w:val="21"/>
          <w:szCs w:val="21"/>
          <w:color w:val="auto"/>
        </w:rPr>
      </w:pPr>
    </w:p>
    <w:p>
      <w:pPr>
        <w:jc w:val="both"/>
        <w:ind w:firstLine="233"/>
        <w:spacing w:after="0" w:line="312" w:lineRule="auto"/>
        <w:tabs>
          <w:tab w:leader="none" w:pos="647" w:val="left"/>
        </w:tabs>
        <w:numPr>
          <w:ilvl w:val="1"/>
          <w:numId w:val="45"/>
        </w:numPr>
        <w:rPr>
          <w:rFonts w:ascii="Arial" w:cs="Arial" w:eastAsia="Arial" w:hAnsi="Arial"/>
          <w:sz w:val="19"/>
          <w:szCs w:val="19"/>
          <w:color w:val="auto"/>
        </w:rPr>
      </w:pPr>
      <w:r>
        <w:rPr>
          <w:rFonts w:ascii="Arial" w:cs="Arial" w:eastAsia="Arial" w:hAnsi="Arial"/>
          <w:sz w:val="19"/>
          <w:szCs w:val="19"/>
          <w:color w:val="auto"/>
        </w:rPr>
        <w:t>Client desires to engage Cardinal Health as its exclusive third-party logistics distribution agent for commercial sales of all pharmaceutical Products manufactured and/or marketed by Client in all formulations (collectively, “</w:t>
      </w:r>
      <w:r>
        <w:rPr>
          <w:rFonts w:ascii="Arial" w:cs="Arial" w:eastAsia="Arial" w:hAnsi="Arial"/>
          <w:sz w:val="19"/>
          <w:szCs w:val="19"/>
          <w:b w:val="1"/>
          <w:bCs w:val="1"/>
          <w:color w:val="auto"/>
        </w:rPr>
        <w:t>Product</w:t>
      </w:r>
      <w:r>
        <w:rPr>
          <w:rFonts w:ascii="Arial" w:cs="Arial" w:eastAsia="Arial" w:hAnsi="Arial"/>
          <w:sz w:val="19"/>
          <w:szCs w:val="19"/>
          <w:color w:val="auto"/>
        </w:rPr>
        <w:t>”), and to perform certain other services described in this Agreement, all upon the terms and conditions set forth in this Agreement.</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THEREFORE</w:t>
      </w:r>
      <w:r>
        <w:rPr>
          <w:rFonts w:ascii="Arial" w:cs="Arial" w:eastAsia="Arial" w:hAnsi="Arial"/>
          <w:sz w:val="19"/>
          <w:szCs w:val="19"/>
          <w:color w:val="auto"/>
        </w:rPr>
        <w:t>, in consideration of the mutual covenants, terms and conditions set forth below, the Parties agree as follows: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Appointment/Authorization</w:t>
      </w: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Appointment</w:t>
      </w:r>
      <w:r>
        <w:rPr>
          <w:rFonts w:ascii="Arial" w:cs="Arial" w:eastAsia="Arial" w:hAnsi="Arial"/>
          <w:sz w:val="21"/>
          <w:szCs w:val="21"/>
          <w:color w:val="auto"/>
        </w:rPr>
        <w:t>. Subject to the terms and conditions set forth in this Agreement, during the term of this Agreement, Client appoints Cardinal Health as its exclusive third-party logistics distribution agent and as an authorized distributor of record of Product in the Territory to Client’s Customers, including, but not limited to, wholesalers, specialty distributors, physicians, clinics, hospitals, pharmacies and other health care providers in the Territory (collectively, “</w:t>
      </w:r>
      <w:r>
        <w:rPr>
          <w:rFonts w:ascii="Arial" w:cs="Arial" w:eastAsia="Arial" w:hAnsi="Arial"/>
          <w:sz w:val="21"/>
          <w:szCs w:val="21"/>
          <w:b w:val="1"/>
          <w:bCs w:val="1"/>
          <w:color w:val="auto"/>
        </w:rPr>
        <w:t>Customers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1" w:right="339" w:bottom="1440" w:gutter="0" w:footer="0" w:header="0"/>
        </w:sectPr>
      </w:pPr>
    </w:p>
    <w:bookmarkStart w:id="89" w:name="page90"/>
    <w:bookmarkEnd w:id="89"/>
    <w:p>
      <w:pPr>
        <w:jc w:val="both"/>
        <w:spacing w:after="0" w:line="25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Acceptance of Appointment</w:t>
      </w:r>
      <w:r>
        <w:rPr>
          <w:rFonts w:ascii="Arial" w:cs="Arial" w:eastAsia="Arial" w:hAnsi="Arial"/>
          <w:sz w:val="22"/>
          <w:szCs w:val="22"/>
          <w:color w:val="auto"/>
        </w:rPr>
        <w:t>. Subject to the terms and conditions set forth in this Agreement, Cardinal Health accepts the appointment to represent Client as its exclusive third- party logistics distribution agent and as an authorized distributor of record of Product to Customers in the Territory.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w:t>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Services</w:t>
      </w:r>
      <w:r>
        <w:rPr>
          <w:rFonts w:ascii="Arial" w:cs="Arial" w:eastAsia="Arial" w:hAnsi="Arial"/>
          <w:sz w:val="21"/>
          <w:szCs w:val="21"/>
          <w:color w:val="auto"/>
        </w:rPr>
        <w:t>. Cardinal Health shall provide the services set forth in the Traditional 3PL Operating Guidelines (“</w:t>
      </w:r>
      <w:r>
        <w:rPr>
          <w:rFonts w:ascii="Arial" w:cs="Arial" w:eastAsia="Arial" w:hAnsi="Arial"/>
          <w:sz w:val="21"/>
          <w:szCs w:val="21"/>
          <w:b w:val="1"/>
          <w:bCs w:val="1"/>
          <w:color w:val="auto"/>
        </w:rPr>
        <w:t>OPG</w:t>
      </w:r>
      <w:r>
        <w:rPr>
          <w:rFonts w:ascii="Arial" w:cs="Arial" w:eastAsia="Arial" w:hAnsi="Arial"/>
          <w:sz w:val="21"/>
          <w:szCs w:val="21"/>
          <w:color w:val="auto"/>
        </w:rPr>
        <w:t>”), which include, without limitation, storage, distribution, returns, customer support, financial support, EDI and system access support (“</w:t>
      </w:r>
      <w:r>
        <w:rPr>
          <w:rFonts w:ascii="Arial" w:cs="Arial" w:eastAsia="Arial" w:hAnsi="Arial"/>
          <w:sz w:val="21"/>
          <w:szCs w:val="21"/>
          <w:b w:val="1"/>
          <w:bCs w:val="1"/>
          <w:color w:val="auto"/>
        </w:rPr>
        <w:t>Services</w:t>
      </w:r>
      <w:r>
        <w:rPr>
          <w:rFonts w:ascii="Arial" w:cs="Arial" w:eastAsia="Arial" w:hAnsi="Arial"/>
          <w:sz w:val="21"/>
          <w:szCs w:val="21"/>
          <w:color w:val="auto"/>
        </w:rPr>
        <w:t xml:space="preserve">”). The OPG shall be finalized and mutually agreed upon prior to the commercial launch of Product. Once finalized, a copy of the OPG shall be attached hereto as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and incorporated by reference.</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Traditional 3PL Operating Guidelines</w:t>
      </w:r>
      <w:r>
        <w:rPr>
          <w:rFonts w:ascii="Arial" w:cs="Arial" w:eastAsia="Arial" w:hAnsi="Arial"/>
          <w:sz w:val="22"/>
          <w:szCs w:val="22"/>
          <w:color w:val="auto"/>
        </w:rPr>
        <w:t>. The OPG may be amended from time to time upon the mutual written agreement of the Parties; provided, however, that any change, modification or amendment to the OPG may result in an increase in the Fees (as defined in Article 5).</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Compliance to Traditional 3PL Operating Guidelines</w:t>
      </w:r>
      <w:r>
        <w:rPr>
          <w:rFonts w:ascii="Arial" w:cs="Arial" w:eastAsia="Arial" w:hAnsi="Arial"/>
          <w:sz w:val="22"/>
          <w:szCs w:val="22"/>
          <w:color w:val="auto"/>
        </w:rPr>
        <w:t>. Cardinal Health's services shall comply with the OPG for up to [***] of Client’s Forecast (defined below). If (i) Client's shipments of Product to Cardinal Health or (ii) Client’s Customers’ Product orders exceed Client’s Forecast by more than [***] ([***]), Cardinal Health shall use commercially reasonable efforts to meet the requirements of the OPG, provided however, that Client acknowledges tha t Cardinal Health may not be able to meet all guidelines relating to response and shipping times.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Product Returns</w:t>
      </w:r>
      <w:r>
        <w:rPr>
          <w:rFonts w:ascii="Arial" w:cs="Arial" w:eastAsia="Arial" w:hAnsi="Arial"/>
          <w:sz w:val="22"/>
          <w:szCs w:val="22"/>
          <w:color w:val="auto"/>
        </w:rPr>
        <w:t>. All Product returns shall be processed and handled by Cardinal Health in accordance with the OPG; and any customization or additional return services requested by Client shall be performed at an additional fee as agreed by the Parties.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Product Recalls</w:t>
      </w:r>
      <w:r>
        <w:rPr>
          <w:rFonts w:ascii="Arial" w:cs="Arial" w:eastAsia="Arial" w:hAnsi="Arial"/>
          <w:sz w:val="22"/>
          <w:szCs w:val="22"/>
          <w:color w:val="auto"/>
        </w:rPr>
        <w:t>. Client is solely responsible for all Product recalls, provided however that Cardinal Health shall be responsible for Product recalls to the extent arising from Cardinal Health’s gross negligence or willful misconduct, subject to the terms of this Agreement. In the event Product is subject to recall, or Client, on its own initiative, recalls any Product, Cardinal Health shall provide assistance to Client as set forth in the OPG and as mutually agreed upon, provided that Client shall pay to Cardinal Health an amount equal to Cardinal Health's actual costs incurred with any such recall services. Such cost shall be in addition to the Fees described in Article 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28" w:right="339" w:bottom="1440" w:gutter="0" w:footer="0" w:header="0"/>
        </w:sectPr>
      </w:pPr>
    </w:p>
    <w:bookmarkStart w:id="90" w:name="page91"/>
    <w:bookmarkEnd w:id="90"/>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Supply/Client Responsibilities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Facility</w:t>
      </w:r>
      <w:r>
        <w:rPr>
          <w:rFonts w:ascii="Arial" w:cs="Arial" w:eastAsia="Arial" w:hAnsi="Arial"/>
          <w:sz w:val="22"/>
          <w:szCs w:val="22"/>
          <w:color w:val="auto"/>
        </w:rPr>
        <w:t>. Client shall deliver Product to Cardinal Health at Cardinal Health's facility located at 15 Ingram Boulevard, La Vergne, Tennessee 37086 and/or 501 Mason Road, Suite 200, La Vergne, Tennessee 37086, or to such other distribution facility as may be designated by Cardinal Health to Client in writing (“</w:t>
      </w:r>
      <w:r>
        <w:rPr>
          <w:rFonts w:ascii="Arial" w:cs="Arial" w:eastAsia="Arial" w:hAnsi="Arial"/>
          <w:sz w:val="22"/>
          <w:szCs w:val="22"/>
          <w:b w:val="1"/>
          <w:bCs w:val="1"/>
          <w:color w:val="auto"/>
        </w:rPr>
        <w:t>3PL Facility</w:t>
      </w:r>
      <w:r>
        <w:rPr>
          <w:rFonts w:ascii="Arial" w:cs="Arial" w:eastAsia="Arial" w:hAnsi="Arial"/>
          <w:sz w:val="22"/>
          <w:szCs w:val="22"/>
          <w:color w:val="auto"/>
        </w:rPr>
        <w:t>”).</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Delivery and Title</w:t>
      </w:r>
      <w:r>
        <w:rPr>
          <w:rFonts w:ascii="Arial" w:cs="Arial" w:eastAsia="Arial" w:hAnsi="Arial"/>
          <w:sz w:val="19"/>
          <w:szCs w:val="19"/>
          <w:color w:val="auto"/>
        </w:rPr>
        <w:t>. Client shall be responsible for delivery of Product to and from the 3PL Facility, including all costs, expenses and risk of loss associated with such delivery. Title to Product shall remain with Client at all times, even when Product is stored or warehoused at the 3PL Facility. Client shall at all times insure the Product for damage, loss, destruction, theft or any such other property damage (“</w:t>
      </w:r>
      <w:r>
        <w:rPr>
          <w:rFonts w:ascii="Arial" w:cs="Arial" w:eastAsia="Arial" w:hAnsi="Arial"/>
          <w:sz w:val="19"/>
          <w:szCs w:val="19"/>
          <w:b w:val="1"/>
          <w:bCs w:val="1"/>
          <w:color w:val="auto"/>
        </w:rPr>
        <w:t>Loss</w:t>
      </w:r>
      <w:r>
        <w:rPr>
          <w:rFonts w:ascii="Arial" w:cs="Arial" w:eastAsia="Arial" w:hAnsi="Arial"/>
          <w:sz w:val="19"/>
          <w:szCs w:val="19"/>
          <w:color w:val="auto"/>
        </w:rPr>
        <w:t>”) as further set forth in Article 13 below. Except for Loss resulting solely from the gross negligence or willful misconduct of Cardinal Health, Client shall bear all risk of loss or damage with respect to the Product.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Forecast and Price List</w:t>
      </w:r>
      <w:r>
        <w:rPr>
          <w:rFonts w:ascii="Arial" w:cs="Arial" w:eastAsia="Arial" w:hAnsi="Arial"/>
          <w:sz w:val="19"/>
          <w:szCs w:val="19"/>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Forecast</w:t>
      </w:r>
      <w:r>
        <w:rPr>
          <w:rFonts w:ascii="Arial" w:cs="Arial" w:eastAsia="Arial" w:hAnsi="Arial"/>
          <w:sz w:val="22"/>
          <w:szCs w:val="22"/>
          <w:color w:val="auto"/>
        </w:rPr>
        <w:t>. Client shall provide Cardinal Health with a forecast of the volume of</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Product to be handled by Cardinal Health under this Agreement, not less often than semi-annually (“</w:t>
      </w:r>
      <w:r>
        <w:rPr>
          <w:rFonts w:ascii="Arial" w:cs="Arial" w:eastAsia="Arial" w:hAnsi="Arial"/>
          <w:sz w:val="21"/>
          <w:szCs w:val="21"/>
          <w:b w:val="1"/>
          <w:bCs w:val="1"/>
          <w:color w:val="auto"/>
        </w:rPr>
        <w:t>Forecast</w:t>
      </w:r>
      <w:r>
        <w:rPr>
          <w:rFonts w:ascii="Arial" w:cs="Arial" w:eastAsia="Arial" w:hAnsi="Arial"/>
          <w:sz w:val="21"/>
          <w:szCs w:val="21"/>
          <w:color w:val="auto"/>
        </w:rPr>
        <w:t>”). All forecasts, including the Forecast, are used for the express purpose of operational planning. In the event of a significant variance from the Forecast or a significant change in core business that could reasonably be expected to have a material effect upon the obligations of either Party hereunder, the Party so affected may notify the other Party that it wishes to negotiate an appropriate adjustment to the Fees. The Parties must meet within thirty (30) days of such notification to discuss the merits and implementation of any such adjustment and during such meeting, the Parties shall negotiate in good faith. If the Parties are unable to come to a resolution regarding any such adjustment, the Party originally proposing the adjustment may terminate this Agreement upon one hundred eighty days (180) prior written notice to the other Party.</w:t>
      </w:r>
    </w:p>
    <w:p>
      <w:pPr>
        <w:spacing w:after="0" w:line="208" w:lineRule="exact"/>
        <w:rPr>
          <w:sz w:val="20"/>
          <w:szCs w:val="20"/>
          <w:color w:val="auto"/>
        </w:rPr>
      </w:pPr>
    </w:p>
    <w:p>
      <w:pPr>
        <w:jc w:val="both"/>
        <w:ind w:firstLine="244"/>
        <w:spacing w:after="0" w:line="265" w:lineRule="auto"/>
        <w:tabs>
          <w:tab w:leader="none" w:pos="671"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Price List</w:t>
      </w:r>
      <w:r>
        <w:rPr>
          <w:rFonts w:ascii="Arial" w:cs="Arial" w:eastAsia="Arial" w:hAnsi="Arial"/>
          <w:sz w:val="21"/>
          <w:szCs w:val="21"/>
          <w:color w:val="auto"/>
        </w:rPr>
        <w:t>. Upon execution of this Agreement, Client shall deliver to Cardinal Health a customer list, which sets forth the Product prices (the “</w:t>
      </w:r>
      <w:r>
        <w:rPr>
          <w:rFonts w:ascii="Arial" w:cs="Arial" w:eastAsia="Arial" w:hAnsi="Arial"/>
          <w:sz w:val="21"/>
          <w:szCs w:val="21"/>
          <w:b w:val="1"/>
          <w:bCs w:val="1"/>
          <w:color w:val="auto"/>
        </w:rPr>
        <w:t>Customer Price List</w:t>
      </w:r>
      <w:r>
        <w:rPr>
          <w:rFonts w:ascii="Arial" w:cs="Arial" w:eastAsia="Arial" w:hAnsi="Arial"/>
          <w:sz w:val="21"/>
          <w:szCs w:val="21"/>
          <w:color w:val="auto"/>
        </w:rPr>
        <w:t>”). Client shall notify Cardinal Health of any change in the Customer Price List not less than seventy-two (72) hours prior to the effective date of any such change. Cardinal Health shall use commercially reasonably efforts to implement such price change in accordance with Client's instruction.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Shipment Inspection</w:t>
      </w:r>
      <w:r>
        <w:rPr>
          <w:rFonts w:ascii="Arial" w:cs="Arial" w:eastAsia="Arial" w:hAnsi="Arial"/>
          <w:sz w:val="19"/>
          <w:szCs w:val="19"/>
          <w:color w:val="auto"/>
        </w:rPr>
        <w:t>. Cardinal Health shall visually inspect each shipment of Product for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external damage or loss in transit and notify Client of any such evident damage or loss as provided in the OPG.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System Access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Access</w:t>
      </w:r>
      <w:r>
        <w:rPr>
          <w:rFonts w:ascii="Arial" w:cs="Arial" w:eastAsia="Arial" w:hAnsi="Arial"/>
          <w:sz w:val="19"/>
          <w:szCs w:val="19"/>
          <w:color w:val="auto"/>
        </w:rPr>
        <w:t>. During the Term of this Agreement and subject to the terms herein, Client may use password(s) and identification number(s) provided by Cardinal Health to remotely access Client’s data maintained on Cardinal Health’s web enabled Operating System Base and certain support services associated therewith, as further set forth in the OPG (collectively, the “</w:t>
      </w:r>
      <w:r>
        <w:rPr>
          <w:rFonts w:ascii="Arial" w:cs="Arial" w:eastAsia="Arial" w:hAnsi="Arial"/>
          <w:sz w:val="19"/>
          <w:szCs w:val="19"/>
          <w:b w:val="1"/>
          <w:bCs w:val="1"/>
          <w:color w:val="auto"/>
        </w:rPr>
        <w:t>System</w:t>
      </w:r>
      <w:r>
        <w:rPr>
          <w:rFonts w:ascii="Arial" w:cs="Arial" w:eastAsia="Arial" w:hAnsi="Arial"/>
          <w:sz w:val="19"/>
          <w:szCs w:val="19"/>
          <w:color w:val="auto"/>
        </w:rPr>
        <w:t>”) provided that such access is used solely by Client’s employees and for Client’s own internal business purposes. Client shall use that access solely to access Client’s data and shall not access or attempt to access any other data, systems or software. Client shall be responsible for all use of the passwords and identification elements and shall ensure that they are used solely to effect the limited access authorized herein. The limited license to access the System granted herein does not include the right to copy, download or otherwise use any software or non-Client data maintained on the System.</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Fees</w:t>
      </w:r>
      <w:r>
        <w:rPr>
          <w:rFonts w:ascii="Arial" w:cs="Arial" w:eastAsia="Arial" w:hAnsi="Arial"/>
          <w:sz w:val="19"/>
          <w:szCs w:val="19"/>
          <w:color w:val="auto"/>
        </w:rPr>
        <w:t>. The System shall be made available to Client at the fees set forth in the Fee Schedule. If Cardinal Health agrees to perform any custom enhancements to the System requested by Client, such customization services shall be billed separately based on an hourly rate set forth in the Fee Schedule (as defined in Article 5) and prior to such performance, Cardinal Health shall notify Client of any related increase in the periodic Fees hereunder relative to the ongoing support of the customizations.</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Security</w:t>
      </w:r>
      <w:r>
        <w:rPr>
          <w:rFonts w:ascii="Arial" w:cs="Arial" w:eastAsia="Arial" w:hAnsi="Arial"/>
          <w:sz w:val="19"/>
          <w:szCs w:val="19"/>
          <w:color w:val="auto"/>
        </w:rPr>
        <w:t>. During the term of this Agreement, Cardinal Health shall employ reasonable security measures and policies designed to safeguard the integrity, accessibility, and confidentiality of Client's data resident on the System and establish and maintain reasonable disaster and emergency recovery plans designed to minimize disruption from System operation interruptions. Such measures shall be no less secure than those utilized by Cardinal Health to protect its own confidential information.</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Client Obligations</w:t>
      </w:r>
      <w:r>
        <w:rPr>
          <w:rFonts w:ascii="Arial" w:cs="Arial" w:eastAsia="Arial" w:hAnsi="Arial"/>
          <w:sz w:val="21"/>
          <w:szCs w:val="21"/>
          <w:color w:val="auto"/>
        </w:rPr>
        <w:t>. Client shall not reverse engineer, reverse assemble, decompile, create derivative works, modify, or otherwise attempt to derive the source code of any software on the System or copy, download, modify, or create derivative works of such software. Also, Client shall not permit access to the System or related documentation to any other person or entity. The System and all parts thereof, in all of their tangible and intangible manifestations, all existing or new enhancements, developments, derivative works, and other modifications to the System (or any part thereof), and all related proprietary rights, are and shall remain the exclusive property of Cardinal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92" w:name="page93"/>
    <w:bookmarkEnd w:id="92"/>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Disclaimer</w:t>
      </w:r>
      <w:r>
        <w:rPr>
          <w:rFonts w:ascii="Arial" w:cs="Arial" w:eastAsia="Arial" w:hAnsi="Arial"/>
          <w:sz w:val="22"/>
          <w:szCs w:val="22"/>
          <w:color w:val="auto"/>
        </w:rPr>
        <w:t xml:space="preserve">. </w:t>
      </w:r>
      <w:r>
        <w:rPr>
          <w:rFonts w:ascii="Arial" w:cs="Arial" w:eastAsia="Arial" w:hAnsi="Arial"/>
          <w:sz w:val="22"/>
          <w:szCs w:val="22"/>
          <w:b w:val="1"/>
          <w:bCs w:val="1"/>
          <w:color w:val="auto"/>
        </w:rPr>
        <w:t>THE SYSTEM, THE SOFTWARE THEREON AND ANY RESULTS OBTAINED THEREFROM ARE</w:t>
      </w:r>
      <w:r>
        <w:rPr>
          <w:rFonts w:ascii="Arial" w:cs="Arial" w:eastAsia="Arial" w:hAnsi="Arial"/>
          <w:sz w:val="22"/>
          <w:szCs w:val="22"/>
          <w:color w:val="auto"/>
        </w:rPr>
        <w:t xml:space="preserve"> </w:t>
      </w:r>
      <w:r>
        <w:rPr>
          <w:rFonts w:ascii="Arial" w:cs="Arial" w:eastAsia="Arial" w:hAnsi="Arial"/>
          <w:sz w:val="22"/>
          <w:szCs w:val="22"/>
          <w:b w:val="1"/>
          <w:bCs w:val="1"/>
          <w:color w:val="auto"/>
        </w:rPr>
        <w:t>PROVIDED ON AN “AS IS” BASIS, WITHOUT WARRANTY OF ANY KIND, WHETHER EXPRESS, IMPLIED, STATUTORY OR OTHERWISE. CARDINAL HEALTH MAKES NO REPRESENTATIONS OR WARRANTIES, AND HEREBY EXPRESSLY DISCLAIMS ALL REPRESENTATIONS AND WARRANTIES, EXPRESS OR IMPLIED, RELATING DIRECTLY OR INDIRECTLY TO THE SYSTEM OR ANY PART THEREOF INCLUDING WITHOUT LIMITATION WARRANTIES OF MERCHANTABILITY, NONINFRINGEMENT AND FITNESS FOR A PARTICULAR PURPOSE.</w:t>
      </w: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System Availability</w:t>
      </w:r>
      <w:r>
        <w:rPr>
          <w:rFonts w:ascii="Arial" w:cs="Arial" w:eastAsia="Arial" w:hAnsi="Arial"/>
          <w:sz w:val="22"/>
          <w:szCs w:val="22"/>
          <w:color w:val="auto"/>
        </w:rPr>
        <w:t>. Cardinal Health shall use reasonable efforts to make the System available for access twenty-four (24) hours a day, seven (7) days a week absent scheduled and emergency maintenance periods.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Suspension of Access</w:t>
      </w:r>
      <w:r>
        <w:rPr>
          <w:rFonts w:ascii="Arial" w:cs="Arial" w:eastAsia="Arial" w:hAnsi="Arial"/>
          <w:sz w:val="22"/>
          <w:szCs w:val="22"/>
          <w:color w:val="auto"/>
        </w:rPr>
        <w:t>. Notwithstanding anything to the contrary, in the event of a breach of any term of this Agreement or a threatened breach of the System, each as determined in good faith, Cardinal Health may revoke or suspend any or all passwords and identification numbers provided to Client hereunder.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PRICING AND PAYMENT TERMS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Fees</w:t>
      </w:r>
      <w:r>
        <w:rPr>
          <w:rFonts w:ascii="Arial" w:cs="Arial" w:eastAsia="Arial" w:hAnsi="Arial"/>
          <w:sz w:val="22"/>
          <w:szCs w:val="22"/>
          <w:color w:val="auto"/>
        </w:rPr>
        <w:t>. As compensation for the Services, Client shall pay to Cardinal Health the fees (“</w:t>
      </w:r>
      <w:r>
        <w:rPr>
          <w:rFonts w:ascii="Arial" w:cs="Arial" w:eastAsia="Arial" w:hAnsi="Arial"/>
          <w:sz w:val="22"/>
          <w:szCs w:val="22"/>
          <w:b w:val="1"/>
          <w:bCs w:val="1"/>
          <w:color w:val="auto"/>
        </w:rPr>
        <w:t>Fees</w:t>
      </w:r>
      <w:r>
        <w:rPr>
          <w:rFonts w:ascii="Arial" w:cs="Arial" w:eastAsia="Arial" w:hAnsi="Arial"/>
          <w:sz w:val="22"/>
          <w:szCs w:val="22"/>
          <w:color w:val="auto"/>
        </w:rPr>
        <w:t xml:space="preserve">”) set forth on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w:t>
      </w:r>
      <w:r>
        <w:rPr>
          <w:rFonts w:ascii="Arial" w:cs="Arial" w:eastAsia="Arial" w:hAnsi="Arial"/>
          <w:sz w:val="22"/>
          <w:szCs w:val="22"/>
          <w:b w:val="1"/>
          <w:bCs w:val="1"/>
          <w:color w:val="auto"/>
        </w:rPr>
        <w:t>Fee</w:t>
      </w:r>
      <w:r>
        <w:rPr>
          <w:rFonts w:ascii="Arial" w:cs="Arial" w:eastAsia="Arial" w:hAnsi="Arial"/>
          <w:sz w:val="22"/>
          <w:szCs w:val="22"/>
          <w:color w:val="auto"/>
        </w:rPr>
        <w:t xml:space="preserve"> </w:t>
      </w:r>
      <w:r>
        <w:rPr>
          <w:rFonts w:ascii="Arial" w:cs="Arial" w:eastAsia="Arial" w:hAnsi="Arial"/>
          <w:sz w:val="22"/>
          <w:szCs w:val="22"/>
          <w:b w:val="1"/>
          <w:bCs w:val="1"/>
          <w:color w:val="auto"/>
        </w:rPr>
        <w:t>Schedule</w:t>
      </w:r>
      <w:r>
        <w:rPr>
          <w:rFonts w:ascii="Arial" w:cs="Arial" w:eastAsia="Arial" w:hAnsi="Arial"/>
          <w:sz w:val="22"/>
          <w:szCs w:val="22"/>
          <w:color w:val="auto"/>
        </w:rPr>
        <w:t>”) attached hereto and incorporated by reference.</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Invoices</w:t>
      </w:r>
      <w:r>
        <w:rPr>
          <w:rFonts w:ascii="Arial" w:cs="Arial" w:eastAsia="Arial" w:hAnsi="Arial"/>
          <w:sz w:val="19"/>
          <w:szCs w:val="19"/>
          <w:color w:val="auto"/>
        </w:rPr>
        <w:t>. Cardinal Health shall issue an invoice to Client for the Services rendered under this Agreement or for any other amounts due on a monthly basis. Payment is due within thirty (30) days of the invoice date. If the invoice is not paid (except for amounts subject to a good faith dispute) within such thirty (30) day period, Cardinal Health may, at its option elect to (i) impose a service charge on unpaid amount (except for amounts subject to a good faith dispute) calculated at the rate of 1.5% per month (or the maximum rate permitted by law if such rate is less than 1.5% per month) until such amount is paid in full and/or (ii) suspend any further Services until such invoice is paid in full provided, however, that this provision shall not apply in the event any unpaid portion of the invoice is the subject of an unresolved good faith dispute. In the event of any good faith dispute with regard to an invoice, Client shall notify Cardinal Health of such dispute within thirty (30) days of the invoice date, and any undisputed portion of the invoice shall be paid as provided herein. The Parties will work together in good faith to resolve any dispute with respect to an invoice. Any amounts owed to Cardinal Health shall be paid within ten (10) days of resolution of such dispute.</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Fee Adjustment</w:t>
      </w:r>
      <w:r>
        <w:rPr>
          <w:rFonts w:ascii="Arial" w:cs="Arial" w:eastAsia="Arial" w:hAnsi="Arial"/>
          <w:sz w:val="19"/>
          <w:szCs w:val="19"/>
          <w:color w:val="auto"/>
        </w:rPr>
        <w:t>.</w:t>
      </w:r>
    </w:p>
    <w:p>
      <w:pPr>
        <w:spacing w:after="0" w:line="247" w:lineRule="exact"/>
        <w:rPr>
          <w:sz w:val="20"/>
          <w:szCs w:val="20"/>
          <w:color w:val="auto"/>
        </w:rPr>
      </w:pPr>
    </w:p>
    <w:p>
      <w:pPr>
        <w:ind w:right="20" w:firstLine="656"/>
        <w:spacing w:after="0" w:line="263" w:lineRule="auto"/>
        <w:tabs>
          <w:tab w:leader="none" w:pos="1096"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Fees shall be held firm for the first contract year. Thereafter, Cardinal Health will evaluate the fee schedule and may adjust the Fees not more often than once per contract year by no more than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31" w:lineRule="exact"/>
        <w:rPr>
          <w:sz w:val="20"/>
          <w:szCs w:val="20"/>
          <w:color w:val="auto"/>
        </w:rPr>
      </w:pPr>
    </w:p>
    <w:p>
      <w:pPr>
        <w:jc w:val="both"/>
        <w:ind w:firstLine="243"/>
        <w:spacing w:after="0" w:line="263" w:lineRule="auto"/>
        <w:tabs>
          <w:tab w:leader="none" w:pos="669" w:val="left"/>
        </w:tabs>
        <w:numPr>
          <w:ilvl w:val="0"/>
          <w:numId w:val="48"/>
        </w:numPr>
        <w:rPr>
          <w:rFonts w:ascii="Arial" w:cs="Arial" w:eastAsia="Arial" w:hAnsi="Arial"/>
          <w:sz w:val="21"/>
          <w:szCs w:val="21"/>
          <w:color w:val="auto"/>
        </w:rPr>
      </w:pPr>
      <w:r>
        <w:rPr>
          <w:rFonts w:ascii="Arial" w:cs="Arial" w:eastAsia="Arial" w:hAnsi="Arial"/>
          <w:sz w:val="21"/>
          <w:szCs w:val="21"/>
          <w:color w:val="auto"/>
        </w:rPr>
        <w:t>Notwithstanding the terms set forth above in Section 5.3(A), if Cardinal Health can reasonably demonstrate that the costs for providing the Services have materially increased, or are likely to materially increase in the coming year due to the adoption of any applicable law or regulation (or any material change in the interpretation or administration thereof), or due to unforeseen circumstances beyond Cardinal Health's reasonable control, then upon notice from Cardinal Health, the Parties agree to meet in good faith and negotiate a mutually acceptable adjustment to the Fees.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Taxes</w:t>
      </w:r>
      <w:r>
        <w:rPr>
          <w:rFonts w:ascii="Arial" w:cs="Arial" w:eastAsia="Arial" w:hAnsi="Arial"/>
          <w:sz w:val="21"/>
          <w:szCs w:val="21"/>
          <w:color w:val="auto"/>
        </w:rPr>
        <w:t>. Client shall pay when due all sales, use, gross receipts, excise and personal property taxes associated with the Product (excluding any personal property tax associated with Cardinal Health’s equipment used in connection with the Services), and other taxes now or hereafter imposed as a result of the transactions contemplated by this Agreement, none of which have been included in the fees payable to Cardinal Health under this Agreement; provided that the amounts payable by Client under this section shall not include taxes based on the net income of Cardinal Health.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Term</w:t>
      </w:r>
      <w:r>
        <w:rPr>
          <w:rFonts w:ascii="Arial" w:cs="Arial" w:eastAsia="Arial" w:hAnsi="Arial"/>
          <w:sz w:val="21"/>
          <w:szCs w:val="21"/>
          <w:color w:val="auto"/>
        </w:rPr>
        <w:t>. The Initial Term of this Agreement shall begin on the Effective Date and shall continue for a period of three (3) years following the first shipment of FDA-approved Product to a commercial customer (“</w:t>
      </w:r>
      <w:r>
        <w:rPr>
          <w:rFonts w:ascii="Arial" w:cs="Arial" w:eastAsia="Arial" w:hAnsi="Arial"/>
          <w:sz w:val="21"/>
          <w:szCs w:val="21"/>
          <w:b w:val="1"/>
          <w:bCs w:val="1"/>
          <w:color w:val="auto"/>
        </w:rPr>
        <w:t>Initial Term</w:t>
      </w:r>
      <w:r>
        <w:rPr>
          <w:rFonts w:ascii="Arial" w:cs="Arial" w:eastAsia="Arial" w:hAnsi="Arial"/>
          <w:sz w:val="21"/>
          <w:szCs w:val="21"/>
          <w:color w:val="auto"/>
        </w:rPr>
        <w:t>”), unless terminated earlier pursuant to this Agreement. Thereafter, this Agreement shall automatically renew for additional terms of one (1) year each (each, a “</w:t>
      </w:r>
      <w:r>
        <w:rPr>
          <w:rFonts w:ascii="Arial" w:cs="Arial" w:eastAsia="Arial" w:hAnsi="Arial"/>
          <w:sz w:val="21"/>
          <w:szCs w:val="21"/>
          <w:b w:val="1"/>
          <w:bCs w:val="1"/>
          <w:color w:val="auto"/>
        </w:rPr>
        <w:t>Renewal Term</w:t>
      </w:r>
      <w:r>
        <w:rPr>
          <w:rFonts w:ascii="Arial" w:cs="Arial" w:eastAsia="Arial" w:hAnsi="Arial"/>
          <w:sz w:val="21"/>
          <w:szCs w:val="21"/>
          <w:color w:val="auto"/>
        </w:rPr>
        <w:t>,” and together with the Initial Term, the “</w:t>
      </w:r>
      <w:r>
        <w:rPr>
          <w:rFonts w:ascii="Arial" w:cs="Arial" w:eastAsia="Arial" w:hAnsi="Arial"/>
          <w:sz w:val="21"/>
          <w:szCs w:val="21"/>
          <w:b w:val="1"/>
          <w:bCs w:val="1"/>
          <w:color w:val="auto"/>
        </w:rPr>
        <w:t>Term</w:t>
      </w:r>
      <w:r>
        <w:rPr>
          <w:rFonts w:ascii="Arial" w:cs="Arial" w:eastAsia="Arial" w:hAnsi="Arial"/>
          <w:sz w:val="21"/>
          <w:szCs w:val="21"/>
          <w:color w:val="auto"/>
        </w:rPr>
        <w:t>”), unless written notice of termination is given by either Party at least ninety (90) days prior to the end of the Initial Term or any Renewal Term.</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Termination</w:t>
      </w:r>
    </w:p>
    <w:p>
      <w:pPr>
        <w:spacing w:after="0" w:line="247" w:lineRule="exact"/>
        <w:rPr>
          <w:sz w:val="20"/>
          <w:szCs w:val="20"/>
          <w:color w:val="auto"/>
        </w:rPr>
      </w:pPr>
    </w:p>
    <w:p>
      <w:pPr>
        <w:jc w:val="both"/>
        <w:ind w:firstLine="656"/>
        <w:spacing w:after="0" w:line="288" w:lineRule="auto"/>
        <w:tabs>
          <w:tab w:leader="none" w:pos="1187" w:val="left"/>
        </w:tabs>
        <w:numPr>
          <w:ilvl w:val="0"/>
          <w:numId w:val="49"/>
        </w:numPr>
        <w:rPr>
          <w:rFonts w:ascii="Arial" w:cs="Arial" w:eastAsia="Arial" w:hAnsi="Arial"/>
          <w:sz w:val="19"/>
          <w:szCs w:val="19"/>
          <w:color w:val="auto"/>
        </w:rPr>
      </w:pPr>
      <w:r>
        <w:rPr>
          <w:rFonts w:ascii="Arial" w:cs="Arial" w:eastAsia="Arial" w:hAnsi="Arial"/>
          <w:sz w:val="19"/>
          <w:szCs w:val="19"/>
          <w:color w:val="auto"/>
        </w:rPr>
        <w:t>Client shall have the right to terminate this Agreement upon one hundred eighty (180) days’ notice to Cardinal Health, provided that, if Client terminates this Agreement during the Initial Term per the terms of this section 6.2(A), such termination shall be effective only upon payment to Cardinal Health of all undisputed outstanding amounts and (a) [***] ([***]) of all remaining Fixed Fees set forth on the Fee Schedule for the remainder of the Initial Term if the Client so terminates within the first year after the Effective Date; (b) [***] ([***]) of all remaining Fixed Fees set forth on the Fee Schedule for the remainder of the Initial Term if the Client so terminates after the first year after the Effective Date but prior to end of the second year after the Effective Date; or (c) [***] ([***]) of all remaining Fixed Fees set forth on the Fee Schedule for the remainder of the Initial Term if the Client so terminates after the second year after the Effective Date but prior to end of the third year after the Effective Date (the “</w:t>
      </w:r>
      <w:r>
        <w:rPr>
          <w:rFonts w:ascii="Arial" w:cs="Arial" w:eastAsia="Arial" w:hAnsi="Arial"/>
          <w:sz w:val="19"/>
          <w:szCs w:val="19"/>
          <w:b w:val="1"/>
          <w:bCs w:val="1"/>
          <w:color w:val="auto"/>
        </w:rPr>
        <w:t>Termination Fee</w:t>
      </w:r>
      <w:r>
        <w:rPr>
          <w:rFonts w:ascii="Arial" w:cs="Arial" w:eastAsia="Arial" w:hAnsi="Arial"/>
          <w:sz w:val="19"/>
          <w:szCs w:val="19"/>
          <w:color w:val="auto"/>
        </w:rPr>
        <w:t>”). “</w:t>
      </w:r>
      <w:r>
        <w:rPr>
          <w:rFonts w:ascii="Arial" w:cs="Arial" w:eastAsia="Arial" w:hAnsi="Arial"/>
          <w:sz w:val="19"/>
          <w:szCs w:val="19"/>
          <w:b w:val="1"/>
          <w:bCs w:val="1"/>
          <w:color w:val="auto"/>
        </w:rPr>
        <w:t>Fixed Fees</w:t>
      </w:r>
      <w:r>
        <w:rPr>
          <w:rFonts w:ascii="Arial" w:cs="Arial" w:eastAsia="Arial" w:hAnsi="Arial"/>
          <w:sz w:val="19"/>
          <w:szCs w:val="19"/>
          <w:color w:val="auto"/>
        </w:rPr>
        <w:t>” shall mean the fees specified on the Fee Schedule to be paid monthly by Client to Cardinal Health that are not dependent on the quantity of Product handled by Cardinal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Either Party shall have the right to immediately terminate this Agreement if:</w:t>
      </w:r>
    </w:p>
    <w:p>
      <w:pPr>
        <w:spacing w:after="0" w:line="246" w:lineRule="exact"/>
        <w:rPr>
          <w:rFonts w:ascii="Arial" w:cs="Arial" w:eastAsia="Arial" w:hAnsi="Arial"/>
          <w:sz w:val="22"/>
          <w:szCs w:val="22"/>
          <w:color w:val="auto"/>
        </w:rPr>
      </w:pPr>
    </w:p>
    <w:p>
      <w:pPr>
        <w:jc w:val="both"/>
        <w:ind w:firstLine="1304"/>
        <w:spacing w:after="0" w:line="312" w:lineRule="auto"/>
        <w:tabs>
          <w:tab w:leader="none" w:pos="1932"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other Party files a petition in bankruptcy, or enters into an agreement with its creditors, or applies for or consents to the appointment of a receiver or trustee, or makes an assignment for the benefit of creditors, or suffers or permits the entry of any order adjudicating it to be bankrupt or insolvent and such order is not discharged within thirty (30) days; or</w:t>
      </w:r>
    </w:p>
    <w:p>
      <w:pPr>
        <w:spacing w:after="0" w:line="160" w:lineRule="exact"/>
        <w:rPr>
          <w:rFonts w:ascii="Arial" w:cs="Arial" w:eastAsia="Arial" w:hAnsi="Arial"/>
          <w:sz w:val="19"/>
          <w:szCs w:val="19"/>
          <w:color w:val="auto"/>
        </w:rPr>
      </w:pPr>
    </w:p>
    <w:p>
      <w:pPr>
        <w:jc w:val="both"/>
        <w:ind w:firstLine="1304"/>
        <w:spacing w:after="0" w:line="246" w:lineRule="auto"/>
        <w:tabs>
          <w:tab w:leader="none" w:pos="1938"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other Party materially breaches any of the provisions of this Agreement, and such breach is not cured within thirty (30) days after the giving of written notice; provided, however, that (i) in the case of a breach that cannot be cured within thirty (30) days, the Parties agree to meet in good faith and within thirty (30) days after the giving of written notice, formulate a mutually agreeable plan to cure such breach within a reasonable period of time, provided, however, if such breach is not cured within the agreed upon time, the non-breaching party may terminate immediately; and (ii) in the case of a failure of Client to make payments in accordance with the terms of this Agreement, Cardinal Health may terminate this Agreement if such payment breach is not cured within ten (10) days following Cardinal Health’s delivery of a written notice of non-payment to Client.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Expiration or termination of this Agreement shall be without prejudice to any rights or obligations that accrued to the benefit of either Party prior to such expiration or termination. Client shall pay Cardinal Health for all Services performed up to the date of termination plus any applicable Termination Fee as set forth in Section 6.2(A) above and shall reimburse Cardinal Health for all costs and expenses incurred, and all non-cancelable commitments made up to the date of termination, in the performance of Services. Upon termination or expiration of this Agreement, all Product shall be returned to Client or a designee of Client, at Client's sole cost and expense.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Audits</w:t>
      </w:r>
      <w:r>
        <w:rPr>
          <w:rFonts w:ascii="Arial" w:cs="Arial" w:eastAsia="Arial" w:hAnsi="Arial"/>
          <w:sz w:val="19"/>
          <w:szCs w:val="19"/>
          <w:color w:val="auto"/>
        </w:rPr>
        <w:t>. No more than [***] per calendar year, Client or its designee has the right during normal business hours [i.e., 8:00 a.m. to 5:00 p.m. local 3PL Facility time and not to exceed a total of eight (8) business hours], to conduct a complete quality audit upon [***] days prior written notice to Cardinal Health. If the timing of such audit falls during “quarter-end” or “year-end” then Cardinal Health will use best efforts to accommodate Client’s request. Client shall have the right to conduct for cause audits immediately if necessary, to ensure Product safety or if otherwise necessary to implement or support a Product 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63"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Party shall conduct its activities in connection with this Agreement in compliance with all applicable United States laws, rules, regulations and guidelines.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Cardinal Health</w:t>
      </w:r>
      <w:r>
        <w:rPr>
          <w:rFonts w:ascii="Arial" w:cs="Arial" w:eastAsia="Arial" w:hAnsi="Arial"/>
          <w:sz w:val="22"/>
          <w:szCs w:val="22"/>
          <w:color w:val="auto"/>
        </w:rPr>
        <w:t>. Cardinal Health represents and warrants to Client that, unless otherwise agreed to by the Parties, Cardinal Health shall perform Services in accordance with this Agreement, the OPG, and applicable United States laws, rules, regulations and guidelines.</w:t>
      </w:r>
    </w:p>
    <w:p>
      <w:pPr>
        <w:spacing w:after="0" w:line="21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Client</w:t>
      </w:r>
      <w:r>
        <w:rPr>
          <w:rFonts w:ascii="Arial" w:cs="Arial" w:eastAsia="Arial" w:hAnsi="Arial"/>
          <w:sz w:val="19"/>
          <w:szCs w:val="19"/>
          <w:color w:val="auto"/>
        </w:rPr>
        <w:t>. Client represents, warrants and covenants to Cardinal Health that:</w:t>
      </w:r>
    </w:p>
    <w:p>
      <w:pPr>
        <w:spacing w:after="0" w:line="247" w:lineRule="exact"/>
        <w:rPr>
          <w:sz w:val="20"/>
          <w:szCs w:val="20"/>
          <w:color w:val="auto"/>
        </w:rPr>
      </w:pPr>
    </w:p>
    <w:p>
      <w:pPr>
        <w:ind w:firstLine="212"/>
        <w:spacing w:after="0" w:line="263" w:lineRule="auto"/>
        <w:tabs>
          <w:tab w:leader="none" w:pos="63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Product</w:t>
      </w:r>
      <w:r>
        <w:rPr>
          <w:rFonts w:ascii="Arial" w:cs="Arial" w:eastAsia="Arial" w:hAnsi="Arial"/>
          <w:sz w:val="22"/>
          <w:szCs w:val="22"/>
          <w:color w:val="auto"/>
        </w:rPr>
        <w:t>. The Product shall not be adulterated or misbranded as provided in the Food, Drug and Cosmetic Act, as amended from time to time;</w:t>
      </w:r>
    </w:p>
    <w:p>
      <w:pPr>
        <w:spacing w:after="0" w:line="201" w:lineRule="exact"/>
        <w:rPr>
          <w:rFonts w:ascii="Arial" w:cs="Arial" w:eastAsia="Arial" w:hAnsi="Arial"/>
          <w:sz w:val="22"/>
          <w:szCs w:val="22"/>
          <w:color w:val="auto"/>
        </w:rPr>
      </w:pPr>
    </w:p>
    <w:p>
      <w:pPr>
        <w:ind w:firstLine="656"/>
        <w:spacing w:after="0" w:line="263" w:lineRule="auto"/>
        <w:tabs>
          <w:tab w:leader="none" w:pos="1292" w:val="left"/>
        </w:tabs>
        <w:numPr>
          <w:ilvl w:val="3"/>
          <w:numId w:val="51"/>
        </w:numPr>
        <w:rPr>
          <w:rFonts w:ascii="Arial" w:cs="Arial" w:eastAsia="Arial" w:hAnsi="Arial"/>
          <w:sz w:val="22"/>
          <w:szCs w:val="22"/>
          <w:color w:val="auto"/>
        </w:rPr>
      </w:pPr>
      <w:r>
        <w:rPr>
          <w:rFonts w:ascii="Arial" w:cs="Arial" w:eastAsia="Arial" w:hAnsi="Arial"/>
          <w:sz w:val="22"/>
          <w:szCs w:val="22"/>
          <w:u w:val="single" w:color="auto"/>
          <w:color w:val="auto"/>
        </w:rPr>
        <w:t>Promotion</w:t>
      </w:r>
      <w:r>
        <w:rPr>
          <w:rFonts w:ascii="Arial" w:cs="Arial" w:eastAsia="Arial" w:hAnsi="Arial"/>
          <w:sz w:val="22"/>
          <w:szCs w:val="22"/>
          <w:color w:val="auto"/>
        </w:rPr>
        <w:t>. Client’s activities relating to the promotion, sale and distribution of the Product shall comply with all applicable laws, rules, regulations and guidelines;</w:t>
      </w:r>
    </w:p>
    <w:p>
      <w:pPr>
        <w:spacing w:after="0" w:line="201" w:lineRule="exact"/>
        <w:rPr>
          <w:rFonts w:ascii="Arial" w:cs="Arial" w:eastAsia="Arial" w:hAnsi="Arial"/>
          <w:sz w:val="22"/>
          <w:szCs w:val="22"/>
          <w:color w:val="auto"/>
        </w:rPr>
      </w:pPr>
    </w:p>
    <w:p>
      <w:pPr>
        <w:ind w:firstLine="285"/>
        <w:spacing w:after="0" w:line="263" w:lineRule="auto"/>
        <w:tabs>
          <w:tab w:leader="none" w:pos="752"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No Infringement</w:t>
      </w:r>
      <w:r>
        <w:rPr>
          <w:rFonts w:ascii="Arial" w:cs="Arial" w:eastAsia="Arial" w:hAnsi="Arial"/>
          <w:sz w:val="22"/>
          <w:szCs w:val="22"/>
          <w:color w:val="auto"/>
        </w:rPr>
        <w:t>. It has all necessary authority and right, title and interest in and to any intellectual property related to each Product or that is otherwise provided by Client under this Agreement;</w:t>
      </w:r>
    </w:p>
    <w:p>
      <w:pPr>
        <w:spacing w:after="0" w:line="201" w:lineRule="exact"/>
        <w:rPr>
          <w:rFonts w:ascii="Arial" w:cs="Arial" w:eastAsia="Arial" w:hAnsi="Arial"/>
          <w:sz w:val="22"/>
          <w:szCs w:val="22"/>
          <w:color w:val="auto"/>
        </w:rPr>
      </w:pPr>
    </w:p>
    <w:p>
      <w:pPr>
        <w:jc w:val="both"/>
        <w:ind w:firstLine="345"/>
        <w:spacing w:after="0" w:line="253" w:lineRule="auto"/>
        <w:tabs>
          <w:tab w:leader="none" w:pos="885" w:val="left"/>
        </w:tabs>
        <w:numPr>
          <w:ilvl w:val="2"/>
          <w:numId w:val="51"/>
        </w:numPr>
        <w:rPr>
          <w:rFonts w:ascii="Arial" w:cs="Arial" w:eastAsia="Arial" w:hAnsi="Arial"/>
          <w:sz w:val="22"/>
          <w:szCs w:val="22"/>
          <w:color w:val="auto"/>
        </w:rPr>
      </w:pPr>
      <w:r>
        <w:rPr>
          <w:rFonts w:ascii="Arial" w:cs="Arial" w:eastAsia="Arial" w:hAnsi="Arial"/>
          <w:sz w:val="22"/>
          <w:szCs w:val="22"/>
          <w:u w:val="single" w:color="auto"/>
          <w:color w:val="auto"/>
        </w:rPr>
        <w:t>Safe Handling Instructions</w:t>
      </w:r>
      <w:r>
        <w:rPr>
          <w:rFonts w:ascii="Arial" w:cs="Arial" w:eastAsia="Arial" w:hAnsi="Arial"/>
          <w:sz w:val="22"/>
          <w:szCs w:val="22"/>
          <w:color w:val="auto"/>
        </w:rPr>
        <w:t>. It has provided all safe handling instruction, health and environmental information and material safety data sheets applicable to the Product or to any materials supplied by Client in writing in sufficient time for review and training by Cardinal Health prior to delivery; and</w:t>
      </w:r>
    </w:p>
    <w:p>
      <w:pPr>
        <w:spacing w:after="0" w:line="21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Mutual</w:t>
      </w:r>
      <w:r>
        <w:rPr>
          <w:rFonts w:ascii="Arial" w:cs="Arial" w:eastAsia="Arial" w:hAnsi="Arial"/>
          <w:sz w:val="19"/>
          <w:szCs w:val="19"/>
          <w:color w:val="auto"/>
        </w:rPr>
        <w:t>. Each Party represents and warrants to the other Party that:</w:t>
      </w:r>
    </w:p>
    <w:p>
      <w:pPr>
        <w:spacing w:after="0" w:line="247" w:lineRule="exact"/>
        <w:rPr>
          <w:sz w:val="20"/>
          <w:szCs w:val="20"/>
          <w:color w:val="auto"/>
        </w:rPr>
      </w:pPr>
    </w:p>
    <w:p>
      <w:pPr>
        <w:jc w:val="both"/>
        <w:ind w:firstLine="224"/>
        <w:spacing w:after="0" w:line="248" w:lineRule="auto"/>
        <w:tabs>
          <w:tab w:leader="none" w:pos="655"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Existence and Power</w:t>
      </w:r>
      <w:r>
        <w:rPr>
          <w:rFonts w:ascii="Arial" w:cs="Arial" w:eastAsia="Arial" w:hAnsi="Arial"/>
          <w:sz w:val="22"/>
          <w:szCs w:val="22"/>
          <w:color w:val="auto"/>
        </w:rPr>
        <w:t>. Such Party (i) is duly organized, validly existing and in good standing under the laws of the state in which it is organized, (ii) has the power and authority and the legal right to own and operate its property and assets, and to carry on its business as it is now being conducted, and (iii) is in compliance with all requirements of applicable laws, except to the extent that any noncompliance would not materially adversely affect such Party's ability to perform its obligations under the Agreement;</w:t>
      </w:r>
    </w:p>
    <w:p>
      <w:pPr>
        <w:spacing w:after="0" w:line="218" w:lineRule="exact"/>
        <w:rPr>
          <w:rFonts w:ascii="Arial" w:cs="Arial" w:eastAsia="Arial" w:hAnsi="Arial"/>
          <w:sz w:val="22"/>
          <w:szCs w:val="22"/>
          <w:color w:val="auto"/>
        </w:rPr>
      </w:pPr>
    </w:p>
    <w:p>
      <w:pPr>
        <w:jc w:val="both"/>
        <w:ind w:firstLine="237"/>
        <w:spacing w:after="0" w:line="253" w:lineRule="auto"/>
        <w:tabs>
          <w:tab w:leader="none" w:pos="657"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Authorization and Enforcement of Obligations</w:t>
      </w:r>
      <w:r>
        <w:rPr>
          <w:rFonts w:ascii="Arial" w:cs="Arial" w:eastAsia="Arial" w:hAnsi="Arial"/>
          <w:sz w:val="22"/>
          <w:szCs w:val="22"/>
          <w:color w:val="auto"/>
        </w:rPr>
        <w:t>. Such Party (i) has the power and authority and the legal right to enter into this Agreement and to perform its obligations hereunder and (ii) has taken all necessary action on its part to authorize the execution and delivery of this Agreement and the performance of its obligations hereunder;</w:t>
      </w:r>
    </w:p>
    <w:p>
      <w:pPr>
        <w:spacing w:after="0" w:line="212" w:lineRule="exact"/>
        <w:rPr>
          <w:rFonts w:ascii="Arial" w:cs="Arial" w:eastAsia="Arial" w:hAnsi="Arial"/>
          <w:sz w:val="22"/>
          <w:szCs w:val="22"/>
          <w:color w:val="auto"/>
        </w:rPr>
      </w:pPr>
    </w:p>
    <w:p>
      <w:pPr>
        <w:ind w:right="20" w:firstLine="656"/>
        <w:spacing w:after="0" w:line="263" w:lineRule="auto"/>
        <w:tabs>
          <w:tab w:leader="none" w:pos="1224"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Execution and Delivery</w:t>
      </w:r>
      <w:r>
        <w:rPr>
          <w:rFonts w:ascii="Arial" w:cs="Arial" w:eastAsia="Arial" w:hAnsi="Arial"/>
          <w:sz w:val="22"/>
          <w:szCs w:val="22"/>
          <w:color w:val="auto"/>
        </w:rPr>
        <w:t>. This Agreement has been duly executed and delivered on behalf of such Party, and constitutes a legal, valid, binding obligation, enforceable against such Party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96" w:name="page97"/>
    <w:bookmarkEnd w:id="96"/>
    <w:p>
      <w:pPr>
        <w:spacing w:after="0" w:line="231" w:lineRule="exact"/>
        <w:rPr>
          <w:sz w:val="20"/>
          <w:szCs w:val="20"/>
          <w:color w:val="auto"/>
        </w:rPr>
      </w:pPr>
    </w:p>
    <w:p>
      <w:pPr>
        <w:ind w:right="20" w:firstLine="231"/>
        <w:spacing w:after="0" w:line="263"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Consents</w:t>
      </w:r>
      <w:r>
        <w:rPr>
          <w:rFonts w:ascii="Arial" w:cs="Arial" w:eastAsia="Arial" w:hAnsi="Arial"/>
          <w:sz w:val="22"/>
          <w:szCs w:val="22"/>
          <w:color w:val="auto"/>
        </w:rPr>
        <w:t>. All necessary consents, approvals and authorizations of all regulatory authorities and other persons required to be obtained by such Party in connection with the Agreement have been obtained; and</w:t>
      </w:r>
    </w:p>
    <w:p>
      <w:pPr>
        <w:spacing w:after="0" w:line="201" w:lineRule="exact"/>
        <w:rPr>
          <w:rFonts w:ascii="Arial" w:cs="Arial" w:eastAsia="Arial" w:hAnsi="Arial"/>
          <w:sz w:val="22"/>
          <w:szCs w:val="22"/>
          <w:color w:val="auto"/>
        </w:rPr>
      </w:pPr>
    </w:p>
    <w:p>
      <w:pPr>
        <w:jc w:val="both"/>
        <w:ind w:right="20" w:firstLine="251"/>
        <w:spacing w:after="0" w:line="253" w:lineRule="auto"/>
        <w:tabs>
          <w:tab w:leader="none" w:pos="67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Conflict</w:t>
      </w:r>
      <w:r>
        <w:rPr>
          <w:rFonts w:ascii="Arial" w:cs="Arial" w:eastAsia="Arial" w:hAnsi="Arial"/>
          <w:sz w:val="22"/>
          <w:szCs w:val="22"/>
          <w:color w:val="auto"/>
        </w:rPr>
        <w:t>. The execution and delivery of this Agreement and the performance of such Party's obligations hereunder (i) do not conflict with or violate any requirement of applicable laws; and (ii) do not materially conflict with or constitute a material default or require any consent under, any contractual obligation of such Party.</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Limitations</w:t>
      </w:r>
      <w:r>
        <w:rPr>
          <w:rFonts w:ascii="Arial" w:cs="Arial" w:eastAsia="Arial" w:hAnsi="Arial"/>
          <w:sz w:val="22"/>
          <w:szCs w:val="22"/>
          <w:color w:val="auto"/>
        </w:rPr>
        <w:t>. THE REPRESENTATIONS AND WARRANTIES SET FORTH IN THIS ARTICLE 8 ARE THE SOLE AND EXCLUSIVE REPRESENTATIONS AND WARRANTIES MADE BY EACH PARTY TO THE OTHER AND NEITHER PARTY MAKES ANY OTHER REPRESENTATIONS, WARRANTIES OR GUARANTEES OF ANY KIND WHATSOEVER, INCLUDING WITHOUT LIMITATION ANY IMPLIED WARRANTIES OF MERCHANTABILITY, NON-INFRINGEMENT OR FITNESS FOR A PARTICULAR PURPOSE.</w:t>
      </w:r>
    </w:p>
    <w:p>
      <w:pPr>
        <w:spacing w:after="0" w:line="213"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9</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Trademarks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Neither Party shall have the right to use the name of the other Party or any Affiliate of the other Party, or the other Party’s or such Affiliates’ trademarks, service marks, logos, or other similar marks in any manner except with the prior written approval of that Party; provided that the foregoing shall not prohibit Cardinal Health’s use of Client’s names or marks in connection with the performance of the Services in a manner consistent with this Agreement. “</w:t>
      </w:r>
      <w:r>
        <w:rPr>
          <w:rFonts w:ascii="Arial" w:cs="Arial" w:eastAsia="Arial" w:hAnsi="Arial"/>
          <w:sz w:val="22"/>
          <w:szCs w:val="22"/>
          <w:b w:val="1"/>
          <w:bCs w:val="1"/>
          <w:color w:val="auto"/>
        </w:rPr>
        <w:t>Affiliate</w:t>
      </w:r>
      <w:r>
        <w:rPr>
          <w:rFonts w:ascii="Arial" w:cs="Arial" w:eastAsia="Arial" w:hAnsi="Arial"/>
          <w:sz w:val="22"/>
          <w:szCs w:val="22"/>
          <w:color w:val="auto"/>
        </w:rPr>
        <w:t>,” as used in this Agreement, means any legal entity which, during the Term hereof, controls, is controlled by, or is under common control with, such Party. For purposes of this definition, an entity shall be deemed to control another entity if it owns or controls, directly or indirectly, at least fifty percent (50%) of the voting interest of all equity interests of the other entity (or other such comparable ownership interest for an entity other than 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NON-USE</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Mutual Obligation</w:t>
      </w:r>
      <w:r>
        <w:rPr>
          <w:rFonts w:ascii="Arial" w:cs="Arial" w:eastAsia="Arial" w:hAnsi="Arial"/>
          <w:sz w:val="21"/>
          <w:szCs w:val="21"/>
          <w:color w:val="auto"/>
        </w:rPr>
        <w:t>. Cardinal Health and Client agree that they shall not use the other Party’s Confidential Information (defined below) except as necessary for the receiving Party to perform its obligations under this Agreement or disclose the other Party’s Confidential Information to any third party without the prior written consent of the other Party except as required by law, regulation or court or administrative order (including without limitation, as required by and/or in order to comply with the requirements of the Securities and Exchange Commission (SEC) or any other agency governing publicly traded companies, including in connection with Client’s public filings); provided, however, that prior to making any such legally required disclosure, the Party making such disclosure shall give the other Party as much prior notice of the requirement for and contents of such disclosure as is practicable under the circumstances. Notwithstanding the foregoing, each Party may disclose the other Party’s Confidential Information to any of its Affiliates that (A) need to know such Confidential Information for the purpose of performing under this Agreement, (B) are advised of the contents of this article, and (C) agree to be bound by the terms of this article.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Definition</w:t>
      </w:r>
      <w:r>
        <w:rPr>
          <w:rFonts w:ascii="Arial" w:cs="Arial" w:eastAsia="Arial" w:hAnsi="Arial"/>
          <w:sz w:val="21"/>
          <w:szCs w:val="21"/>
          <w:color w:val="auto"/>
        </w:rPr>
        <w:t>. As used in this Agreement, the term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includes all such information furnished by Cardinal Health or Client, or any of their respective representatives or Affiliates, to the other or its representatives or Affiliates in connection with the services or performance of this Agreement, whether furnished before, on or after the date of this Agreement and furnished in any form, including but not limited to written, verbal, visual, electronic or in any other media or manner. Confidential Information includes all proprietary technologies, know-how, trade secrets, discoveries, inventions and any other intellectual property (whether or not patented), analyses, compilations, business or technical information and other materials prepared by either Party, or any of their respective representatives, containing or based in whole or in part on any such information furnished by the other Party or its representatives. Confidential Information also includes the existence of this Agreement and its terms.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Section 10.2, Confidential Information does not include information that (A) is or becomes generally available to the public other than as a result of a breach of this Agreement, or (B) is already known by the receiving Party at the time of disclosure as evidenced by the receiving Party’s written records, or (C) becomes available to the receiving Party on a non-confidential basis from a source that is entitled to disclose it on a non-confidential basis, or (D) was or is independently developed by or for the receiving Party without reference to the Confidential Information, as evidenced by the receiving Party’s written records.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No Implied License</w:t>
      </w:r>
      <w:r>
        <w:rPr>
          <w:rFonts w:ascii="Arial" w:cs="Arial" w:eastAsia="Arial" w:hAnsi="Arial"/>
          <w:sz w:val="22"/>
          <w:szCs w:val="22"/>
          <w:color w:val="auto"/>
        </w:rPr>
        <w:t>. The receiving Party shall obtain no right of any kind or license under any patent application or patent by reason of this Agreement. All Confidential Information shall remain the sole property of the Party disclosing such information or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302"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Return of Confidential Information</w:t>
      </w:r>
      <w:r>
        <w:rPr>
          <w:rFonts w:ascii="Arial" w:cs="Arial" w:eastAsia="Arial" w:hAnsi="Arial"/>
          <w:sz w:val="19"/>
          <w:szCs w:val="19"/>
          <w:color w:val="auto"/>
        </w:rPr>
        <w:t>. Upon termination of this Agreement, the receiving Party shall, upon request, promptly return within thirty (30) days all such information, including any copies thereof, and cease its use or, at the request of the disclosing Party, shall promptly destroy the same and certify such destruction to the disclosing Party; except for a single copy thereof, which may be retained for the sole purpose of determining the scope of the obligations incurred under this Agreement.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Survival</w:t>
      </w:r>
      <w:r>
        <w:rPr>
          <w:rFonts w:ascii="Arial" w:cs="Arial" w:eastAsia="Arial" w:hAnsi="Arial"/>
          <w:sz w:val="22"/>
          <w:szCs w:val="22"/>
          <w:color w:val="auto"/>
        </w:rPr>
        <w:t>. The Parties intend for this Article 10 to supersede that certain Confidentiality Agreement between the parties dated the 5th day of August, 2020. The obligations of this Article 10 shall terminate five (5) years from the expiration of this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Indemnification by Cardinal Health</w:t>
      </w:r>
      <w:r>
        <w:rPr>
          <w:rFonts w:ascii="Arial" w:cs="Arial" w:eastAsia="Arial" w:hAnsi="Arial"/>
          <w:sz w:val="22"/>
          <w:szCs w:val="22"/>
          <w:color w:val="auto"/>
        </w:rPr>
        <w:t>. Cardinal Health shall indemnify and hold harmless Client, its Affiliates, and their respective directors, officers, employees and agents (“</w:t>
      </w:r>
      <w:r>
        <w:rPr>
          <w:rFonts w:ascii="Arial" w:cs="Arial" w:eastAsia="Arial" w:hAnsi="Arial"/>
          <w:sz w:val="22"/>
          <w:szCs w:val="22"/>
          <w:b w:val="1"/>
          <w:bCs w:val="1"/>
          <w:color w:val="auto"/>
        </w:rPr>
        <w:t>Client Indemnitees</w:t>
      </w:r>
      <w:r>
        <w:rPr>
          <w:rFonts w:ascii="Arial" w:cs="Arial" w:eastAsia="Arial" w:hAnsi="Arial"/>
          <w:sz w:val="22"/>
          <w:szCs w:val="22"/>
          <w:color w:val="auto"/>
        </w:rPr>
        <w:t>”) from and against any and all suits, claims, losses, demands, liabilities, damages, costs and expenses (including reasonable attorney’ fees) in connection with any suit, demand or action by any third party (“</w:t>
      </w:r>
      <w:r>
        <w:rPr>
          <w:rFonts w:ascii="Arial" w:cs="Arial" w:eastAsia="Arial" w:hAnsi="Arial"/>
          <w:sz w:val="22"/>
          <w:szCs w:val="22"/>
          <w:b w:val="1"/>
          <w:bCs w:val="1"/>
          <w:color w:val="auto"/>
        </w:rPr>
        <w:t>Liabilities</w:t>
      </w:r>
      <w:r>
        <w:rPr>
          <w:rFonts w:ascii="Arial" w:cs="Arial" w:eastAsia="Arial" w:hAnsi="Arial"/>
          <w:sz w:val="22"/>
          <w:szCs w:val="22"/>
          <w:color w:val="auto"/>
        </w:rPr>
        <w:t>”) arising out of or resulting from (A) any breach of its representations, warranties or obligations set forth in this Agreement or (B) any negligence or willful misconduct by Cardinal Health, except to the extent that any of the foregoing arises out of or results from any Client Indemnitee’s negligence, willful misconduct or breach of this Agreement.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Indemnification by Client</w:t>
      </w:r>
      <w:r>
        <w:rPr>
          <w:rFonts w:ascii="Arial" w:cs="Arial" w:eastAsia="Arial" w:hAnsi="Arial"/>
          <w:sz w:val="21"/>
          <w:szCs w:val="21"/>
          <w:color w:val="auto"/>
        </w:rPr>
        <w:t>. Client shall indemnify and hold harmless Cardinal Health, its Affiliates, and their respective directors, officers, employees and agents (“</w:t>
      </w:r>
      <w:r>
        <w:rPr>
          <w:rFonts w:ascii="Arial" w:cs="Arial" w:eastAsia="Arial" w:hAnsi="Arial"/>
          <w:sz w:val="21"/>
          <w:szCs w:val="21"/>
          <w:b w:val="1"/>
          <w:bCs w:val="1"/>
          <w:color w:val="auto"/>
        </w:rPr>
        <w:t>Cardinal Health Indemnitees</w:t>
      </w:r>
      <w:r>
        <w:rPr>
          <w:rFonts w:ascii="Arial" w:cs="Arial" w:eastAsia="Arial" w:hAnsi="Arial"/>
          <w:sz w:val="21"/>
          <w:szCs w:val="21"/>
          <w:color w:val="auto"/>
        </w:rPr>
        <w:t>”) from and against all Liabilities arising out of or resulting from (A) any breach of its representations, warranties or obligations set forth in this Agreement; (B) any manufacture, sale, promotion, distribution, shipping, use of or exposure to the Product or any materials supplied by Client, including, without limitation, product liability or strict liability; (C) Client’s exercise of control over the Services to the extent that Client’s instructions or directions violate applicable law; (D) any actual or alleged infringement or violation of any patent, trade secret, copyright, trademark or other proprietary rights concerning the Product or provided by Client; or (E) any negligence or willful misconduct by Client, except to the extent that any of the foregoing arises out of or results from any Cardinal Health Indemnitee’s negligence, willful misconduct or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428" w:right="339" w:bottom="1440" w:gutter="0" w:footer="0" w:header="0"/>
        </w:sectPr>
      </w:pPr>
    </w:p>
    <w:bookmarkStart w:id="99" w:name="page100"/>
    <w:bookmarkEnd w:id="99"/>
    <w:p>
      <w:pPr>
        <w:jc w:val="both"/>
        <w:spacing w:after="0" w:line="29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 All indemnification obligations in this Agreement are conditioned upon the Party seeking indemnification: (A) promptly notifying the indemnifying Party of any claim or liability of which the Party seeking indemnification becomes aware (including a copy of any related complaint, summons, notice or other instrument); provided, however, that failure to provide such notice within a reasonable period of time shall not relieve the indemnifying Party of any of its obligations hereunder except to the extent the indemnifying Party is prejudiced by such failure; (B) reasonably cooperating with the indemnifying Party in the defense of any such claim or liability (at the indemnifying Party’s expense); and (C) not compromising or settling any claim or liability without prior written consent of the indemnifying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LimitationS of Liability</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12.1 CARDINAL HEALTH’S TOTAL LIABILITY UNDER THIS AGREEMENT, WHETHER IN CONTRACT OR TORT, INCLUDING, WITHOUT LIMITATION, ANY OF CARDINAL HEALTH’S INDEMNITY OR OTHER FINANCIAL OBLIGATIONS UNDER ARTICLE 11, SHALL NOT EXCEED TWO TIMES (2X) THE TOTAL FEES PAID BY CLIENT TO CARDINAL HEALTH FOR THE SERVICES WHICH WERE INVOLVED IN CAUSING ANY CLAIMS, DAMAGES, LOSSES, COSTS OR EXPENSES.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12.2 NEITHER PARTY SHALL BE LIABLE TO THE OTHER PARTY FOR INDIRECT, INCIDENTAL, SPECIAL OR CONSEQUENTIAL DAMAGES ARISING OUT OF PERFORMANCE UNDER THIS AGREEMENT, INCLUDING WITHOUT LIMITATION, LOSS OF REVENUES, PROFITS OR DATA, WHETHER IN CONTRACT OR TORT, EVEN IF SUCH PARTY HAS BEEN ADVISED OF THE POSSIBILITY OF SUCH DAMAGES.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12.3 NOTWITHSTANDING ANYTHING TO THE CONTRARY HEREIN, THE LIMITATIONS IN THIS ARTICLE 12 SHALL NOT LIMIT CLIENT’S LIABILITY OR RESPONSIBILITY RELATING TO A BREACH OF ITS OBLIGATIONS UNDER ARTICLE 4 HEREIN.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Insurance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Insurance Policies</w:t>
      </w:r>
      <w:r>
        <w:rPr>
          <w:rFonts w:ascii="Arial" w:cs="Arial" w:eastAsia="Arial" w:hAnsi="Arial"/>
          <w:sz w:val="22"/>
          <w:szCs w:val="22"/>
          <w:color w:val="auto"/>
        </w:rPr>
        <w:t>. During the term of this Agreement, Client shall obtain and maintain the following insurance with limits not less than those specified below:</w:t>
      </w:r>
    </w:p>
    <w:p>
      <w:pPr>
        <w:spacing w:after="0" w:line="202" w:lineRule="exact"/>
        <w:rPr>
          <w:sz w:val="20"/>
          <w:szCs w:val="20"/>
          <w:color w:val="auto"/>
        </w:rPr>
      </w:pPr>
    </w:p>
    <w:p>
      <w:pPr>
        <w:ind w:right="20" w:firstLine="656"/>
        <w:spacing w:after="0" w:line="263" w:lineRule="auto"/>
        <w:tabs>
          <w:tab w:leader="none" w:pos="1164" w:val="left"/>
        </w:tabs>
        <w:numPr>
          <w:ilvl w:val="0"/>
          <w:numId w:val="54"/>
        </w:numPr>
        <w:rPr>
          <w:rFonts w:ascii="Arial" w:cs="Arial" w:eastAsia="Arial" w:hAnsi="Arial"/>
          <w:sz w:val="22"/>
          <w:szCs w:val="22"/>
          <w:color w:val="auto"/>
        </w:rPr>
      </w:pPr>
      <w:r>
        <w:rPr>
          <w:rFonts w:ascii="Arial" w:cs="Arial" w:eastAsia="Arial" w:hAnsi="Arial"/>
          <w:sz w:val="22"/>
          <w:szCs w:val="22"/>
          <w:color w:val="auto"/>
        </w:rPr>
        <w:t>Products and Completed Operations Liability Insurance covering the Products included in this Agreement with a limit of not less than $[***] per occurrence;</w:t>
      </w:r>
    </w:p>
    <w:p>
      <w:pPr>
        <w:spacing w:after="0" w:line="201" w:lineRule="exact"/>
        <w:rPr>
          <w:rFonts w:ascii="Arial" w:cs="Arial" w:eastAsia="Arial" w:hAnsi="Arial"/>
          <w:sz w:val="22"/>
          <w:szCs w:val="22"/>
          <w:color w:val="auto"/>
        </w:rPr>
      </w:pPr>
    </w:p>
    <w:p>
      <w:pPr>
        <w:jc w:val="both"/>
        <w:ind w:firstLine="656"/>
        <w:spacing w:after="0" w:line="312" w:lineRule="auto"/>
        <w:tabs>
          <w:tab w:leader="none" w:pos="1188"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All-Risk Property Insurance, including transit coverage, in an amount equal to full replacement value covering Client’s property while it is at the 3PL Facility or in transit to or from the 3PL Facility. Client’s all-risk property insurance shall apply to all losses and be primary (with respect both to any insurance issued to Cardinal Health and to any deductible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428" w:right="339" w:bottom="1440" w:gutter="0" w:footer="0" w:header="0"/>
        </w:sectPr>
      </w:pPr>
    </w:p>
    <w:bookmarkStart w:id="100" w:name="page101"/>
    <w:bookmarkEnd w:id="100"/>
    <w:p>
      <w:pPr>
        <w:jc w:val="both"/>
        <w:spacing w:after="0" w:line="263" w:lineRule="auto"/>
        <w:rPr>
          <w:sz w:val="20"/>
          <w:szCs w:val="20"/>
          <w:color w:val="auto"/>
        </w:rPr>
      </w:pPr>
      <w:r>
        <w:rPr>
          <w:rFonts w:ascii="Arial" w:cs="Arial" w:eastAsia="Arial" w:hAnsi="Arial"/>
          <w:sz w:val="22"/>
          <w:szCs w:val="22"/>
          <w:color w:val="auto"/>
        </w:rPr>
        <w:t>self-insured amount retained by Cardinal Health) except for losses resulting solely from the gross negligence or willful misconduct of Cardinal Health.</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event that any of the required policies of insurance are written on a claims-made basis, then such policies shall be maintained during the entire term of this Agreement and for a period of not less than five (5) years following the termination or expiration of this Agreement.</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Waiver</w:t>
      </w:r>
      <w:r>
        <w:rPr>
          <w:rFonts w:ascii="Arial" w:cs="Arial" w:eastAsia="Arial" w:hAnsi="Arial"/>
          <w:sz w:val="19"/>
          <w:szCs w:val="19"/>
          <w:color w:val="auto"/>
        </w:rPr>
        <w:t>. Client shall obtain a waiver from any insurance carrier with whom Client carries Property Insurance releasing its subrogation rights against Cardinal Health except for losses resulting solely from the gross negligence or willful misconduct of Cardinal Health. Client shall not seek reimbursement for any property claim, or portion thereof that is not fully recovered from Client’s property insurance except for losses resulting solely from the gross negligence or willful misconduct of Cardinal Health.</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Additional Insured Status</w:t>
      </w:r>
      <w:r>
        <w:rPr>
          <w:rFonts w:ascii="Arial" w:cs="Arial" w:eastAsia="Arial" w:hAnsi="Arial"/>
          <w:sz w:val="22"/>
          <w:szCs w:val="22"/>
          <w:color w:val="auto"/>
        </w:rPr>
        <w:t>. Cardinal Health, Inc., and its Affiliates shall be named as additional insureds under the Products and Completed Operations Liability insurance policies as respects the Products and completed operations outlined in this Agreement. Such insurance shall be primary (with respect both to any insurance issued to Cardinal Health and to any self-insured amount retained by Cardinal Health) with regard to Cardinal Health’s liability for damage arising out of those products for which they have been added as additional insureds. Such additional insurance status shall continue during the term and, if the policies are written on a claims-made basis, shall continue for not less than five (5) years following termination or expiration of this Agreement.</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Certificates</w:t>
      </w:r>
      <w:r>
        <w:rPr>
          <w:rFonts w:ascii="Arial" w:cs="Arial" w:eastAsia="Arial" w:hAnsi="Arial"/>
          <w:sz w:val="22"/>
          <w:szCs w:val="22"/>
          <w:color w:val="auto"/>
        </w:rPr>
        <w:t>. Client shall furnish certificates of insurance to Cardinal Health evidencing the required insurance and additional insured status as soon as practicable after the Effective Date and within thirty (30) days after renewal of such policies. Client will endeavor to provide thirty (30) days written notice of any cancellation prior to the policy(ies) expiration date(s). Each insurance policy that is required under this article shall be obtained from an insurance carrier with an A.M. Best rating of at least A-VII.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All notices and other communications hereunder shall be in writing and shall be deemed given: (A) when delivered personally;</w:t>
      </w:r>
    </w:p>
    <w:p>
      <w:pPr>
        <w:spacing w:after="0" w:line="56" w:lineRule="exact"/>
        <w:rPr>
          <w:sz w:val="20"/>
          <w:szCs w:val="20"/>
          <w:color w:val="auto"/>
        </w:rPr>
      </w:pPr>
    </w:p>
    <w:p>
      <w:pPr>
        <w:jc w:val="both"/>
        <w:ind w:firstLine="8"/>
        <w:spacing w:after="0" w:line="244" w:lineRule="auto"/>
        <w:tabs>
          <w:tab w:leader="none" w:pos="347" w:val="left"/>
        </w:tabs>
        <w:numPr>
          <w:ilvl w:val="0"/>
          <w:numId w:val="55"/>
        </w:numPr>
        <w:rPr>
          <w:rFonts w:ascii="Arial" w:cs="Arial" w:eastAsia="Arial" w:hAnsi="Arial"/>
          <w:sz w:val="22"/>
          <w:szCs w:val="22"/>
          <w:color w:val="auto"/>
        </w:rPr>
      </w:pPr>
      <w:r>
        <w:rPr>
          <w:rFonts w:ascii="Arial" w:cs="Arial" w:eastAsia="Arial" w:hAnsi="Arial"/>
          <w:sz w:val="22"/>
          <w:szCs w:val="22"/>
          <w:color w:val="auto"/>
        </w:rPr>
        <w:t>when delivered by facsimile transmission (receipt verified); (C) when received or refused, if mailed by registered or certified mail (return receipt requested), postage prepaid; or (D) when delivered if sent by express courier service, to the Parties at the following addresses (or at such other address for a Party as shall be specified by like notice; provided, that notices of a change of address shall be effective only upon receipt thereof):</w:t>
      </w:r>
    </w:p>
    <w:p>
      <w:pPr>
        <w:sectPr>
          <w:pgSz w:w="11900" w:h="16838" w:orient="portrait"/>
          <w:cols w:equalWidth="0" w:num="1">
            <w:col w:w="11240"/>
          </w:cols>
          <w:pgMar w:left="320" w:top="1422" w:right="339" w:bottom="1440" w:gutter="0" w:footer="0" w:header="0"/>
        </w:sect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Client: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Arcutis Biotherapeutics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3027 Townsgate Road, Suite 300</w:t>
      </w:r>
    </w:p>
    <w:p>
      <w:pPr>
        <w:spacing w:after="0" w:line="4" w:lineRule="exact"/>
        <w:rPr>
          <w:sz w:val="20"/>
          <w:szCs w:val="20"/>
          <w:color w:val="auto"/>
        </w:rPr>
      </w:pPr>
    </w:p>
    <w:p>
      <w:pPr>
        <w:ind w:left="2180"/>
        <w:spacing w:after="0"/>
        <w:rPr>
          <w:sz w:val="20"/>
          <w:szCs w:val="20"/>
          <w:color w:val="auto"/>
        </w:rPr>
      </w:pPr>
      <w:r>
        <w:rPr>
          <w:rFonts w:ascii="Arial" w:cs="Arial" w:eastAsia="Arial" w:hAnsi="Arial"/>
          <w:sz w:val="19"/>
          <w:szCs w:val="19"/>
          <w:color w:val="auto"/>
        </w:rPr>
        <w:t>Westlake Village, CA 91361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Attn: VP of Market Access</w:t>
      </w:r>
    </w:p>
    <w:p>
      <w:pPr>
        <w:spacing w:after="0" w:line="200" w:lineRule="exact"/>
        <w:rPr>
          <w:sz w:val="20"/>
          <w:szCs w:val="20"/>
          <w:color w:val="auto"/>
        </w:rPr>
      </w:pPr>
    </w:p>
    <w:p>
      <w:pPr>
        <w:sectPr>
          <w:pgSz w:w="11900" w:h="16838" w:orient="portrait"/>
          <w:cols w:equalWidth="0" w:num="2">
            <w:col w:w="1520" w:space="200"/>
            <w:col w:w="9520"/>
          </w:cols>
          <w:pgMar w:left="320" w:top="1422" w:right="339" w:bottom="1440" w:gutter="0" w:footer="0" w:header="0"/>
          <w:type w:val="continuous"/>
        </w:sectPr>
      </w:pPr>
    </w:p>
    <w:p>
      <w:pPr>
        <w:spacing w:after="0" w:line="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Arcutis Biotherapeutics</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3027 Townsgate Road, Suite 300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Westlake Village, CA 91361</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Attn: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22"/>
          <w:szCs w:val="22"/>
          <w:color w:val="auto"/>
        </w:rPr>
        <w:t>To Cardinal Health:</w:t>
      </w:r>
      <w:r>
        <w:rPr>
          <w:sz w:val="20"/>
          <w:szCs w:val="20"/>
          <w:color w:val="auto"/>
        </w:rPr>
        <w:tab/>
      </w:r>
      <w:r>
        <w:rPr>
          <w:rFonts w:ascii="Arial" w:cs="Arial" w:eastAsia="Arial" w:hAnsi="Arial"/>
          <w:sz w:val="19"/>
          <w:szCs w:val="19"/>
          <w:color w:val="auto"/>
        </w:rPr>
        <w:t>Cardinal Health 105, Inc.</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Third-Party Logistics Services</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501 Mason Road, Suite 200</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La Vergne, TN 37086</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Attn: VP, Operations</w:t>
      </w:r>
    </w:p>
    <w:p>
      <w:pPr>
        <w:spacing w:after="0" w:line="242"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Cardinal Health, Inc.</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7000 Cardinal Place</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Dublin, Ohio 43017</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Attn: Associate General Counsel</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Facsimile: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422" w:right="339" w:bottom="1440" w:gutter="0" w:footer="0" w:header="0"/>
          <w:type w:val="continuous"/>
        </w:sectPr>
      </w:pPr>
    </w:p>
    <w:bookmarkStart w:id="102" w:name="page103"/>
    <w:bookmarkEnd w:id="102"/>
    <w:p>
      <w:pPr>
        <w:ind w:left="5000"/>
        <w:spacing w:after="0"/>
        <w:rPr>
          <w:sz w:val="20"/>
          <w:szCs w:val="20"/>
          <w:color w:val="auto"/>
        </w:rPr>
      </w:pPr>
      <w:r>
        <w:rPr>
          <w:rFonts w:ascii="Arial" w:cs="Arial" w:eastAsia="Arial" w:hAnsi="Arial"/>
          <w:sz w:val="22"/>
          <w:szCs w:val="22"/>
          <w:b w:val="1"/>
          <w:bCs w:val="1"/>
          <w:color w:val="auto"/>
        </w:rPr>
        <w:t>ARTICLE 15</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Miscellaneous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Entire Agreement; Amendments</w:t>
      </w:r>
      <w:r>
        <w:rPr>
          <w:rFonts w:ascii="Arial" w:cs="Arial" w:eastAsia="Arial" w:hAnsi="Arial"/>
          <w:sz w:val="22"/>
          <w:szCs w:val="22"/>
          <w:color w:val="auto"/>
        </w:rPr>
        <w:t>. This Agreement, the attachments and any amendments thereto constitute the entire understanding between the Parties and supersede any contracts, agreements or understanding (oral or written) of the Parties with respect to the subject matter hereof. No term of this Agreement may be amended except upon written agreement of both Parties, unless otherwise provided in this Agreement.</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Captions</w:t>
      </w:r>
      <w:r>
        <w:rPr>
          <w:rFonts w:ascii="Arial" w:cs="Arial" w:eastAsia="Arial" w:hAnsi="Arial"/>
          <w:sz w:val="22"/>
          <w:szCs w:val="22"/>
          <w:color w:val="auto"/>
        </w:rPr>
        <w:t>. The captions in this Agreement are for convenience only and are not to be interpreted or construed as a substantive part of this Agreement</w:t>
      </w:r>
    </w:p>
    <w:p>
      <w:pPr>
        <w:spacing w:after="0" w:line="20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Parties agree to execute, acknowledge and deliver such further instruments and to take all such other incidental acts as may be reasonably necessary or appropriate to carry out the purpose and intent of this Agreement.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No Waiver</w:t>
      </w:r>
      <w:r>
        <w:rPr>
          <w:rFonts w:ascii="Arial" w:cs="Arial" w:eastAsia="Arial" w:hAnsi="Arial"/>
          <w:sz w:val="22"/>
          <w:szCs w:val="22"/>
          <w:color w:val="auto"/>
        </w:rPr>
        <w:t>. Failure by either Party to insist upon strict compliance with any term of this Agreement in any one or more instances shall not be deemed to be a waiver of its rights to insist upon such strict compliance with respect to any subsequent failure.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of this Agreement is declared invalid or unenforceable by a court or other body of competent jurisdiction, the remaining terms of this Agreement shall continue in full force and effect.</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The relationship of the Parties is that of independent contractors, and neither Party shall incur any debts or make any commitments for the other Party except to the extent expressly provided in this Agreement. Nothing in this Agreement is intended to create or shall be construed as creating between the Parties the relationship of joint venturers, co-partners, employer/employee or principal and agent.</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15.7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Parties, their successors and permitted assigns. Neither Party may assign this Agreement, in whole or in part, without the prior written consent of the other Party, except that either Party may, without the other Party's consent, assign this Agreement to an Affiliate or to a successor to substantially all of the business or assets of the assigning company to which this Agreement relates.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Agreement shall be governed by and construed under the laws of the State of Tennessee, excluding its conflicts of law provisions. </w:t>
      </w:r>
      <w:r>
        <w:rPr>
          <w:rFonts w:ascii="Arial" w:cs="Arial" w:eastAsia="Arial" w:hAnsi="Arial"/>
          <w:sz w:val="22"/>
          <w:szCs w:val="22"/>
          <w:b w:val="1"/>
          <w:bCs w:val="1"/>
          <w:color w:val="auto"/>
        </w:rPr>
        <w:t>The United Nations Convention on Contracts for the International Sale of Goods shall not</w:t>
      </w:r>
      <w:r>
        <w:rPr>
          <w:rFonts w:ascii="Arial" w:cs="Arial" w:eastAsia="Arial" w:hAnsi="Arial"/>
          <w:sz w:val="22"/>
          <w:szCs w:val="22"/>
          <w:color w:val="auto"/>
        </w:rPr>
        <w:t xml:space="preserve"> </w:t>
      </w:r>
      <w:r>
        <w:rPr>
          <w:rFonts w:ascii="Arial" w:cs="Arial" w:eastAsia="Arial" w:hAnsi="Arial"/>
          <w:sz w:val="22"/>
          <w:szCs w:val="22"/>
          <w:b w:val="1"/>
          <w:bCs w:val="1"/>
          <w:color w:val="auto"/>
        </w:rPr>
        <w:t>apply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52"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u w:val="single" w:color="auto"/>
          <w:color w:val="auto"/>
        </w:rPr>
        <w:t>Dispute Resolution</w:t>
      </w:r>
      <w:r>
        <w:rPr>
          <w:rFonts w:ascii="Arial" w:cs="Arial" w:eastAsia="Arial" w:hAnsi="Arial"/>
          <w:sz w:val="22"/>
          <w:szCs w:val="22"/>
          <w:color w:val="auto"/>
        </w:rPr>
        <w:t>. If any dispute, controversy or disagreement arises between the Parties (“</w:t>
      </w:r>
      <w:r>
        <w:rPr>
          <w:rFonts w:ascii="Arial" w:cs="Arial" w:eastAsia="Arial" w:hAnsi="Arial"/>
          <w:sz w:val="22"/>
          <w:szCs w:val="22"/>
          <w:b w:val="1"/>
          <w:bCs w:val="1"/>
          <w:color w:val="auto"/>
        </w:rPr>
        <w:t>Dispute</w:t>
      </w:r>
      <w:r>
        <w:rPr>
          <w:rFonts w:ascii="Arial" w:cs="Arial" w:eastAsia="Arial" w:hAnsi="Arial"/>
          <w:sz w:val="22"/>
          <w:szCs w:val="22"/>
          <w:color w:val="auto"/>
        </w:rPr>
        <w:t>”), such Dispute shall be presented to the respective presidents or senior executives of Cardinal Health and Client for their consideration and resolution. If such Parties cannot reach a resolution of the Dispute within sixty (60) days, either Party may submit the Dispute to a court of appropriate jurisdiction.</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15.10 </w:t>
      </w:r>
      <w:r>
        <w:rPr>
          <w:rFonts w:ascii="Arial" w:cs="Arial" w:eastAsia="Arial" w:hAnsi="Arial"/>
          <w:sz w:val="22"/>
          <w:szCs w:val="22"/>
          <w:u w:val="single" w:color="auto"/>
          <w:color w:val="auto"/>
        </w:rPr>
        <w:t>Prevailing Party</w:t>
      </w:r>
      <w:r>
        <w:rPr>
          <w:rFonts w:ascii="Arial" w:cs="Arial" w:eastAsia="Arial" w:hAnsi="Arial"/>
          <w:sz w:val="22"/>
          <w:szCs w:val="22"/>
          <w:color w:val="auto"/>
        </w:rPr>
        <w:t>. In any dispute resolution proceeding between the Parties in connection with this Agreement, the prevailing Party shall be entitled to its reasonable attorney's fees and costs in such proceeding.</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15.11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but all of which together shall constitute one and the same instrument. Any photocopy, facsimile or electronic reproduction of the executed Agreement shall constitute an original.</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15.12 </w:t>
      </w:r>
      <w:r>
        <w:rPr>
          <w:rFonts w:ascii="Arial" w:cs="Arial" w:eastAsia="Arial" w:hAnsi="Arial"/>
          <w:sz w:val="19"/>
          <w:szCs w:val="19"/>
          <w:u w:val="single" w:color="auto"/>
          <w:color w:val="auto"/>
        </w:rPr>
        <w:t>Publicity</w:t>
      </w:r>
      <w:r>
        <w:rPr>
          <w:rFonts w:ascii="Arial" w:cs="Arial" w:eastAsia="Arial" w:hAnsi="Arial"/>
          <w:sz w:val="19"/>
          <w:szCs w:val="19"/>
          <w:color w:val="auto"/>
        </w:rPr>
        <w:t>. Neither Party shall make any press release or other public disclosure regarding this Agreement or the transactions contemplated hereby without the other Party's express prior written consent, except as required under applicable law or by any governmental agency (including without limitation, as required by and/or in order to comply with the requirements of the Securities and Exchange Commission (SEC) or any other agency governing publicly traded companies, including in connection with Client’s public filings), in which case the Party required to make the press release or public disclosure shall use commercially reasonable efforts to obtain the approval of the other Party as to the form, nature and extent of the press release or public disclosure prior to issuing the press release or making the public disclosure.</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15.13 </w:t>
      </w:r>
      <w:r>
        <w:rPr>
          <w:rFonts w:ascii="Arial" w:cs="Arial" w:eastAsia="Arial" w:hAnsi="Arial"/>
          <w:sz w:val="22"/>
          <w:szCs w:val="22"/>
          <w:u w:val="single" w:color="auto"/>
          <w:color w:val="auto"/>
        </w:rPr>
        <w:t>Setoff</w:t>
      </w:r>
      <w:r>
        <w:rPr>
          <w:rFonts w:ascii="Arial" w:cs="Arial" w:eastAsia="Arial" w:hAnsi="Arial"/>
          <w:sz w:val="22"/>
          <w:szCs w:val="22"/>
          <w:color w:val="auto"/>
        </w:rPr>
        <w:t>. Without limiting Cardinal Health’s rights under law or in equity, Cardinal Health and its Affiliates, parent or related entities, collectively or individually, may exercise a right of set-off against any and all amounts due to Cardinal Health from Client that are at least thirty (30) days past due after providing Client with not less than fifteen (15) business days’ prior written notice (specifying the supporting details for such amount due). For purposes of this section, Cardinal Health, its Affiliates, parent or related entities shall be deemed to be a single creditor.</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15.14 </w:t>
      </w:r>
      <w:r>
        <w:rPr>
          <w:rFonts w:ascii="Arial" w:cs="Arial" w:eastAsia="Arial" w:hAnsi="Arial"/>
          <w:sz w:val="22"/>
          <w:szCs w:val="22"/>
          <w:u w:val="single" w:color="auto"/>
          <w:color w:val="auto"/>
        </w:rPr>
        <w:t>Survival</w:t>
      </w:r>
      <w:r>
        <w:rPr>
          <w:rFonts w:ascii="Arial" w:cs="Arial" w:eastAsia="Arial" w:hAnsi="Arial"/>
          <w:sz w:val="22"/>
          <w:szCs w:val="22"/>
          <w:color w:val="auto"/>
        </w:rPr>
        <w:t>. The rights and obligations of the Parties shall continue under Articles 10 (Confidentiality and Non-Use), to the extent expressly stated therein, 11 (Indemnification), 12 (Limitations of Liability), 13 (Insurance), to the extent expressly stated therein, 14 (Notice) and 15 (Miscellaneous) and Section 6.4 (Effect of Termination), notwithstanding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422" w:right="339" w:bottom="1440" w:gutter="0" w:footer="0" w:header="0"/>
        </w:sectPr>
      </w:pPr>
    </w:p>
    <w:bookmarkStart w:id="104" w:name="page105"/>
    <w:bookmarkEnd w:id="104"/>
    <w:p>
      <w:pPr>
        <w:jc w:val="both"/>
        <w:spacing w:after="0" w:line="258" w:lineRule="auto"/>
        <w:rPr>
          <w:sz w:val="20"/>
          <w:szCs w:val="20"/>
          <w:color w:val="auto"/>
        </w:rPr>
      </w:pPr>
      <w:r>
        <w:rPr>
          <w:rFonts w:ascii="Arial" w:cs="Arial" w:eastAsia="Arial" w:hAnsi="Arial"/>
          <w:sz w:val="21"/>
          <w:szCs w:val="21"/>
          <w:color w:val="auto"/>
        </w:rPr>
        <w:t xml:space="preserve">15.15 </w:t>
      </w:r>
      <w:r>
        <w:rPr>
          <w:rFonts w:ascii="Arial" w:cs="Arial" w:eastAsia="Arial" w:hAnsi="Arial"/>
          <w:sz w:val="21"/>
          <w:szCs w:val="21"/>
          <w:u w:val="single" w:color="auto"/>
          <w:color w:val="auto"/>
        </w:rPr>
        <w:t>Force Majeure</w:t>
      </w:r>
      <w:r>
        <w:rPr>
          <w:rFonts w:ascii="Arial" w:cs="Arial" w:eastAsia="Arial" w:hAnsi="Arial"/>
          <w:sz w:val="21"/>
          <w:szCs w:val="21"/>
          <w:color w:val="auto"/>
        </w:rPr>
        <w:t>. Except as to payments required under this Agreement, neither Party shall be liable in damages for, nor shall this Agreement be terminable or cancelable by reason of, any delay or default in such Party’s performance hereunder if such default or delay is caused by events beyond such Party’s reasonable control including, but not limited to, acts of God, regulation or law or other action or failure to act of any government or agency thereof, war or insurrection, civil commotion, destruction of production facilities or materials by earthquake, fire, flood or storm, labor disturbances, epidemic, or failure of suppliers, public utilities or common carriers; provided however, that the Party seeking relief hereunder shall immediately notify the other Party of such cause(s) beyond such Party’s reasonable control. The Party that may invoke this section shall use all reasonable endeavors to reinstate its ongoing obligations to the other. If the cause(s) shall continue unabated for one hundred eighty (180) days, then both Parties shall meet to discuss and negotiate in good faith what modifications to this Agreement should result from this force majeure.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Exclusive Distribution Agreement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05" w:name="page106"/>
    <w:bookmarkEnd w:id="105"/>
    <w:p>
      <w:pPr>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undersigned have caused their duly authorized representative to execute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date first written above.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380" w:type="dxa"/>
            <w:vAlign w:val="bottom"/>
            <w:gridSpan w:val="5"/>
          </w:tcPr>
          <w:p>
            <w:pPr>
              <w:spacing w:after="0"/>
              <w:rPr>
                <w:sz w:val="20"/>
                <w:szCs w:val="20"/>
                <w:color w:val="auto"/>
              </w:rPr>
            </w:pPr>
            <w:r>
              <w:rPr>
                <w:rFonts w:ascii="Arial" w:cs="Arial" w:eastAsia="Arial" w:hAnsi="Arial"/>
                <w:sz w:val="22"/>
                <w:szCs w:val="22"/>
                <w:b w:val="1"/>
                <w:bCs w:val="1"/>
                <w:color w:val="auto"/>
              </w:rPr>
              <w:t>CARDINAL HEALTH 105, INC.</w:t>
            </w:r>
          </w:p>
        </w:tc>
        <w:tc>
          <w:tcPr>
            <w:tcW w:w="4500" w:type="dxa"/>
            <w:vAlign w:val="bottom"/>
            <w:gridSpan w:val="6"/>
          </w:tcPr>
          <w:p>
            <w:pPr>
              <w:ind w:left="320"/>
              <w:spacing w:after="0"/>
              <w:rPr>
                <w:sz w:val="20"/>
                <w:szCs w:val="20"/>
                <w:color w:val="auto"/>
              </w:rPr>
            </w:pPr>
            <w:r>
              <w:rPr>
                <w:rFonts w:ascii="Arial" w:cs="Arial" w:eastAsia="Arial" w:hAnsi="Arial"/>
                <w:sz w:val="22"/>
                <w:szCs w:val="22"/>
                <w:b w:val="1"/>
                <w:bCs w:val="1"/>
                <w:color w:val="auto"/>
              </w:rPr>
              <w:t>Arcutis Biotherapeutics, Inc.</w:t>
            </w:r>
          </w:p>
        </w:tc>
      </w:tr>
      <w:tr>
        <w:trPr>
          <w:trHeight w:val="705"/>
        </w:trPr>
        <w:tc>
          <w:tcPr>
            <w:tcW w:w="4160" w:type="dxa"/>
            <w:vAlign w:val="bottom"/>
            <w:gridSpan w:val="6"/>
          </w:tcPr>
          <w:p>
            <w:pPr>
              <w:spacing w:after="0"/>
              <w:rPr>
                <w:sz w:val="20"/>
                <w:szCs w:val="20"/>
                <w:color w:val="auto"/>
              </w:rPr>
            </w:pPr>
            <w:r>
              <w:rPr>
                <w:rFonts w:ascii="Arial" w:cs="Arial" w:eastAsia="Arial" w:hAnsi="Arial"/>
                <w:sz w:val="22"/>
                <w:szCs w:val="22"/>
                <w:color w:val="auto"/>
                <w:w w:val="95"/>
              </w:rPr>
              <w:t>By: __/s/ Joel Waymen_________________</w:t>
            </w:r>
          </w:p>
        </w:tc>
        <w:tc>
          <w:tcPr>
            <w:tcW w:w="3720" w:type="dxa"/>
            <w:vAlign w:val="bottom"/>
            <w:gridSpan w:val="5"/>
          </w:tcPr>
          <w:p>
            <w:pPr>
              <w:ind w:left="120"/>
              <w:spacing w:after="0"/>
              <w:rPr>
                <w:sz w:val="20"/>
                <w:szCs w:val="20"/>
                <w:color w:val="auto"/>
              </w:rPr>
            </w:pPr>
            <w:r>
              <w:rPr>
                <w:rFonts w:ascii="Arial" w:cs="Arial" w:eastAsia="Arial" w:hAnsi="Arial"/>
                <w:sz w:val="22"/>
                <w:szCs w:val="22"/>
                <w:color w:val="auto"/>
                <w:w w:val="89"/>
              </w:rPr>
              <w:t>By: _/s/ Frank Watanabe_____________</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2"/>
        </w:trPr>
        <w:tc>
          <w:tcPr>
            <w:tcW w:w="2020" w:type="dxa"/>
            <w:vAlign w:val="bottom"/>
            <w:gridSpan w:val="4"/>
          </w:tcPr>
          <w:p>
            <w:pPr>
              <w:spacing w:after="0"/>
              <w:rPr>
                <w:sz w:val="20"/>
                <w:szCs w:val="20"/>
                <w:color w:val="auto"/>
              </w:rPr>
            </w:pPr>
            <w:r>
              <w:rPr>
                <w:rFonts w:ascii="Arial" w:cs="Arial" w:eastAsia="Arial" w:hAnsi="Arial"/>
                <w:sz w:val="22"/>
                <w:szCs w:val="22"/>
                <w:color w:val="auto"/>
              </w:rPr>
              <w:t>Joel Wayment</w:t>
            </w:r>
          </w:p>
        </w:tc>
        <w:tc>
          <w:tcPr>
            <w:tcW w:w="2140" w:type="dxa"/>
            <w:vAlign w:val="bottom"/>
            <w:gridSpan w:val="2"/>
          </w:tcPr>
          <w:p>
            <w:pPr>
              <w:jc w:val="center"/>
              <w:ind w:left="172"/>
              <w:spacing w:after="0"/>
              <w:rPr>
                <w:sz w:val="20"/>
                <w:szCs w:val="20"/>
                <w:color w:val="auto"/>
              </w:rPr>
            </w:pPr>
            <w:r>
              <w:rPr>
                <w:rFonts w:ascii="Arial" w:cs="Arial" w:eastAsia="Arial" w:hAnsi="Arial"/>
                <w:sz w:val="22"/>
                <w:szCs w:val="22"/>
                <w:color w:val="auto"/>
                <w:w w:val="87"/>
              </w:rPr>
              <w:t>Frank Watanabe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4"/>
        </w:trPr>
        <w:tc>
          <w:tcPr>
            <w:tcW w:w="2020" w:type="dxa"/>
            <w:vAlign w:val="bottom"/>
            <w:gridSpan w:val="4"/>
          </w:tcPr>
          <w:p>
            <w:pPr>
              <w:spacing w:after="0"/>
              <w:rPr>
                <w:sz w:val="20"/>
                <w:szCs w:val="20"/>
                <w:color w:val="auto"/>
              </w:rPr>
            </w:pPr>
            <w:r>
              <w:rPr>
                <w:rFonts w:ascii="Arial" w:cs="Arial" w:eastAsia="Arial" w:hAnsi="Arial"/>
                <w:sz w:val="22"/>
                <w:szCs w:val="22"/>
                <w:color w:val="auto"/>
              </w:rPr>
              <w:t>VP, Operations</w:t>
            </w:r>
          </w:p>
        </w:tc>
        <w:tc>
          <w:tcPr>
            <w:tcW w:w="2140" w:type="dxa"/>
            <w:vAlign w:val="bottom"/>
            <w:gridSpan w:val="2"/>
          </w:tcPr>
          <w:p>
            <w:pPr>
              <w:jc w:val="center"/>
              <w:ind w:left="172"/>
              <w:spacing w:after="0"/>
              <w:rPr>
                <w:sz w:val="20"/>
                <w:szCs w:val="20"/>
                <w:color w:val="auto"/>
              </w:rPr>
            </w:pPr>
            <w:r>
              <w:rPr>
                <w:rFonts w:ascii="Arial" w:cs="Arial" w:eastAsia="Arial" w:hAnsi="Arial"/>
                <w:sz w:val="22"/>
                <w:szCs w:val="22"/>
                <w:color w:val="auto"/>
                <w:w w:val="87"/>
              </w:rPr>
              <w:t>President and CEO</w:t>
            </w: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49"/>
        </w:trPr>
        <w:tc>
          <w:tcPr>
            <w:tcW w:w="4160" w:type="dxa"/>
            <w:vAlign w:val="bottom"/>
            <w:gridSpan w:val="6"/>
          </w:tcPr>
          <w:p>
            <w:pPr>
              <w:spacing w:after="0"/>
              <w:rPr>
                <w:sz w:val="20"/>
                <w:szCs w:val="20"/>
                <w:color w:val="auto"/>
              </w:rPr>
            </w:pPr>
            <w:r>
              <w:rPr>
                <w:rFonts w:ascii="Arial" w:cs="Arial" w:eastAsia="Arial" w:hAnsi="Arial"/>
                <w:sz w:val="22"/>
                <w:szCs w:val="22"/>
                <w:color w:val="auto"/>
                <w:w w:val="94"/>
              </w:rPr>
              <w:t>Date: __2/18/2021_____________________</w:t>
            </w:r>
          </w:p>
        </w:tc>
        <w:tc>
          <w:tcPr>
            <w:tcW w:w="3720" w:type="dxa"/>
            <w:vAlign w:val="bottom"/>
            <w:gridSpan w:val="5"/>
          </w:tcPr>
          <w:p>
            <w:pPr>
              <w:ind w:left="160"/>
              <w:spacing w:after="0"/>
              <w:rPr>
                <w:sz w:val="20"/>
                <w:szCs w:val="20"/>
                <w:color w:val="auto"/>
              </w:rPr>
            </w:pPr>
            <w:r>
              <w:rPr>
                <w:rFonts w:ascii="Arial" w:cs="Arial" w:eastAsia="Arial" w:hAnsi="Arial"/>
                <w:sz w:val="22"/>
                <w:szCs w:val="22"/>
                <w:color w:val="auto"/>
                <w:w w:val="88"/>
              </w:rPr>
              <w:t>Date: __2/18/2021__________________</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Exclusive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03" w:right="2340" w:firstLine="696"/>
        <w:spacing w:after="0" w:line="267" w:lineRule="auto"/>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RCUTIS</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IOTHERAPEUTICS</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 S</w:t>
      </w:r>
      <w:r>
        <w:rPr>
          <w:rFonts w:ascii="Arial" w:cs="Arial" w:eastAsia="Arial" w:hAnsi="Arial"/>
          <w:sz w:val="16"/>
          <w:szCs w:val="16"/>
          <w:b w:val="1"/>
          <w:bCs w:val="1"/>
          <w:color w:val="auto"/>
        </w:rPr>
        <w:t>EVERANCE</w:t>
      </w:r>
      <w:r>
        <w:rPr>
          <w:rFonts w:ascii="Arial" w:cs="Arial" w:eastAsia="Arial" w:hAnsi="Arial"/>
          <w:sz w:val="20"/>
          <w:szCs w:val="20"/>
          <w:b w:val="1"/>
          <w:bCs w:val="1"/>
          <w:color w:val="auto"/>
        </w:rPr>
        <w:t xml:space="preserve"> &amp; C</w:t>
      </w:r>
      <w:r>
        <w:rPr>
          <w:rFonts w:ascii="Arial" w:cs="Arial" w:eastAsia="Arial" w:hAnsi="Arial"/>
          <w:sz w:val="16"/>
          <w:szCs w:val="16"/>
          <w:b w:val="1"/>
          <w:bCs w:val="1"/>
          <w:color w:val="auto"/>
        </w:rPr>
        <w:t>HANGE IN</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ONTROL</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p>
    <w:p>
      <w:pPr>
        <w:spacing w:after="0" w:line="366" w:lineRule="exact"/>
        <w:rPr>
          <w:sz w:val="20"/>
          <w:szCs w:val="20"/>
          <w:color w:val="auto"/>
        </w:rPr>
      </w:pPr>
    </w:p>
    <w:p>
      <w:pPr>
        <w:jc w:val="both"/>
        <w:ind w:left="3" w:right="120" w:firstLine="647"/>
        <w:spacing w:after="0" w:line="260" w:lineRule="auto"/>
        <w:rPr>
          <w:sz w:val="20"/>
          <w:szCs w:val="20"/>
          <w:color w:val="auto"/>
        </w:rPr>
      </w:pPr>
      <w:r>
        <w:rPr>
          <w:rFonts w:ascii="Arial" w:cs="Arial" w:eastAsia="Arial" w:hAnsi="Arial"/>
          <w:sz w:val="19"/>
          <w:szCs w:val="19"/>
          <w:color w:val="auto"/>
        </w:rPr>
        <w:t>This Severance &amp; Change in Control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by and between Scott L. Burrows (the “</w:t>
      </w:r>
      <w:r>
        <w:rPr>
          <w:rFonts w:ascii="Arial" w:cs="Arial" w:eastAsia="Arial" w:hAnsi="Arial"/>
          <w:sz w:val="19"/>
          <w:szCs w:val="19"/>
          <w:b w:val="1"/>
          <w:bCs w:val="1"/>
          <w:color w:val="auto"/>
        </w:rPr>
        <w:t>Executive</w:t>
      </w:r>
      <w:r>
        <w:rPr>
          <w:rFonts w:ascii="Arial" w:cs="Arial" w:eastAsia="Arial" w:hAnsi="Arial"/>
          <w:sz w:val="19"/>
          <w:szCs w:val="19"/>
          <w:color w:val="auto"/>
        </w:rPr>
        <w:t>”) and Arcutis Biotherapeutics, Inc., a Delaware company (the “</w:t>
      </w:r>
      <w:r>
        <w:rPr>
          <w:rFonts w:ascii="Arial" w:cs="Arial" w:eastAsia="Arial" w:hAnsi="Arial"/>
          <w:sz w:val="19"/>
          <w:szCs w:val="19"/>
          <w:b w:val="1"/>
          <w:bCs w:val="1"/>
          <w:color w:val="auto"/>
        </w:rPr>
        <w:t>Company</w:t>
      </w:r>
      <w:r>
        <w:rPr>
          <w:rFonts w:ascii="Arial" w:cs="Arial" w:eastAsia="Arial" w:hAnsi="Arial"/>
          <w:sz w:val="19"/>
          <w:szCs w:val="19"/>
          <w:color w:val="auto"/>
        </w:rPr>
        <w:t>”), and is effective as of the date that this Agreement is signed by both parties (the “</w:t>
      </w:r>
      <w:r>
        <w:rPr>
          <w:rFonts w:ascii="Arial" w:cs="Arial" w:eastAsia="Arial" w:hAnsi="Arial"/>
          <w:sz w:val="19"/>
          <w:szCs w:val="19"/>
          <w:b w:val="1"/>
          <w:bCs w:val="1"/>
          <w:color w:val="auto"/>
        </w:rPr>
        <w:t>Effective Date</w:t>
      </w:r>
      <w:r>
        <w:rPr>
          <w:rFonts w:ascii="Arial" w:cs="Arial" w:eastAsia="Arial" w:hAnsi="Arial"/>
          <w:sz w:val="19"/>
          <w:szCs w:val="19"/>
          <w:color w:val="auto"/>
        </w:rPr>
        <w:t>”). This Agreement supersedes the Severance &amp; Change in Control Agreement previously entered into by and between the Executive and the Company which was effective as of the first date on which the registration statement on Form S-1 for the initial public offering of the Company’s Common Stock was declared effective by the United States Securities and Exchange Commission or, if later, the date that the prior agreement was signed.</w:t>
      </w:r>
    </w:p>
    <w:p>
      <w:pPr>
        <w:spacing w:after="0" w:line="227" w:lineRule="exact"/>
        <w:rPr>
          <w:sz w:val="20"/>
          <w:szCs w:val="20"/>
          <w:color w:val="auto"/>
        </w:rPr>
      </w:pPr>
    </w:p>
    <w:p>
      <w:pPr>
        <w:ind w:left="643" w:hanging="643"/>
        <w:spacing w:after="0"/>
        <w:tabs>
          <w:tab w:leader="none" w:pos="643" w:val="left"/>
        </w:tabs>
        <w:numPr>
          <w:ilvl w:val="0"/>
          <w:numId w:val="56"/>
        </w:numPr>
        <w:rPr>
          <w:rFonts w:ascii="Arial" w:cs="Arial" w:eastAsia="Arial" w:hAnsi="Arial"/>
          <w:sz w:val="22"/>
          <w:szCs w:val="22"/>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ERM OF</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r>
        <w:rPr>
          <w:rFonts w:ascii="Arial" w:cs="Arial" w:eastAsia="Arial" w:hAnsi="Arial"/>
          <w:sz w:val="20"/>
          <w:szCs w:val="20"/>
          <w:b w:val="1"/>
          <w:bCs w:val="1"/>
          <w:color w:val="auto"/>
        </w:rPr>
        <w:t>.</w:t>
      </w:r>
    </w:p>
    <w:p>
      <w:pPr>
        <w:spacing w:after="0" w:line="199" w:lineRule="exact"/>
        <w:rPr>
          <w:sz w:val="20"/>
          <w:szCs w:val="20"/>
          <w:color w:val="auto"/>
        </w:rPr>
      </w:pPr>
    </w:p>
    <w:p>
      <w:pPr>
        <w:jc w:val="both"/>
        <w:ind w:left="3" w:right="120" w:firstLine="647"/>
        <w:spacing w:after="0" w:line="250" w:lineRule="auto"/>
        <w:rPr>
          <w:sz w:val="20"/>
          <w:szCs w:val="20"/>
          <w:color w:val="auto"/>
        </w:rPr>
      </w:pPr>
      <w:r>
        <w:rPr>
          <w:rFonts w:ascii="Arial" w:cs="Arial" w:eastAsia="Arial" w:hAnsi="Arial"/>
          <w:sz w:val="20"/>
          <w:szCs w:val="20"/>
          <w:color w:val="auto"/>
        </w:rPr>
        <w:t>This Agreement shall terminate on the earlier of (i) the date Executive’s employment with the Company terminates for a reason other than a Qualifying Termination, or (ii) the date the Company has met all of its obligations under this Agreement following a Qualifying Termination (the “</w:t>
      </w:r>
      <w:r>
        <w:rPr>
          <w:rFonts w:ascii="Arial" w:cs="Arial" w:eastAsia="Arial" w:hAnsi="Arial"/>
          <w:sz w:val="20"/>
          <w:szCs w:val="20"/>
          <w:b w:val="1"/>
          <w:bCs w:val="1"/>
          <w:color w:val="auto"/>
        </w:rPr>
        <w:t>Expiration Date</w:t>
      </w:r>
      <w:r>
        <w:rPr>
          <w:rFonts w:ascii="Arial" w:cs="Arial" w:eastAsia="Arial" w:hAnsi="Arial"/>
          <w:sz w:val="20"/>
          <w:szCs w:val="20"/>
          <w:color w:val="auto"/>
        </w:rPr>
        <w:t>”).</w:t>
      </w:r>
    </w:p>
    <w:p>
      <w:pPr>
        <w:spacing w:after="0" w:line="234" w:lineRule="exact"/>
        <w:rPr>
          <w:sz w:val="20"/>
          <w:szCs w:val="20"/>
          <w:color w:val="auto"/>
        </w:rPr>
      </w:pPr>
    </w:p>
    <w:p>
      <w:pPr>
        <w:ind w:left="643" w:hanging="643"/>
        <w:spacing w:after="0"/>
        <w:tabs>
          <w:tab w:leader="none" w:pos="643" w:val="left"/>
        </w:tabs>
        <w:numPr>
          <w:ilvl w:val="0"/>
          <w:numId w:val="57"/>
        </w:numPr>
        <w:rPr>
          <w:rFonts w:ascii="Arial" w:cs="Arial" w:eastAsia="Arial" w:hAnsi="Arial"/>
          <w:sz w:val="22"/>
          <w:szCs w:val="22"/>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EVERANCE</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ENEFIT</w:t>
      </w:r>
      <w:r>
        <w:rPr>
          <w:rFonts w:ascii="Arial" w:cs="Arial" w:eastAsia="Arial" w:hAnsi="Arial"/>
          <w:sz w:val="20"/>
          <w:szCs w:val="20"/>
          <w:b w:val="1"/>
          <w:bCs w:val="1"/>
          <w:color w:val="auto"/>
        </w:rPr>
        <w:t>.</w:t>
      </w:r>
    </w:p>
    <w:p>
      <w:pPr>
        <w:spacing w:after="0" w:line="185" w:lineRule="exact"/>
        <w:rPr>
          <w:sz w:val="20"/>
          <w:szCs w:val="20"/>
          <w:color w:val="auto"/>
        </w:rPr>
      </w:pPr>
    </w:p>
    <w:p>
      <w:pPr>
        <w:jc w:val="both"/>
        <w:ind w:left="3" w:right="120" w:firstLine="647"/>
        <w:spacing w:after="0" w:line="271" w:lineRule="auto"/>
        <w:rPr>
          <w:sz w:val="20"/>
          <w:szCs w:val="20"/>
          <w:color w:val="auto"/>
        </w:rPr>
      </w:pPr>
      <w:r>
        <w:rPr>
          <w:rFonts w:ascii="Arial" w:cs="Arial" w:eastAsia="Arial" w:hAnsi="Arial"/>
          <w:sz w:val="18"/>
          <w:szCs w:val="18"/>
          <w:color w:val="auto"/>
        </w:rPr>
        <w:t>Executive’s receipt of any payments or benefits under Section 2 is subject to (I) Executive’s continued compliance with any confidential information agreement or restrictive covenant agreement by and between Executive and the Company, including, without limitation that certain Employee Invention Assignment and Confidentiality Agreement by and between Executive and the Company and any restrictive covenants contained in any employment agreement or offer letter agreement by and between Executive and the Company, and (II) Executive’s delivery to the Company of a general release (in a form prescribed by the Company) of all known and unknown claims that he or she may then have against the Company or persons affiliated with the Company (the “</w:t>
      </w:r>
      <w:r>
        <w:rPr>
          <w:rFonts w:ascii="Arial" w:cs="Arial" w:eastAsia="Arial" w:hAnsi="Arial"/>
          <w:sz w:val="18"/>
          <w:szCs w:val="18"/>
          <w:b w:val="1"/>
          <w:bCs w:val="1"/>
          <w:color w:val="auto"/>
        </w:rPr>
        <w:t>Release</w:t>
      </w:r>
      <w:r>
        <w:rPr>
          <w:rFonts w:ascii="Arial" w:cs="Arial" w:eastAsia="Arial" w:hAnsi="Arial"/>
          <w:sz w:val="18"/>
          <w:szCs w:val="18"/>
          <w:color w:val="auto"/>
        </w:rPr>
        <w:t>”), and satisfaction of all conditions to make the Release effective, within sixty (60) days (or such shorter period required by the Company) (the “</w:t>
      </w:r>
      <w:r>
        <w:rPr>
          <w:rFonts w:ascii="Arial" w:cs="Arial" w:eastAsia="Arial" w:hAnsi="Arial"/>
          <w:sz w:val="18"/>
          <w:szCs w:val="18"/>
          <w:b w:val="1"/>
          <w:bCs w:val="1"/>
          <w:color w:val="auto"/>
        </w:rPr>
        <w:t>Release Period</w:t>
      </w:r>
      <w:r>
        <w:rPr>
          <w:rFonts w:ascii="Arial" w:cs="Arial" w:eastAsia="Arial" w:hAnsi="Arial"/>
          <w:sz w:val="18"/>
          <w:szCs w:val="18"/>
          <w:color w:val="auto"/>
        </w:rPr>
        <w:t>”) following Executive’s Qualifying Termination, notwithstanding any other provision of this Agreement. In no event will any payment or benefits under Section 2 be paid or provided until the Release becomes effective and irrevocable or in the event Executive violates any agreement set forth in subsection (I) in the foregoing sentence.</w:t>
      </w:r>
    </w:p>
    <w:p>
      <w:pPr>
        <w:spacing w:after="0" w:line="208" w:lineRule="exact"/>
        <w:rPr>
          <w:sz w:val="20"/>
          <w:szCs w:val="20"/>
          <w:color w:val="auto"/>
        </w:rPr>
      </w:pPr>
    </w:p>
    <w:p>
      <w:pPr>
        <w:ind w:left="3" w:right="140" w:firstLine="645"/>
        <w:spacing w:after="0" w:line="267" w:lineRule="auto"/>
        <w:tabs>
          <w:tab w:leader="none" w:pos="1207"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 xml:space="preserve">Qualifying Termination Outside of a Change in Control Period. </w:t>
      </w:r>
      <w:r>
        <w:rPr>
          <w:rFonts w:ascii="Arial" w:cs="Arial" w:eastAsia="Arial" w:hAnsi="Arial"/>
          <w:sz w:val="20"/>
          <w:szCs w:val="20"/>
          <w:color w:val="auto"/>
        </w:rPr>
        <w:t>If the Executive is subject to a Qualifying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outside of a Change in Control Period, the Executive shall be entitled to the following:</w:t>
      </w:r>
    </w:p>
    <w:p>
      <w:pPr>
        <w:spacing w:after="0" w:line="223" w:lineRule="exact"/>
        <w:rPr>
          <w:rFonts w:ascii="Arial" w:cs="Arial" w:eastAsia="Arial" w:hAnsi="Arial"/>
          <w:sz w:val="20"/>
          <w:szCs w:val="20"/>
          <w:color w:val="auto"/>
        </w:rPr>
      </w:pPr>
    </w:p>
    <w:p>
      <w:pPr>
        <w:jc w:val="both"/>
        <w:ind w:left="3" w:right="120" w:firstLine="1089"/>
        <w:spacing w:after="0" w:line="253" w:lineRule="auto"/>
        <w:tabs>
          <w:tab w:leader="none" w:pos="1852" w:val="left"/>
        </w:tabs>
        <w:numPr>
          <w:ilvl w:val="1"/>
          <w:numId w:val="58"/>
        </w:numPr>
        <w:rPr>
          <w:rFonts w:ascii="Arial" w:cs="Arial" w:eastAsia="Arial" w:hAnsi="Arial"/>
          <w:sz w:val="21"/>
          <w:szCs w:val="21"/>
          <w:color w:val="auto"/>
        </w:rPr>
      </w:pPr>
      <w:r>
        <w:rPr>
          <w:rFonts w:ascii="Arial" w:cs="Arial" w:eastAsia="Arial" w:hAnsi="Arial"/>
          <w:sz w:val="19"/>
          <w:szCs w:val="19"/>
          <w:u w:val="single" w:color="auto"/>
          <w:color w:val="auto"/>
        </w:rPr>
        <w:t>Severance Payments</w:t>
      </w:r>
      <w:r>
        <w:rPr>
          <w:rFonts w:ascii="Arial" w:cs="Arial" w:eastAsia="Arial" w:hAnsi="Arial"/>
          <w:sz w:val="19"/>
          <w:szCs w:val="19"/>
          <w:color w:val="auto"/>
        </w:rPr>
        <w:t>. The Company shall pay Executive nine (9) months of Executive’s base salary at the rate in effect immediately prior to the Qualifying Termination (the “</w:t>
      </w:r>
      <w:r>
        <w:rPr>
          <w:rFonts w:ascii="Arial" w:cs="Arial" w:eastAsia="Arial" w:hAnsi="Arial"/>
          <w:sz w:val="19"/>
          <w:szCs w:val="19"/>
          <w:b w:val="1"/>
          <w:bCs w:val="1"/>
          <w:color w:val="auto"/>
        </w:rPr>
        <w:t>Severance</w:t>
      </w:r>
      <w:r>
        <w:rPr>
          <w:rFonts w:ascii="Arial" w:cs="Arial" w:eastAsia="Arial" w:hAnsi="Arial"/>
          <w:sz w:val="19"/>
          <w:szCs w:val="19"/>
          <w:color w:val="auto"/>
        </w:rPr>
        <w:t>”). The Severance shall be paid out in substantially equal installments in accordance with the Company’s payroll practice over the total number of months of Severance commencing the first payroll period more than 60 days after the Qualifying Termination, subject to the Release becoming effective prior to such time (with the first payment to include all amounts that otherwise would have been paid through such date). Solely for purposes of Section 409A of the Code, each installment payment is considered a separate payment.</w:t>
      </w:r>
    </w:p>
    <w:p>
      <w:pPr>
        <w:spacing w:after="0" w:line="240" w:lineRule="exact"/>
        <w:rPr>
          <w:rFonts w:ascii="Arial" w:cs="Arial" w:eastAsia="Arial" w:hAnsi="Arial"/>
          <w:sz w:val="21"/>
          <w:szCs w:val="21"/>
          <w:color w:val="auto"/>
        </w:rPr>
      </w:pPr>
    </w:p>
    <w:p>
      <w:pPr>
        <w:ind w:left="3" w:right="120" w:firstLine="1029"/>
        <w:spacing w:after="0" w:line="238" w:lineRule="auto"/>
        <w:tabs>
          <w:tab w:leader="none" w:pos="1852" w:val="left"/>
        </w:tabs>
        <w:numPr>
          <w:ilvl w:val="1"/>
          <w:numId w:val="58"/>
        </w:numPr>
        <w:rPr>
          <w:rFonts w:ascii="Arial" w:cs="Arial" w:eastAsia="Arial" w:hAnsi="Arial"/>
          <w:sz w:val="22"/>
          <w:szCs w:val="22"/>
          <w:color w:val="auto"/>
        </w:rPr>
      </w:pPr>
      <w:r>
        <w:rPr>
          <w:rFonts w:ascii="Arial" w:cs="Arial" w:eastAsia="Arial" w:hAnsi="Arial"/>
          <w:sz w:val="20"/>
          <w:szCs w:val="20"/>
          <w:u w:val="single" w:color="auto"/>
          <w:color w:val="auto"/>
        </w:rPr>
        <w:t>Health Care Benefit</w:t>
      </w:r>
      <w:r>
        <w:rPr>
          <w:rFonts w:ascii="Arial" w:cs="Arial" w:eastAsia="Arial" w:hAnsi="Arial"/>
          <w:sz w:val="20"/>
          <w:szCs w:val="20"/>
          <w:color w:val="auto"/>
        </w:rPr>
        <w:t>. If the Executive elects to continue his or her health insurance coverage under the Consolidated Omnibus Budget Reconciliation Act (“</w:t>
      </w:r>
      <w:r>
        <w:rPr>
          <w:rFonts w:ascii="Arial" w:cs="Arial" w:eastAsia="Arial" w:hAnsi="Arial"/>
          <w:sz w:val="20"/>
          <w:szCs w:val="20"/>
          <w:b w:val="1"/>
          <w:bCs w:val="1"/>
          <w:color w:val="auto"/>
        </w:rPr>
        <w:t>COBRA</w:t>
      </w:r>
      <w:r>
        <w:rPr>
          <w:rFonts w:ascii="Arial" w:cs="Arial" w:eastAsia="Arial" w:hAnsi="Arial"/>
          <w:sz w:val="20"/>
          <w:szCs w:val="20"/>
          <w:color w:val="auto"/>
        </w:rPr>
        <w:t>”) following</w:t>
      </w:r>
    </w:p>
    <w:p>
      <w:pPr>
        <w:sectPr>
          <w:pgSz w:w="11900" w:h="16838" w:orient="portrait"/>
          <w:cols w:equalWidth="0" w:num="1">
            <w:col w:w="11143"/>
          </w:cols>
          <w:pgMar w:left="417" w:top="115" w:right="339" w:bottom="1440" w:gutter="0" w:footer="0" w:header="0"/>
        </w:sectPr>
      </w:pPr>
    </w:p>
    <w:bookmarkStart w:id="107" w:name="page108"/>
    <w:bookmarkEnd w:id="107"/>
    <w:p>
      <w:pPr>
        <w:jc w:val="both"/>
        <w:spacing w:after="0" w:line="257" w:lineRule="auto"/>
        <w:rPr>
          <w:sz w:val="20"/>
          <w:szCs w:val="20"/>
          <w:color w:val="auto"/>
        </w:rPr>
      </w:pPr>
      <w:r>
        <w:rPr>
          <w:rFonts w:ascii="Arial" w:cs="Arial" w:eastAsia="Arial" w:hAnsi="Arial"/>
          <w:sz w:val="19"/>
          <w:szCs w:val="19"/>
          <w:color w:val="auto"/>
        </w:rPr>
        <w:t xml:space="preserve">the termination of Executive’s employment, then the Company shall pay, or reimburse, the Executive’s monthly premium for Executive and his or her covered dependents under COBRA until the earliest of (A) nine (9) months, (B) the date when the Executive receives similar coverage with a new employer or (C) the expiration of the Executive’s continuation coverage under COBRA; provided that on the first date such amounts become payable as described above, the Company shall pay to Executive a lump sum cash payment equal to the monthly premiums that would have been paid on behalf of Executive had such payments commenced on the date of the Qualifying Termination. Notwithstanding the foregoing, the Company may elect that, in lieu of paying or reimbursing the premiums, the Company shall instead provide Executive with a monthly cash payment equal to the amount the Company would have otherwise paid pursuant to this </w:t>
      </w:r>
      <w:r>
        <w:rPr>
          <w:rFonts w:ascii="Arial" w:cs="Arial" w:eastAsia="Arial" w:hAnsi="Arial"/>
          <w:sz w:val="19"/>
          <w:szCs w:val="19"/>
          <w:u w:val="single" w:color="auto"/>
          <w:color w:val="auto"/>
        </w:rPr>
        <w:t>Section 2(a)(ii)</w:t>
      </w:r>
      <w:r>
        <w:rPr>
          <w:rFonts w:ascii="Arial" w:cs="Arial" w:eastAsia="Arial" w:hAnsi="Arial"/>
          <w:sz w:val="19"/>
          <w:szCs w:val="19"/>
          <w:color w:val="auto"/>
        </w:rPr>
        <w:t>, less applicable tax withholdings.</w:t>
      </w:r>
    </w:p>
    <w:p>
      <w:pPr>
        <w:spacing w:after="0" w:line="282" w:lineRule="exact"/>
        <w:rPr>
          <w:sz w:val="20"/>
          <w:szCs w:val="20"/>
          <w:color w:val="auto"/>
        </w:rPr>
      </w:pPr>
    </w:p>
    <w:p>
      <w:pPr>
        <w:ind w:right="100" w:firstLine="645"/>
        <w:spacing w:after="0" w:line="267" w:lineRule="auto"/>
        <w:tabs>
          <w:tab w:leader="none" w:pos="1202"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Qualifying Termination During a Change in Control Period. </w:t>
      </w:r>
      <w:r>
        <w:rPr>
          <w:rFonts w:ascii="Arial" w:cs="Arial" w:eastAsia="Arial" w:hAnsi="Arial"/>
          <w:sz w:val="20"/>
          <w:szCs w:val="20"/>
          <w:color w:val="auto"/>
        </w:rPr>
        <w:t>If Executive is subject to a Qualifying Termination during</w:t>
      </w:r>
      <w:r>
        <w:rPr>
          <w:rFonts w:ascii="Arial" w:cs="Arial" w:eastAsia="Arial" w:hAnsi="Arial"/>
          <w:sz w:val="20"/>
          <w:szCs w:val="20"/>
          <w:b w:val="1"/>
          <w:bCs w:val="1"/>
          <w:color w:val="auto"/>
        </w:rPr>
        <w:t xml:space="preserve"> </w:t>
      </w:r>
      <w:r>
        <w:rPr>
          <w:rFonts w:ascii="Arial" w:cs="Arial" w:eastAsia="Arial" w:hAnsi="Arial"/>
          <w:sz w:val="20"/>
          <w:szCs w:val="20"/>
          <w:color w:val="auto"/>
        </w:rPr>
        <w:t>a Change in Control Period, Executive shall be entitled to the following:</w:t>
      </w:r>
    </w:p>
    <w:p>
      <w:pPr>
        <w:spacing w:after="0" w:line="223" w:lineRule="exact"/>
        <w:rPr>
          <w:rFonts w:ascii="Arial" w:cs="Arial" w:eastAsia="Arial" w:hAnsi="Arial"/>
          <w:sz w:val="20"/>
          <w:szCs w:val="20"/>
          <w:color w:val="auto"/>
        </w:rPr>
      </w:pPr>
    </w:p>
    <w:p>
      <w:pPr>
        <w:jc w:val="both"/>
        <w:ind w:firstLine="1179"/>
        <w:spacing w:after="0" w:line="239" w:lineRule="auto"/>
        <w:tabs>
          <w:tab w:leader="none" w:pos="1849" w:val="left"/>
        </w:tabs>
        <w:numPr>
          <w:ilvl w:val="1"/>
          <w:numId w:val="59"/>
        </w:numPr>
        <w:rPr>
          <w:rFonts w:ascii="Arial" w:cs="Arial" w:eastAsia="Arial" w:hAnsi="Arial"/>
          <w:sz w:val="22"/>
          <w:szCs w:val="22"/>
          <w:color w:val="auto"/>
        </w:rPr>
      </w:pPr>
      <w:r>
        <w:rPr>
          <w:rFonts w:ascii="Arial" w:cs="Arial" w:eastAsia="Arial" w:hAnsi="Arial"/>
          <w:sz w:val="20"/>
          <w:szCs w:val="20"/>
          <w:u w:val="single" w:color="auto"/>
          <w:color w:val="auto"/>
        </w:rPr>
        <w:t>Severance Payments</w:t>
      </w:r>
      <w:r>
        <w:rPr>
          <w:rFonts w:ascii="Arial" w:cs="Arial" w:eastAsia="Arial" w:hAnsi="Arial"/>
          <w:sz w:val="20"/>
          <w:szCs w:val="20"/>
          <w:color w:val="auto"/>
        </w:rPr>
        <w:t>. The Company shall pay Executive twelve (12) months of Executive’s base salary at the rate in effect immediately prior to the Qualifying Termination or the Change in Control, whichever is greater, and 1.0 times Executive’s annual bonus for the then-current fiscal year based on 100% of target performance of any applicable performance objectives (together, the “</w:t>
      </w:r>
      <w:r>
        <w:rPr>
          <w:rFonts w:ascii="Arial" w:cs="Arial" w:eastAsia="Arial" w:hAnsi="Arial"/>
          <w:sz w:val="20"/>
          <w:szCs w:val="20"/>
          <w:b w:val="1"/>
          <w:bCs w:val="1"/>
          <w:color w:val="auto"/>
        </w:rPr>
        <w:t>CIC</w:t>
      </w:r>
      <w:r>
        <w:rPr>
          <w:rFonts w:ascii="Arial" w:cs="Arial" w:eastAsia="Arial" w:hAnsi="Arial"/>
          <w:sz w:val="20"/>
          <w:szCs w:val="20"/>
          <w:color w:val="auto"/>
        </w:rPr>
        <w:t xml:space="preserve"> </w:t>
      </w:r>
      <w:r>
        <w:rPr>
          <w:rFonts w:ascii="Arial" w:cs="Arial" w:eastAsia="Arial" w:hAnsi="Arial"/>
          <w:sz w:val="20"/>
          <w:szCs w:val="20"/>
          <w:b w:val="1"/>
          <w:bCs w:val="1"/>
          <w:color w:val="auto"/>
        </w:rPr>
        <w:t>Severance</w:t>
      </w:r>
      <w:r>
        <w:rPr>
          <w:rFonts w:ascii="Arial" w:cs="Arial" w:eastAsia="Arial" w:hAnsi="Arial"/>
          <w:sz w:val="20"/>
          <w:szCs w:val="20"/>
          <w:color w:val="auto"/>
        </w:rPr>
        <w:t>”). The CIC Severance shall be paid out in substantially equal installments in accordance with the Company’s payroll practice</w:t>
      </w:r>
      <w:r>
        <w:rPr>
          <w:rFonts w:ascii="Arial" w:cs="Arial" w:eastAsia="Arial" w:hAnsi="Arial"/>
          <w:sz w:val="20"/>
          <w:szCs w:val="20"/>
          <w:b w:val="1"/>
          <w:bCs w:val="1"/>
          <w:color w:val="auto"/>
        </w:rPr>
        <w:t xml:space="preserve"> </w:t>
      </w:r>
      <w:r>
        <w:rPr>
          <w:rFonts w:ascii="Arial" w:cs="Arial" w:eastAsia="Arial" w:hAnsi="Arial"/>
          <w:sz w:val="20"/>
          <w:szCs w:val="20"/>
          <w:color w:val="auto"/>
        </w:rPr>
        <w:t>over the total number of months of CIC Severance commencing the first payroll period more than 60 days after the Qualifying Termination, subject to the Release becoming effective prior to such time (with the first payment to include all amounts that otherwise would have been paid through such date). Solely for purposes of Section 409A of the Code, each installment payment is considered a separate payment.</w:t>
      </w:r>
    </w:p>
    <w:p>
      <w:pPr>
        <w:spacing w:after="0" w:line="264" w:lineRule="exact"/>
        <w:rPr>
          <w:rFonts w:ascii="Arial" w:cs="Arial" w:eastAsia="Arial" w:hAnsi="Arial"/>
          <w:sz w:val="22"/>
          <w:szCs w:val="22"/>
          <w:color w:val="auto"/>
        </w:rPr>
      </w:pPr>
    </w:p>
    <w:p>
      <w:pPr>
        <w:jc w:val="both"/>
        <w:ind w:firstLine="1119"/>
        <w:spacing w:after="0" w:line="253" w:lineRule="auto"/>
        <w:tabs>
          <w:tab w:leader="none" w:pos="1849" w:val="left"/>
        </w:tabs>
        <w:numPr>
          <w:ilvl w:val="1"/>
          <w:numId w:val="59"/>
        </w:numPr>
        <w:rPr>
          <w:rFonts w:ascii="Arial" w:cs="Arial" w:eastAsia="Arial" w:hAnsi="Arial"/>
          <w:sz w:val="21"/>
          <w:szCs w:val="21"/>
          <w:color w:val="auto"/>
        </w:rPr>
      </w:pPr>
      <w:r>
        <w:rPr>
          <w:rFonts w:ascii="Arial" w:cs="Arial" w:eastAsia="Arial" w:hAnsi="Arial"/>
          <w:sz w:val="19"/>
          <w:szCs w:val="19"/>
          <w:u w:val="single" w:color="auto"/>
          <w:color w:val="auto"/>
        </w:rPr>
        <w:t>Health Care Benefit</w:t>
      </w:r>
      <w:r>
        <w:rPr>
          <w:rFonts w:ascii="Arial" w:cs="Arial" w:eastAsia="Arial" w:hAnsi="Arial"/>
          <w:sz w:val="19"/>
          <w:szCs w:val="19"/>
          <w:color w:val="auto"/>
        </w:rPr>
        <w:t xml:space="preserve">. If the Executive elects to continue his or her health insurance coverage under COBRA following the termination of Executive’s employment, then the Company shall pay, or reimburse, the Executive’s monthly premium for Executive and his or her covered dependents under COBRA until the earliest of (A) twelve (12) months, (B) the date when the Executive receives similar coverage with a new employer or (C) the expiration of the Executive’s continuation coverage under COBRA; provided that on the first date such amounts become payable as described above, the Company shall pay to Executive a lump sum cash payment equal to the monthly premiums that would have been paid on behalf of Executive had such payments commenced on the date of the Qualifying Termination. Notwithstanding the foregoing, the Company may elect that, in lieu of paying or reimbursing the premiums, the Company shall instead provide Executive with a monthly cash payment equal to the amount the Company would have otherwise paid pursuant to this </w:t>
      </w:r>
      <w:r>
        <w:rPr>
          <w:rFonts w:ascii="Arial" w:cs="Arial" w:eastAsia="Arial" w:hAnsi="Arial"/>
          <w:sz w:val="19"/>
          <w:szCs w:val="19"/>
          <w:u w:val="single" w:color="auto"/>
          <w:color w:val="auto"/>
        </w:rPr>
        <w:t>Section 2(b)(ii)</w:t>
      </w:r>
      <w:r>
        <w:rPr>
          <w:rFonts w:ascii="Arial" w:cs="Arial" w:eastAsia="Arial" w:hAnsi="Arial"/>
          <w:sz w:val="19"/>
          <w:szCs w:val="19"/>
          <w:color w:val="auto"/>
        </w:rPr>
        <w:t>, less applicable tax withholdings.</w:t>
      </w:r>
    </w:p>
    <w:p>
      <w:pPr>
        <w:spacing w:after="0" w:line="238" w:lineRule="exact"/>
        <w:rPr>
          <w:rFonts w:ascii="Arial" w:cs="Arial" w:eastAsia="Arial" w:hAnsi="Arial"/>
          <w:sz w:val="21"/>
          <w:szCs w:val="21"/>
          <w:color w:val="auto"/>
        </w:rPr>
      </w:pPr>
    </w:p>
    <w:p>
      <w:pPr>
        <w:jc w:val="both"/>
        <w:ind w:firstLine="1059"/>
        <w:spacing w:after="0" w:line="253" w:lineRule="auto"/>
        <w:tabs>
          <w:tab w:leader="none" w:pos="1849" w:val="left"/>
        </w:tabs>
        <w:numPr>
          <w:ilvl w:val="1"/>
          <w:numId w:val="59"/>
        </w:numPr>
        <w:rPr>
          <w:rFonts w:ascii="Arial" w:cs="Arial" w:eastAsia="Arial" w:hAnsi="Arial"/>
          <w:sz w:val="21"/>
          <w:szCs w:val="21"/>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Each of Executive’s then-outstanding unvested Equity Awards, other than Performance Awards (defined below), shall accelerate and become vested and exercisable or settleable with respect to 100% of the then-unvested shares subject to the Equity Awards. With respect to awards that would otherwise vest only upon satisfaction of performance criteria (“</w:t>
      </w:r>
      <w:r>
        <w:rPr>
          <w:rFonts w:ascii="Arial" w:cs="Arial" w:eastAsia="Arial" w:hAnsi="Arial"/>
          <w:sz w:val="19"/>
          <w:szCs w:val="19"/>
          <w:b w:val="1"/>
          <w:bCs w:val="1"/>
          <w:color w:val="auto"/>
        </w:rPr>
        <w:t>Performance</w:t>
      </w:r>
      <w:r>
        <w:rPr>
          <w:rFonts w:ascii="Arial" w:cs="Arial" w:eastAsia="Arial" w:hAnsi="Arial"/>
          <w:sz w:val="19"/>
          <w:szCs w:val="19"/>
          <w:color w:val="auto"/>
        </w:rPr>
        <w:t xml:space="preserve"> </w:t>
      </w:r>
      <w:r>
        <w:rPr>
          <w:rFonts w:ascii="Arial" w:cs="Arial" w:eastAsia="Arial" w:hAnsi="Arial"/>
          <w:sz w:val="19"/>
          <w:szCs w:val="19"/>
          <w:b w:val="1"/>
          <w:bCs w:val="1"/>
          <w:color w:val="auto"/>
        </w:rPr>
        <w:t>Awards</w:t>
      </w:r>
      <w:r>
        <w:rPr>
          <w:rFonts w:ascii="Arial" w:cs="Arial" w:eastAsia="Arial" w:hAnsi="Arial"/>
          <w:sz w:val="19"/>
          <w:szCs w:val="19"/>
          <w:color w:val="auto"/>
        </w:rPr>
        <w:t>”), the grant agreement for the Performance Award may provide for alternative treatment upon a Qualifying Termination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absent any such treatment in such grant agreement, the vesting acceleration provided for herein shall be deemed to have been met based on the achievement of the Performance Award at the greater of “at target” or, if determinable, actual performance. The accelerated vesting described above shall be effective as of the later of (x) the fifth (5th) business day following expiration of the Release Period, and (y) the closing of the Change in Control; provided, that if (1) the Company terminates Executive’s employment for any reason other than Cause before a Change in Control, or (2) Executive</w:t>
      </w:r>
    </w:p>
    <w:p>
      <w:pPr>
        <w:sectPr>
          <w:pgSz w:w="11900" w:h="16838" w:orient="portrait"/>
          <w:cols w:equalWidth="0" w:num="1">
            <w:col w:w="11020"/>
          </w:cols>
          <w:pgMar w:left="420" w:top="1419" w:right="459" w:bottom="1440" w:gutter="0" w:footer="0" w:header="0"/>
        </w:sectPr>
      </w:pPr>
    </w:p>
    <w:bookmarkStart w:id="108" w:name="page109"/>
    <w:bookmarkEnd w:id="108"/>
    <w:p>
      <w:pPr>
        <w:jc w:val="both"/>
        <w:ind w:left="3"/>
        <w:spacing w:after="0" w:line="250" w:lineRule="auto"/>
        <w:rPr>
          <w:sz w:val="20"/>
          <w:szCs w:val="20"/>
          <w:color w:val="auto"/>
        </w:rPr>
      </w:pPr>
      <w:r>
        <w:rPr>
          <w:rFonts w:ascii="Arial" w:cs="Arial" w:eastAsia="Arial" w:hAnsi="Arial"/>
          <w:sz w:val="20"/>
          <w:szCs w:val="20"/>
          <w:color w:val="auto"/>
        </w:rPr>
        <w:t>voluntarily resigns his or her employment for Good Reason before a Change in Control, then any unvested Equity Awards that would otherwise forfeit upon such termination shall remain outstanding and eligible to vest for three (3) months following such termination (provided that in no event will the Equity Awards remain outstanding beyond</w:t>
      </w:r>
    </w:p>
    <w:p>
      <w:pPr>
        <w:spacing w:after="0" w:line="37" w:lineRule="exact"/>
        <w:rPr>
          <w:sz w:val="20"/>
          <w:szCs w:val="20"/>
          <w:color w:val="auto"/>
        </w:rPr>
      </w:pPr>
    </w:p>
    <w:p>
      <w:pPr>
        <w:jc w:val="both"/>
        <w:ind w:left="3"/>
        <w:spacing w:after="0" w:line="244" w:lineRule="auto"/>
        <w:rPr>
          <w:sz w:val="20"/>
          <w:szCs w:val="20"/>
          <w:color w:val="auto"/>
        </w:rPr>
      </w:pPr>
      <w:r>
        <w:rPr>
          <w:rFonts w:ascii="Arial" w:cs="Arial" w:eastAsia="Arial" w:hAnsi="Arial"/>
          <w:sz w:val="20"/>
          <w:szCs w:val="20"/>
          <w:color w:val="auto"/>
        </w:rPr>
        <w:t>the expiration of the Equity Award’s maximum term) to permit the acceleration described above. For the avoidance of doubt, upon such termination before a Change in Control, any unvested Equity Awards will not vest in the ordinary course and will only be eligible to vest in the event that a Change in Control is completed within such three (3) month period. In the event that a Change in Control is not completed during such three (3) month period, any unvested portion of the Equity Awards will be automatically and permanently forfeited without having vested effective three (3) months following such termination.</w:t>
      </w:r>
    </w:p>
    <w:p>
      <w:pPr>
        <w:spacing w:after="0" w:line="242" w:lineRule="exact"/>
        <w:rPr>
          <w:sz w:val="20"/>
          <w:szCs w:val="20"/>
          <w:color w:val="auto"/>
        </w:rPr>
      </w:pPr>
    </w:p>
    <w:p>
      <w:pPr>
        <w:jc w:val="both"/>
        <w:ind w:left="3" w:firstLine="1071"/>
        <w:spacing w:after="0" w:line="270" w:lineRule="auto"/>
        <w:tabs>
          <w:tab w:leader="none" w:pos="1838" w:val="left"/>
        </w:tabs>
        <w:numPr>
          <w:ilvl w:val="2"/>
          <w:numId w:val="60"/>
        </w:numPr>
        <w:rPr>
          <w:rFonts w:ascii="Arial" w:cs="Arial" w:eastAsia="Arial" w:hAnsi="Arial"/>
          <w:sz w:val="19"/>
          <w:szCs w:val="19"/>
          <w:color w:val="auto"/>
        </w:rPr>
      </w:pPr>
      <w:r>
        <w:rPr>
          <w:rFonts w:ascii="Arial" w:cs="Arial" w:eastAsia="Arial" w:hAnsi="Arial"/>
          <w:sz w:val="18"/>
          <w:szCs w:val="18"/>
          <w:b w:val="1"/>
          <w:bCs w:val="1"/>
          <w:color w:val="auto"/>
        </w:rPr>
        <w:t xml:space="preserve">Non-Assumption of Equity Awards. </w:t>
      </w:r>
      <w:r>
        <w:rPr>
          <w:rFonts w:ascii="Arial" w:cs="Arial" w:eastAsia="Arial" w:hAnsi="Arial"/>
          <w:sz w:val="18"/>
          <w:szCs w:val="18"/>
          <w:color w:val="auto"/>
        </w:rPr>
        <w:t>Notwithstanding anything to the contrary, if, in connection with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the successor or acquiring corporation (if any) of the Company refuses to assume, convert, replace, or substitute Executive’s unvested Equity Awards, then notwithstanding any other provision in this Agreement, or any Equity Award Agreement to the contrary, each of Executive’s then-outstanding and unvested Equity Awards, other than Performance Awards, that are not assumed, converted, replaced, or substituted in such Change in Control shall accelerate and become vested and exercisable as to 100% of the then-unvested shares subject to the Equity Awards effective immediately prior to the Change in Control and terminate to the extent not exercised (as applicable) upon the Change in Control. With respect to Performance Awards, the vesting for such Performance Awards will accelerate as set forth in the terms of the applicable performance-based Equity Award agreement; and, absent any such treatment in such grant agreement, the vesting acceleration provided for herein shall be deemed to have been met based on the achievement of the Performance Award at the greater of “at target” or, if determinable, actual performance.</w:t>
      </w:r>
    </w:p>
    <w:p>
      <w:pPr>
        <w:spacing w:after="0" w:line="209" w:lineRule="exact"/>
        <w:rPr>
          <w:rFonts w:ascii="Arial" w:cs="Arial" w:eastAsia="Arial" w:hAnsi="Arial"/>
          <w:sz w:val="19"/>
          <w:szCs w:val="19"/>
          <w:color w:val="auto"/>
        </w:rPr>
      </w:pPr>
    </w:p>
    <w:p>
      <w:pPr>
        <w:jc w:val="both"/>
        <w:ind w:left="3" w:firstLine="645"/>
        <w:spacing w:after="0" w:line="273" w:lineRule="auto"/>
        <w:tabs>
          <w:tab w:leader="none" w:pos="1207" w:val="left"/>
        </w:tabs>
        <w:numPr>
          <w:ilvl w:val="1"/>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Accrued Compensation and Benefits. </w:t>
      </w:r>
      <w:r>
        <w:rPr>
          <w:rFonts w:ascii="Arial" w:cs="Arial" w:eastAsia="Arial" w:hAnsi="Arial"/>
          <w:sz w:val="18"/>
          <w:szCs w:val="18"/>
          <w:color w:val="auto"/>
        </w:rPr>
        <w:t>Notwithstanding anything to the contrary in Section 2 above,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termination of employment, the Company shall pay Executive’s earned but unpaid base salary and other vested but unpaid cash entitlements, including the amount of any bonus earned and payable from a prior year which remains unpaid by the Company as of the date of the termination of employment determined in accordance with customary practice or as required by applicable law and unreimbursed documented business expenses incurred by Executive through and including the date of termination (collectively “</w:t>
      </w:r>
      <w:r>
        <w:rPr>
          <w:rFonts w:ascii="Arial" w:cs="Arial" w:eastAsia="Arial" w:hAnsi="Arial"/>
          <w:sz w:val="18"/>
          <w:szCs w:val="18"/>
          <w:b w:val="1"/>
          <w:bCs w:val="1"/>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 and Expenses</w:t>
      </w:r>
      <w:r>
        <w:rPr>
          <w:rFonts w:ascii="Arial" w:cs="Arial" w:eastAsia="Arial" w:hAnsi="Arial"/>
          <w:sz w:val="18"/>
          <w:szCs w:val="18"/>
          <w:color w:val="auto"/>
        </w:rPr>
        <w:t>”). Any Accrued Compensation and Expenses to which Executive is entitled shall be paid to Executive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as soon as administratively practicable, in accordance with the Company’s standard payroll schedule and procedures, after the termination, and, in any event, no later than two and one-half (2-1/2) months after the end of the taxable year of Executive in which the termination occurs or at such earlier time as may be required by applicable law.</w:t>
      </w:r>
    </w:p>
    <w:p>
      <w:pPr>
        <w:spacing w:after="0" w:line="216" w:lineRule="exact"/>
        <w:rPr>
          <w:rFonts w:ascii="Arial" w:cs="Arial" w:eastAsia="Arial" w:hAnsi="Arial"/>
          <w:sz w:val="18"/>
          <w:szCs w:val="18"/>
          <w:color w:val="auto"/>
        </w:rPr>
      </w:pPr>
    </w:p>
    <w:p>
      <w:pPr>
        <w:jc w:val="both"/>
        <w:ind w:left="3" w:hanging="2"/>
        <w:spacing w:after="0"/>
        <w:tabs>
          <w:tab w:leader="none" w:pos="557" w:val="left"/>
        </w:tabs>
        <w:numPr>
          <w:ilvl w:val="0"/>
          <w:numId w:val="62"/>
        </w:numPr>
        <w:rPr>
          <w:rFonts w:ascii="Arial" w:cs="Arial" w:eastAsia="Arial" w:hAnsi="Arial"/>
          <w:sz w:val="22"/>
          <w:szCs w:val="22"/>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OMPANY</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OLICIES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will be bound by and comply fully with that certain Employee Invention Assignment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Confidentiality Agreement by and between the Company and Executive and the Company’s insider trading policy, code of conduct, and any other policies and programs adopted by the Company regulating the behavior of its employees, as such policies and programs may be amended from time to time to the extent the same are not inconsistent with this Agreement.</w:t>
      </w:r>
    </w:p>
    <w:p>
      <w:pPr>
        <w:spacing w:after="0" w:line="245" w:lineRule="exact"/>
        <w:rPr>
          <w:rFonts w:ascii="Arial" w:cs="Arial" w:eastAsia="Arial" w:hAnsi="Arial"/>
          <w:sz w:val="22"/>
          <w:szCs w:val="22"/>
          <w:color w:val="auto"/>
        </w:rPr>
      </w:pPr>
    </w:p>
    <w:p>
      <w:pPr>
        <w:ind w:left="643" w:hanging="643"/>
        <w:spacing w:after="0"/>
        <w:tabs>
          <w:tab w:leader="none" w:pos="643" w:val="left"/>
        </w:tabs>
        <w:numPr>
          <w:ilvl w:val="0"/>
          <w:numId w:val="62"/>
        </w:numPr>
        <w:rPr>
          <w:rFonts w:ascii="Arial" w:cs="Arial" w:eastAsia="Arial" w:hAnsi="Arial"/>
          <w:sz w:val="22"/>
          <w:szCs w:val="22"/>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EFINITIONS</w:t>
      </w:r>
      <w:r>
        <w:rPr>
          <w:rFonts w:ascii="Arial" w:cs="Arial" w:eastAsia="Arial" w:hAnsi="Arial"/>
          <w:sz w:val="20"/>
          <w:szCs w:val="20"/>
          <w:b w:val="1"/>
          <w:bCs w:val="1"/>
          <w:color w:val="auto"/>
        </w:rPr>
        <w:t>.</w:t>
      </w:r>
    </w:p>
    <w:p>
      <w:pPr>
        <w:spacing w:after="0" w:line="192" w:lineRule="exact"/>
        <w:rPr>
          <w:rFonts w:ascii="Arial" w:cs="Arial" w:eastAsia="Arial" w:hAnsi="Arial"/>
          <w:sz w:val="22"/>
          <w:szCs w:val="22"/>
          <w:color w:val="auto"/>
        </w:rPr>
      </w:pPr>
    </w:p>
    <w:p>
      <w:pPr>
        <w:ind w:left="1283" w:hanging="635"/>
        <w:spacing w:after="0"/>
        <w:tabs>
          <w:tab w:leader="none" w:pos="1283" w:val="left"/>
        </w:tabs>
        <w:numPr>
          <w:ilvl w:val="1"/>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Company’s Board of Directors.</w:t>
      </w:r>
    </w:p>
    <w:p>
      <w:pPr>
        <w:sectPr>
          <w:pgSz w:w="11900" w:h="16838" w:orient="portrait"/>
          <w:cols w:equalWidth="0" w:num="1">
            <w:col w:w="11023"/>
          </w:cols>
          <w:pgMar w:left="417" w:top="1351" w:right="459" w:bottom="1440" w:gutter="0" w:footer="0" w:header="0"/>
        </w:sectPr>
      </w:pPr>
    </w:p>
    <w:bookmarkStart w:id="109" w:name="page110"/>
    <w:bookmarkEnd w:id="109"/>
    <w:p>
      <w:pPr>
        <w:jc w:val="both"/>
        <w:ind w:left="2" w:firstLine="645"/>
        <w:spacing w:after="0" w:line="247" w:lineRule="auto"/>
        <w:tabs>
          <w:tab w:leader="none" w:pos="1204" w:val="left"/>
        </w:tabs>
        <w:numPr>
          <w:ilvl w:val="1"/>
          <w:numId w:val="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the occurrence of any of the following events, as determined by the Company and/or the Board in its and/or their sole and absolute discretion: (i) Executive engaging in any act of fraud, embezzlement or material act of dishonesty or misrepresentation with respect to the Company;</w:t>
      </w:r>
    </w:p>
    <w:p>
      <w:pPr>
        <w:jc w:val="both"/>
        <w:ind w:left="2" w:hanging="2"/>
        <w:spacing w:after="0" w:line="253" w:lineRule="auto"/>
        <w:tabs>
          <w:tab w:leader="none" w:pos="554"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Executive’s violation of any federal or state law or regulation applicable to the business of the Company or its affiliates; (iii) Executive’s material breach of any confidentiality agreement or assignment agreement between Executive and the Company (or any affiliate of the Company); (iv) Executive’s conviction of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involving moral turpitude; (v) Executive’s unauthorized use or disclosure of confidential information or trade secrets of the Company (or any parent, subsidiary or affiliate); (vi) any intentional misconduct by Executive adversely affecting the business or affairs of the Company (or any parent, subsidiary or affiliate) in any material manner; (vii) Executive has committed any breach of fiduciary or statutory duty that results in (or would reasonably be expected to result in) material harm to the Company; (viii) Executive has breached any material term or condition of this Agreement or any other material agreement with or material policy of the Company; (ix) Executive’s willful and repeated failure to perform in any material respect Executive’s duties hereunder after fifteen (15) days’ notice and an opportunity to cure such failure and a reasonable opportunity to present to the Board Executive’s position regarding any dispute relating to the existence of such failure (other than on account of disability); or (x) Executive’s failure to attempt in good faith to implement a clear and reasonable directive from the CEO or CFO (or the Board).</w:t>
      </w:r>
    </w:p>
    <w:p>
      <w:pPr>
        <w:spacing w:after="0" w:line="217" w:lineRule="exact"/>
        <w:rPr>
          <w:sz w:val="20"/>
          <w:szCs w:val="20"/>
          <w:color w:val="auto"/>
        </w:rPr>
      </w:pPr>
    </w:p>
    <w:p>
      <w:pPr>
        <w:jc w:val="both"/>
        <w:ind w:left="2"/>
        <w:spacing w:after="0" w:line="246" w:lineRule="auto"/>
        <w:rPr>
          <w:sz w:val="20"/>
          <w:szCs w:val="20"/>
          <w:color w:val="auto"/>
        </w:rPr>
      </w:pP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the action or conduct described in clause (viii) above will constitute “Cause” only if such action or conduct</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continues after the Company has provided Executive with written notice thereof and ten (10) business days to cure the same if such action or conduct is curable. The determination as to the existence of grounds for Executive’s termination for Cause shall be made in good faith by the Company or the Board and shall be final and binding on Executive.</w:t>
      </w:r>
    </w:p>
    <w:p>
      <w:pPr>
        <w:spacing w:after="0" w:line="212" w:lineRule="exact"/>
        <w:rPr>
          <w:sz w:val="20"/>
          <w:szCs w:val="20"/>
          <w:color w:val="auto"/>
        </w:rPr>
      </w:pPr>
    </w:p>
    <w:p>
      <w:pPr>
        <w:ind w:left="1282" w:hanging="635"/>
        <w:spacing w:after="0"/>
        <w:tabs>
          <w:tab w:leader="none" w:pos="1282"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w:t>
      </w:r>
    </w:p>
    <w:p>
      <w:pPr>
        <w:spacing w:after="0" w:line="256" w:lineRule="exact"/>
        <w:rPr>
          <w:rFonts w:ascii="Arial" w:cs="Arial" w:eastAsia="Arial" w:hAnsi="Arial"/>
          <w:sz w:val="20"/>
          <w:szCs w:val="20"/>
          <w:color w:val="auto"/>
        </w:rPr>
      </w:pPr>
    </w:p>
    <w:p>
      <w:pPr>
        <w:jc w:val="both"/>
        <w:ind w:left="2" w:firstLine="645"/>
        <w:spacing w:after="0" w:line="257" w:lineRule="auto"/>
        <w:tabs>
          <w:tab w:leader="none" w:pos="1204"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 outstanding voting securities;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216" w:lineRule="exact"/>
        <w:rPr>
          <w:rFonts w:ascii="Arial" w:cs="Arial" w:eastAsia="Arial" w:hAnsi="Arial"/>
          <w:sz w:val="19"/>
          <w:szCs w:val="19"/>
          <w:color w:val="auto"/>
        </w:rPr>
      </w:pPr>
    </w:p>
    <w:p>
      <w:pPr>
        <w:ind w:left="2" w:firstLine="645"/>
        <w:spacing w:after="0" w:line="267" w:lineRule="auto"/>
        <w:tabs>
          <w:tab w:leader="none" w:pos="1206"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 Period</w:t>
      </w:r>
      <w:r>
        <w:rPr>
          <w:rFonts w:ascii="Arial" w:cs="Arial" w:eastAsia="Arial" w:hAnsi="Arial"/>
          <w:sz w:val="20"/>
          <w:szCs w:val="20"/>
          <w:color w:val="auto"/>
        </w:rPr>
        <w:t>” means the period (i) within eighteen (18) months following the closing of a Change in Control, or (ii) within three (3) months preceding the closing of a Change in Control.</w:t>
      </w:r>
    </w:p>
    <w:p>
      <w:pPr>
        <w:spacing w:after="0" w:line="190" w:lineRule="exact"/>
        <w:rPr>
          <w:rFonts w:ascii="Arial" w:cs="Arial" w:eastAsia="Arial" w:hAnsi="Arial"/>
          <w:sz w:val="20"/>
          <w:szCs w:val="20"/>
          <w:color w:val="auto"/>
        </w:rPr>
      </w:pPr>
    </w:p>
    <w:p>
      <w:pPr>
        <w:ind w:left="2" w:firstLine="645"/>
        <w:spacing w:after="0" w:line="267" w:lineRule="auto"/>
        <w:tabs>
          <w:tab w:leader="none" w:pos="1198"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Awards</w:t>
      </w:r>
      <w:r>
        <w:rPr>
          <w:rFonts w:ascii="Arial" w:cs="Arial" w:eastAsia="Arial" w:hAnsi="Arial"/>
          <w:sz w:val="20"/>
          <w:szCs w:val="20"/>
          <w:color w:val="auto"/>
        </w:rPr>
        <w:t>” means all awards for the Company common stock granted to Executive, including but not limited to options, stock bonus awards, restricted stock, restricted stock units, and stock appreciation rights.</w:t>
      </w:r>
    </w:p>
    <w:p>
      <w:pPr>
        <w:spacing w:after="0" w:line="190" w:lineRule="exact"/>
        <w:rPr>
          <w:rFonts w:ascii="Arial" w:cs="Arial" w:eastAsia="Arial" w:hAnsi="Arial"/>
          <w:sz w:val="20"/>
          <w:szCs w:val="20"/>
          <w:color w:val="auto"/>
        </w:rPr>
      </w:pPr>
    </w:p>
    <w:p>
      <w:pPr>
        <w:ind w:left="1282" w:hanging="635"/>
        <w:spacing w:after="0"/>
        <w:tabs>
          <w:tab w:leader="none" w:pos="1282"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w:t>
      </w:r>
    </w:p>
    <w:p>
      <w:pPr>
        <w:sectPr>
          <w:pgSz w:w="11900" w:h="16838" w:orient="portrait"/>
          <w:cols w:equalWidth="0" w:num="1">
            <w:col w:w="11022"/>
          </w:cols>
          <w:pgMar w:left="418" w:top="1345" w:right="459" w:bottom="1440" w:gutter="0" w:footer="0" w:header="0"/>
        </w:sectPr>
      </w:pPr>
    </w:p>
    <w:bookmarkStart w:id="110" w:name="page111"/>
    <w:bookmarkEnd w:id="110"/>
    <w:p>
      <w:pPr>
        <w:jc w:val="both"/>
        <w:ind w:left="3" w:right="120" w:firstLine="645"/>
        <w:spacing w:after="0" w:line="246" w:lineRule="auto"/>
        <w:tabs>
          <w:tab w:leader="none" w:pos="1205"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means the occurrence of any of the following events or conditions, without Executive’s express written consent: (i) a material diminution of Executive’s base salary or target annual performance bonus; (ii) a material diminution in Executive’s authority, duties or responsibilities; or (iii) any requirement by the Company that Executive’s principal place of employment be relocated to a location more than fifty (50) miles from Executive’s principal place of employment prior to such change, which relocation materially increases Executive’s commuting distance.</w:t>
      </w:r>
    </w:p>
    <w:p>
      <w:pPr>
        <w:spacing w:after="0" w:line="77" w:lineRule="exact"/>
        <w:rPr>
          <w:sz w:val="20"/>
          <w:szCs w:val="20"/>
          <w:color w:val="auto"/>
        </w:rPr>
      </w:pPr>
    </w:p>
    <w:p>
      <w:pPr>
        <w:jc w:val="both"/>
        <w:ind w:left="3" w:right="140"/>
        <w:spacing w:after="0" w:line="253" w:lineRule="auto"/>
        <w:rPr>
          <w:sz w:val="20"/>
          <w:szCs w:val="20"/>
          <w:color w:val="auto"/>
        </w:rPr>
      </w:pPr>
      <w:r>
        <w:rPr>
          <w:rFonts w:ascii="Arial" w:cs="Arial" w:eastAsia="Arial" w:hAnsi="Arial"/>
          <w:sz w:val="20"/>
          <w:szCs w:val="20"/>
          <w:color w:val="auto"/>
        </w:rPr>
        <w:t>A termination of employment for Good Reason shall be effectuated by giving the Company written notice (“</w:t>
      </w:r>
      <w:r>
        <w:rPr>
          <w:rFonts w:ascii="Arial" w:cs="Arial" w:eastAsia="Arial" w:hAnsi="Arial"/>
          <w:sz w:val="20"/>
          <w:szCs w:val="20"/>
          <w:b w:val="1"/>
          <w:bCs w:val="1"/>
          <w:color w:val="auto"/>
        </w:rPr>
        <w:t>Notice of Termination for</w:t>
      </w:r>
      <w:r>
        <w:rPr>
          <w:rFonts w:ascii="Arial" w:cs="Arial" w:eastAsia="Arial" w:hAnsi="Arial"/>
          <w:sz w:val="20"/>
          <w:szCs w:val="20"/>
          <w:color w:val="auto"/>
        </w:rPr>
        <w:t xml:space="preserve"> </w:t>
      </w:r>
      <w:r>
        <w:rPr>
          <w:rFonts w:ascii="Arial" w:cs="Arial" w:eastAsia="Arial" w:hAnsi="Arial"/>
          <w:sz w:val="20"/>
          <w:szCs w:val="20"/>
          <w:b w:val="1"/>
          <w:bCs w:val="1"/>
          <w:color w:val="auto"/>
        </w:rPr>
        <w:t>Good Reason</w:t>
      </w:r>
      <w:r>
        <w:rPr>
          <w:rFonts w:ascii="Arial" w:cs="Arial" w:eastAsia="Arial" w:hAnsi="Arial"/>
          <w:sz w:val="20"/>
          <w:szCs w:val="20"/>
          <w:color w:val="auto"/>
        </w:rPr>
        <w:t>”), setting forth in reasonable detail, the specific conduct of the Company that constitutes Good Reason and the specific</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this Notice on which Executive is</w:t>
      </w:r>
    </w:p>
    <w:p>
      <w:pPr>
        <w:spacing w:after="0" w:line="35" w:lineRule="exact"/>
        <w:rPr>
          <w:sz w:val="20"/>
          <w:szCs w:val="20"/>
          <w:color w:val="auto"/>
        </w:rPr>
      </w:pPr>
    </w:p>
    <w:p>
      <w:pPr>
        <w:jc w:val="both"/>
        <w:ind w:left="3" w:right="120"/>
        <w:spacing w:after="0" w:line="244" w:lineRule="auto"/>
        <w:rPr>
          <w:sz w:val="20"/>
          <w:szCs w:val="20"/>
          <w:color w:val="auto"/>
        </w:rPr>
      </w:pPr>
      <w:r>
        <w:rPr>
          <w:rFonts w:ascii="Arial" w:cs="Arial" w:eastAsia="Arial" w:hAnsi="Arial"/>
          <w:sz w:val="20"/>
          <w:szCs w:val="20"/>
          <w:color w:val="auto"/>
        </w:rPr>
        <w:t>relying. Notice of Termination for Good Reason must be provided within ninety (90) days of the condition first arising. The Company will have an opportunity to cure such conduct constituting Good Reason within thirty (30) days of receiving such Notice of Termination for Good Reason. If the Company does not cure such conduct within such thirty (30) day period, a termination of employment for Good Reason shall be effective on the thirty-first (31st) day following the date when the Notice of Termination for Good Reason is received by the Company.</w:t>
      </w:r>
    </w:p>
    <w:p>
      <w:pPr>
        <w:spacing w:after="0" w:line="215" w:lineRule="exact"/>
        <w:rPr>
          <w:sz w:val="20"/>
          <w:szCs w:val="20"/>
          <w:color w:val="auto"/>
        </w:rPr>
      </w:pPr>
    </w:p>
    <w:p>
      <w:pPr>
        <w:ind w:left="3" w:right="120" w:firstLine="645"/>
        <w:spacing w:after="0" w:line="267" w:lineRule="auto"/>
        <w:tabs>
          <w:tab w:leader="none" w:pos="1205"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Qualifying Termination</w:t>
      </w:r>
      <w:r>
        <w:rPr>
          <w:rFonts w:ascii="Arial" w:cs="Arial" w:eastAsia="Arial" w:hAnsi="Arial"/>
          <w:sz w:val="20"/>
          <w:szCs w:val="20"/>
          <w:color w:val="auto"/>
        </w:rPr>
        <w:t>” means a Separation resulting from (x) the Company terminating Executive’s employment for any reason other than Cause or (y) Executive voluntarily resigning his or her employment for Good Reason.</w:t>
      </w:r>
    </w:p>
    <w:p>
      <w:pPr>
        <w:spacing w:after="0" w:line="190" w:lineRule="exact"/>
        <w:rPr>
          <w:sz w:val="20"/>
          <w:szCs w:val="20"/>
          <w:color w:val="auto"/>
        </w:rPr>
      </w:pPr>
    </w:p>
    <w:p>
      <w:pPr>
        <w:ind w:left="3" w:firstLine="645"/>
        <w:spacing w:after="0" w:line="267" w:lineRule="auto"/>
        <w:tabs>
          <w:tab w:leader="none" w:pos="1048" w:val="left"/>
        </w:tabs>
        <w:numPr>
          <w:ilvl w:val="2"/>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Separation</w:t>
      </w:r>
      <w:r>
        <w:rPr>
          <w:rFonts w:ascii="Arial" w:cs="Arial" w:eastAsia="Arial" w:hAnsi="Arial"/>
          <w:sz w:val="20"/>
          <w:szCs w:val="20"/>
          <w:color w:val="auto"/>
        </w:rPr>
        <w:t>” means a “separation from service,” as defined in the regulations under Section 409A of the Code, if required by Section 409A of the Code.</w:t>
      </w:r>
    </w:p>
    <w:p>
      <w:pPr>
        <w:spacing w:after="0" w:line="217" w:lineRule="exact"/>
        <w:rPr>
          <w:rFonts w:ascii="Arial" w:cs="Arial" w:eastAsia="Arial" w:hAnsi="Arial"/>
          <w:sz w:val="20"/>
          <w:szCs w:val="20"/>
          <w:color w:val="auto"/>
        </w:rPr>
      </w:pPr>
    </w:p>
    <w:p>
      <w:pPr>
        <w:ind w:left="323" w:hanging="323"/>
        <w:spacing w:after="0"/>
        <w:tabs>
          <w:tab w:leader="none" w:pos="323" w:val="left"/>
        </w:tabs>
        <w:numPr>
          <w:ilvl w:val="0"/>
          <w:numId w:val="69"/>
        </w:numPr>
        <w:rPr>
          <w:rFonts w:ascii="Arial" w:cs="Arial" w:eastAsia="Arial" w:hAnsi="Arial"/>
          <w:sz w:val="22"/>
          <w:szCs w:val="22"/>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UCCESSORS</w:t>
      </w:r>
      <w:r>
        <w:rPr>
          <w:rFonts w:ascii="Arial" w:cs="Arial" w:eastAsia="Arial" w:hAnsi="Arial"/>
          <w:sz w:val="20"/>
          <w:szCs w:val="20"/>
          <w:b w:val="1"/>
          <w:bCs w:val="1"/>
          <w:color w:val="auto"/>
        </w:rPr>
        <w:t>.</w:t>
      </w:r>
    </w:p>
    <w:p>
      <w:pPr>
        <w:spacing w:after="0" w:line="192" w:lineRule="exact"/>
        <w:rPr>
          <w:rFonts w:ascii="Arial" w:cs="Arial" w:eastAsia="Arial" w:hAnsi="Arial"/>
          <w:sz w:val="22"/>
          <w:szCs w:val="22"/>
          <w:color w:val="auto"/>
        </w:rPr>
      </w:pPr>
    </w:p>
    <w:p>
      <w:pPr>
        <w:jc w:val="both"/>
        <w:ind w:left="3" w:right="120" w:firstLine="645"/>
        <w:spacing w:after="0" w:line="280" w:lineRule="auto"/>
        <w:tabs>
          <w:tab w:leader="none" w:pos="1207" w:val="left"/>
        </w:tabs>
        <w:numPr>
          <w:ilvl w:val="2"/>
          <w:numId w:val="69"/>
        </w:numPr>
        <w:rPr>
          <w:rFonts w:ascii="Arial" w:cs="Arial" w:eastAsia="Arial" w:hAnsi="Arial"/>
          <w:sz w:val="18"/>
          <w:szCs w:val="18"/>
          <w:color w:val="auto"/>
        </w:rPr>
      </w:pPr>
      <w:r>
        <w:rPr>
          <w:rFonts w:ascii="Arial" w:cs="Arial" w:eastAsia="Arial" w:hAnsi="Arial"/>
          <w:sz w:val="18"/>
          <w:szCs w:val="18"/>
          <w:b w:val="1"/>
          <w:bCs w:val="1"/>
          <w:color w:val="auto"/>
        </w:rPr>
        <w:t>Company’s Successors</w:t>
      </w:r>
      <w:r>
        <w:rPr>
          <w:rFonts w:ascii="Arial" w:cs="Arial" w:eastAsia="Arial" w:hAnsi="Arial"/>
          <w:sz w:val="18"/>
          <w:szCs w:val="18"/>
          <w:color w:val="auto"/>
        </w:rPr>
        <w:t>. The Company shall require any successor (whether direct or indirect and whether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consolidation, liquidation, or otherwise) to all or substantially all of the Company’s business and/or assets to assume this Agreement and to agree expressly to perform this Agreement in the same manner and to the same extent as the Company would be required to perform it in the absence of a succession. For all purposes under this Agreement, the term “</w:t>
      </w:r>
      <w:r>
        <w:rPr>
          <w:rFonts w:ascii="Arial" w:cs="Arial" w:eastAsia="Arial" w:hAnsi="Arial"/>
          <w:sz w:val="18"/>
          <w:szCs w:val="18"/>
          <w:b w:val="1"/>
          <w:bCs w:val="1"/>
          <w:color w:val="auto"/>
        </w:rPr>
        <w:t>Company</w:t>
      </w:r>
      <w:r>
        <w:rPr>
          <w:rFonts w:ascii="Arial" w:cs="Arial" w:eastAsia="Arial" w:hAnsi="Arial"/>
          <w:sz w:val="18"/>
          <w:szCs w:val="18"/>
          <w:color w:val="auto"/>
        </w:rPr>
        <w:t>” shall include any successor to the Company’s business and/or assets or which becomes bound by this Agreement by operation of law.</w:t>
      </w:r>
    </w:p>
    <w:p>
      <w:pPr>
        <w:spacing w:after="0" w:line="196" w:lineRule="exact"/>
        <w:rPr>
          <w:rFonts w:ascii="Arial" w:cs="Arial" w:eastAsia="Arial" w:hAnsi="Arial"/>
          <w:sz w:val="18"/>
          <w:szCs w:val="18"/>
          <w:color w:val="auto"/>
        </w:rPr>
      </w:pPr>
    </w:p>
    <w:p>
      <w:pPr>
        <w:jc w:val="both"/>
        <w:ind w:left="3" w:right="140" w:firstLine="645"/>
        <w:spacing w:after="0" w:line="253" w:lineRule="auto"/>
        <w:tabs>
          <w:tab w:leader="none" w:pos="1205" w:val="left"/>
        </w:tabs>
        <w:numPr>
          <w:ilvl w:val="2"/>
          <w:numId w:val="69"/>
        </w:numPr>
        <w:rPr>
          <w:rFonts w:ascii="Arial" w:cs="Arial" w:eastAsia="Arial" w:hAnsi="Arial"/>
          <w:sz w:val="20"/>
          <w:szCs w:val="20"/>
          <w:color w:val="auto"/>
        </w:rPr>
      </w:pPr>
      <w:r>
        <w:rPr>
          <w:rFonts w:ascii="Arial" w:cs="Arial" w:eastAsia="Arial" w:hAnsi="Arial"/>
          <w:sz w:val="20"/>
          <w:szCs w:val="20"/>
          <w:b w:val="1"/>
          <w:bCs w:val="1"/>
          <w:color w:val="auto"/>
        </w:rPr>
        <w:t>Executive’s Successors</w:t>
      </w:r>
      <w:r>
        <w:rPr>
          <w:rFonts w:ascii="Arial" w:cs="Arial" w:eastAsia="Arial" w:hAnsi="Arial"/>
          <w:sz w:val="20"/>
          <w:szCs w:val="20"/>
          <w:color w:val="auto"/>
        </w:rPr>
        <w:t>. This Agreement and all rights of Executive hereunder shall inure to the benefit of, and be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enforceable by, Executive’s personal or legal representatives, executors, administrators, successors, heirs, distributees, devisees, and legatees.</w:t>
      </w:r>
    </w:p>
    <w:p>
      <w:pPr>
        <w:spacing w:after="0" w:line="231" w:lineRule="exact"/>
        <w:rPr>
          <w:rFonts w:ascii="Arial" w:cs="Arial" w:eastAsia="Arial" w:hAnsi="Arial"/>
          <w:sz w:val="20"/>
          <w:szCs w:val="20"/>
          <w:color w:val="auto"/>
        </w:rPr>
      </w:pPr>
    </w:p>
    <w:p>
      <w:pPr>
        <w:ind w:left="643" w:hanging="643"/>
        <w:spacing w:after="0"/>
        <w:tabs>
          <w:tab w:leader="none" w:pos="643" w:val="left"/>
        </w:tabs>
        <w:numPr>
          <w:ilvl w:val="0"/>
          <w:numId w:val="69"/>
        </w:numPr>
        <w:rPr>
          <w:rFonts w:ascii="Arial" w:cs="Arial" w:eastAsia="Arial" w:hAnsi="Arial"/>
          <w:sz w:val="22"/>
          <w:szCs w:val="22"/>
          <w:color w:val="auto"/>
        </w:rPr>
      </w:pPr>
      <w:r>
        <w:rPr>
          <w:rFonts w:ascii="Arial" w:cs="Arial" w:eastAsia="Arial" w:hAnsi="Arial"/>
          <w:sz w:val="20"/>
          <w:szCs w:val="20"/>
          <w:b w:val="1"/>
          <w:bCs w:val="1"/>
          <w:color w:val="auto"/>
        </w:rPr>
        <w:t>G</w:t>
      </w:r>
      <w:r>
        <w:rPr>
          <w:rFonts w:ascii="Arial" w:cs="Arial" w:eastAsia="Arial" w:hAnsi="Arial"/>
          <w:sz w:val="16"/>
          <w:szCs w:val="16"/>
          <w:b w:val="1"/>
          <w:bCs w:val="1"/>
          <w:color w:val="auto"/>
        </w:rPr>
        <w:t>OLDEN</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ARACHUTE</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AXES</w:t>
      </w:r>
      <w:r>
        <w:rPr>
          <w:rFonts w:ascii="Arial" w:cs="Arial" w:eastAsia="Arial" w:hAnsi="Arial"/>
          <w:sz w:val="20"/>
          <w:szCs w:val="20"/>
          <w:b w:val="1"/>
          <w:bCs w:val="1"/>
          <w:color w:val="auto"/>
        </w:rPr>
        <w:t>.</w:t>
      </w:r>
    </w:p>
    <w:p>
      <w:pPr>
        <w:spacing w:after="0" w:line="179" w:lineRule="exact"/>
        <w:rPr>
          <w:rFonts w:ascii="Arial" w:cs="Arial" w:eastAsia="Arial" w:hAnsi="Arial"/>
          <w:sz w:val="22"/>
          <w:szCs w:val="22"/>
          <w:color w:val="auto"/>
        </w:rPr>
      </w:pPr>
    </w:p>
    <w:p>
      <w:pPr>
        <w:jc w:val="both"/>
        <w:ind w:left="3" w:right="120" w:firstLine="645"/>
        <w:spacing w:after="0" w:line="278" w:lineRule="auto"/>
        <w:tabs>
          <w:tab w:leader="none" w:pos="1207" w:val="left"/>
        </w:tabs>
        <w:numPr>
          <w:ilvl w:val="2"/>
          <w:numId w:val="69"/>
        </w:numPr>
        <w:rPr>
          <w:rFonts w:ascii="Arial" w:cs="Arial" w:eastAsia="Arial" w:hAnsi="Arial"/>
          <w:sz w:val="18"/>
          <w:szCs w:val="18"/>
          <w:color w:val="auto"/>
        </w:rPr>
      </w:pPr>
      <w:r>
        <w:rPr>
          <w:rFonts w:ascii="Arial" w:cs="Arial" w:eastAsia="Arial" w:hAnsi="Arial"/>
          <w:sz w:val="18"/>
          <w:szCs w:val="18"/>
          <w:b w:val="1"/>
          <w:bCs w:val="1"/>
          <w:color w:val="auto"/>
        </w:rPr>
        <w:t>Best After-Tax Result</w:t>
      </w:r>
      <w:r>
        <w:rPr>
          <w:rFonts w:ascii="Arial" w:cs="Arial" w:eastAsia="Arial" w:hAnsi="Arial"/>
          <w:sz w:val="18"/>
          <w:szCs w:val="18"/>
          <w:color w:val="auto"/>
        </w:rPr>
        <w:t>. In the event that any payment or benefit received or to be received by Executive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w:t>
      </w:r>
    </w:p>
    <w:p>
      <w:pPr>
        <w:spacing w:after="0" w:line="1" w:lineRule="exact"/>
        <w:rPr>
          <w:rFonts w:ascii="Arial" w:cs="Arial" w:eastAsia="Arial" w:hAnsi="Arial"/>
          <w:sz w:val="18"/>
          <w:szCs w:val="18"/>
          <w:color w:val="auto"/>
        </w:rPr>
      </w:pPr>
    </w:p>
    <w:p>
      <w:pPr>
        <w:jc w:val="both"/>
        <w:ind w:left="3" w:right="120" w:hanging="2"/>
        <w:spacing w:after="0" w:line="254" w:lineRule="auto"/>
        <w:tabs>
          <w:tab w:leader="none" w:pos="328" w:val="left"/>
        </w:tabs>
        <w:numPr>
          <w:ilvl w:val="1"/>
          <w:numId w:val="69"/>
        </w:numPr>
        <w:rPr>
          <w:rFonts w:ascii="Arial" w:cs="Arial" w:eastAsia="Arial" w:hAnsi="Arial"/>
          <w:sz w:val="19"/>
          <w:szCs w:val="19"/>
          <w:color w:val="auto"/>
        </w:rPr>
      </w:pPr>
      <w:r>
        <w:rPr>
          <w:rFonts w:ascii="Arial" w:cs="Arial" w:eastAsia="Arial" w:hAnsi="Arial"/>
          <w:sz w:val="19"/>
          <w:szCs w:val="19"/>
          <w:color w:val="auto"/>
        </w:rPr>
        <w:t>but for this subsection (a), be subject to the excise tax imposed by Section 4999 of the Code, any successor provisions, or any comparable federal, state, local or foreign excise tax (“</w:t>
      </w:r>
      <w:r>
        <w:rPr>
          <w:rFonts w:ascii="Arial" w:cs="Arial" w:eastAsia="Arial" w:hAnsi="Arial"/>
          <w:sz w:val="19"/>
          <w:szCs w:val="19"/>
          <w:b w:val="1"/>
          <w:bCs w:val="1"/>
          <w:color w:val="auto"/>
        </w:rPr>
        <w:t>Excise Tax</w:t>
      </w:r>
      <w:r>
        <w:rPr>
          <w:rFonts w:ascii="Arial" w:cs="Arial" w:eastAsia="Arial" w:hAnsi="Arial"/>
          <w:sz w:val="19"/>
          <w:szCs w:val="19"/>
          <w:color w:val="auto"/>
        </w:rPr>
        <w:t>”), then, subject to the provisions of Section 6(b) hereof, such Payments shall be either (x) provided in full pursuant to the terms of this Agreement or any other applicable agreement, or (y) provided as to such lesser extent which would result in no portion of such Payments being subject to the Excise Tax (“</w:t>
      </w:r>
      <w:r>
        <w:rPr>
          <w:rFonts w:ascii="Arial" w:cs="Arial" w:eastAsia="Arial" w:hAnsi="Arial"/>
          <w:sz w:val="19"/>
          <w:szCs w:val="19"/>
          <w:b w:val="1"/>
          <w:bCs w:val="1"/>
          <w:color w:val="auto"/>
        </w:rPr>
        <w:t>Reduced Amount</w:t>
      </w:r>
      <w:r>
        <w:rPr>
          <w:rFonts w:ascii="Arial" w:cs="Arial" w:eastAsia="Arial" w:hAnsi="Arial"/>
          <w:sz w:val="19"/>
          <w:szCs w:val="19"/>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w:t>
      </w:r>
    </w:p>
    <w:p>
      <w:pPr>
        <w:sectPr>
          <w:pgSz w:w="11900" w:h="16838" w:orient="portrait"/>
          <w:cols w:equalWidth="0" w:num="1">
            <w:col w:w="11143"/>
          </w:cols>
          <w:pgMar w:left="417" w:top="1345" w:right="339" w:bottom="1440" w:gutter="0" w:footer="0" w:header="0"/>
        </w:sectPr>
      </w:pPr>
    </w:p>
    <w:bookmarkStart w:id="111" w:name="page112"/>
    <w:bookmarkEnd w:id="111"/>
    <w:p>
      <w:pPr>
        <w:spacing w:after="0" w:line="114" w:lineRule="exact"/>
        <w:rPr>
          <w:sz w:val="20"/>
          <w:szCs w:val="20"/>
          <w:color w:val="auto"/>
        </w:rPr>
      </w:pPr>
    </w:p>
    <w:p>
      <w:pPr>
        <w:jc w:val="both"/>
        <w:ind w:left="3"/>
        <w:spacing w:after="0" w:line="269" w:lineRule="auto"/>
        <w:rPr>
          <w:sz w:val="20"/>
          <w:szCs w:val="20"/>
          <w:color w:val="auto"/>
        </w:rPr>
      </w:pPr>
      <w:r>
        <w:rPr>
          <w:rFonts w:ascii="Arial" w:cs="Arial" w:eastAsia="Arial" w:hAnsi="Arial"/>
          <w:sz w:val="18"/>
          <w:szCs w:val="18"/>
          <w:color w:val="auto"/>
        </w:rPr>
        <w:t>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 Tax Counsel</w:t>
      </w:r>
      <w:r>
        <w:rPr>
          <w:rFonts w:ascii="Arial" w:cs="Arial" w:eastAsia="Arial" w:hAnsi="Arial"/>
          <w:sz w:val="18"/>
          <w:szCs w:val="18"/>
          <w:color w:val="auto"/>
        </w:rPr>
        <w:t>”), whose determination shall be conclusive and binding upon Executive and the Company for all purposes. For purposes of making the calculations required under this Section 6(a),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6(a)(ii)(B)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6(b) hereof shall apply, and the enforcement of Section 6(b) shall be the exclusive remedy to the Company.</w:t>
      </w:r>
    </w:p>
    <w:p>
      <w:pPr>
        <w:spacing w:after="0" w:line="195" w:lineRule="exact"/>
        <w:rPr>
          <w:sz w:val="20"/>
          <w:szCs w:val="20"/>
          <w:color w:val="auto"/>
        </w:rPr>
      </w:pPr>
    </w:p>
    <w:p>
      <w:pPr>
        <w:jc w:val="both"/>
        <w:ind w:left="3" w:firstLine="645"/>
        <w:spacing w:after="0" w:line="256" w:lineRule="auto"/>
        <w:tabs>
          <w:tab w:leader="none" w:pos="1205" w:val="left"/>
        </w:tabs>
        <w:numPr>
          <w:ilvl w:val="2"/>
          <w:numId w:val="70"/>
        </w:numPr>
        <w:rPr>
          <w:rFonts w:ascii="Arial" w:cs="Arial" w:eastAsia="Arial" w:hAnsi="Arial"/>
          <w:sz w:val="19"/>
          <w:szCs w:val="19"/>
          <w:color w:val="auto"/>
        </w:rPr>
      </w:pPr>
      <w:r>
        <w:rPr>
          <w:rFonts w:ascii="Arial" w:cs="Arial" w:eastAsia="Arial" w:hAnsi="Arial"/>
          <w:sz w:val="19"/>
          <w:szCs w:val="19"/>
          <w:b w:val="1"/>
          <w:bCs w:val="1"/>
          <w:color w:val="auto"/>
        </w:rPr>
        <w:t>Adjustments</w:t>
      </w:r>
      <w:r>
        <w:rPr>
          <w:rFonts w:ascii="Arial" w:cs="Arial" w:eastAsia="Arial" w:hAnsi="Arial"/>
          <w:sz w:val="19"/>
          <w:szCs w:val="19"/>
          <w:color w:val="auto"/>
        </w:rPr>
        <w:t>. If, notwithstanding any reduction described in Section 6(a) hereof (or in the absence of any such reduction),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IRS determines that Executive is liable for the Excise Tax as a result of the receipt of one or more Payments, then Executive shall be obligated to surrender or pay back to the Company, within one hundred twenty (120) days after a final IRS determination, an amount of such payments or benefits equal to the “</w:t>
      </w:r>
      <w:r>
        <w:rPr>
          <w:rFonts w:ascii="Arial" w:cs="Arial" w:eastAsia="Arial" w:hAnsi="Arial"/>
          <w:sz w:val="19"/>
          <w:szCs w:val="19"/>
          <w:b w:val="1"/>
          <w:bCs w:val="1"/>
          <w:color w:val="auto"/>
        </w:rPr>
        <w:t>Repayment Amount</w:t>
      </w:r>
      <w:r>
        <w:rPr>
          <w:rFonts w:ascii="Arial" w:cs="Arial" w:eastAsia="Arial" w:hAnsi="Arial"/>
          <w:sz w:val="19"/>
          <w:szCs w:val="19"/>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by Executive from the Payments. If the Excise Tax is not eliminated pursuant to this Section 6(b), Executive shall pay the Excise Tax.</w:t>
      </w:r>
    </w:p>
    <w:p>
      <w:pPr>
        <w:spacing w:after="0" w:line="234" w:lineRule="exact"/>
        <w:rPr>
          <w:rFonts w:ascii="Arial" w:cs="Arial" w:eastAsia="Arial" w:hAnsi="Arial"/>
          <w:sz w:val="19"/>
          <w:szCs w:val="19"/>
          <w:color w:val="auto"/>
        </w:rPr>
      </w:pPr>
    </w:p>
    <w:p>
      <w:pPr>
        <w:ind w:left="643" w:hanging="643"/>
        <w:spacing w:after="0"/>
        <w:tabs>
          <w:tab w:leader="none" w:pos="643" w:val="left"/>
        </w:tabs>
        <w:numPr>
          <w:ilvl w:val="0"/>
          <w:numId w:val="71"/>
        </w:numPr>
        <w:rPr>
          <w:rFonts w:ascii="Arial" w:cs="Arial" w:eastAsia="Arial" w:hAnsi="Arial"/>
          <w:sz w:val="22"/>
          <w:szCs w:val="22"/>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ISCELLANEOUS</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ROVISIONS</w:t>
      </w:r>
      <w:r>
        <w:rPr>
          <w:rFonts w:ascii="Arial" w:cs="Arial" w:eastAsia="Arial" w:hAnsi="Arial"/>
          <w:sz w:val="20"/>
          <w:szCs w:val="20"/>
          <w:b w:val="1"/>
          <w:bCs w:val="1"/>
          <w:color w:val="auto"/>
        </w:rPr>
        <w:t>.</w:t>
      </w:r>
    </w:p>
    <w:p>
      <w:pPr>
        <w:spacing w:after="0" w:line="192" w:lineRule="exact"/>
        <w:rPr>
          <w:rFonts w:ascii="Arial" w:cs="Arial" w:eastAsia="Arial" w:hAnsi="Arial"/>
          <w:sz w:val="22"/>
          <w:szCs w:val="22"/>
          <w:color w:val="auto"/>
        </w:rPr>
      </w:pPr>
    </w:p>
    <w:p>
      <w:pPr>
        <w:jc w:val="both"/>
        <w:ind w:left="3" w:firstLine="403"/>
        <w:spacing w:after="0" w:line="256" w:lineRule="auto"/>
        <w:tabs>
          <w:tab w:leader="none" w:pos="1204" w:val="left"/>
        </w:tabs>
        <w:numPr>
          <w:ilvl w:val="1"/>
          <w:numId w:val="71"/>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To the extent (i) any payments to which Executive becomes entitled under this Agreement, or any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plan 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(x) the expiration of the six (6)-month period measured from the date of Executive’s “separation from service” (as such term is at the time defined in regulations under Section 409A of the Code) with the Company; or (y) the date of Executive’s death following such separation from service;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w:t>
      </w:r>
    </w:p>
    <w:p>
      <w:pPr>
        <w:sectPr>
          <w:pgSz w:w="11900" w:h="16838" w:orient="portrait"/>
          <w:cols w:equalWidth="0" w:num="1">
            <w:col w:w="11023"/>
          </w:cols>
          <w:pgMar w:left="417" w:top="1440" w:right="459" w:bottom="1440" w:gutter="0" w:footer="0" w:header="0"/>
        </w:sectPr>
      </w:pPr>
    </w:p>
    <w:bookmarkStart w:id="112" w:name="page113"/>
    <w:bookmarkEnd w:id="112"/>
    <w:p>
      <w:pPr>
        <w:spacing w:after="0" w:line="11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that period (whether in a single sum or in installments) in the absence of this paragraph shall be paid to Executive or Executive’s beneficiary in one lump sum (without interest).</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w:t>
      </w: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 2(b)(2) of the regulations under Section 409A.</w:t>
      </w:r>
    </w:p>
    <w:p>
      <w:pPr>
        <w:spacing w:after="0" w:line="219" w:lineRule="exact"/>
        <w:rPr>
          <w:sz w:val="20"/>
          <w:szCs w:val="20"/>
          <w:color w:val="auto"/>
        </w:rPr>
      </w:pPr>
    </w:p>
    <w:p>
      <w:pPr>
        <w:jc w:val="both"/>
        <w:ind w:firstLine="645"/>
        <w:spacing w:after="0" w:line="258" w:lineRule="auto"/>
        <w:tabs>
          <w:tab w:leader="none" w:pos="1202"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Other Severance and Acceleration Arrangements</w:t>
      </w:r>
      <w:r>
        <w:rPr>
          <w:rFonts w:ascii="Arial" w:cs="Arial" w:eastAsia="Arial" w:hAnsi="Arial"/>
          <w:sz w:val="19"/>
          <w:szCs w:val="19"/>
          <w:color w:val="auto"/>
        </w:rPr>
        <w:t>. Except as otherwise specified herein, this Agreement represents the</w:t>
      </w:r>
      <w:r>
        <w:rPr>
          <w:rFonts w:ascii="Arial" w:cs="Arial" w:eastAsia="Arial" w:hAnsi="Arial"/>
          <w:sz w:val="19"/>
          <w:szCs w:val="19"/>
          <w:b w:val="1"/>
          <w:bCs w:val="1"/>
          <w:color w:val="auto"/>
        </w:rPr>
        <w:t xml:space="preserve"> </w:t>
      </w:r>
      <w:r>
        <w:rPr>
          <w:rFonts w:ascii="Arial" w:cs="Arial" w:eastAsia="Arial" w:hAnsi="Arial"/>
          <w:sz w:val="19"/>
          <w:szCs w:val="19"/>
          <w:color w:val="auto"/>
        </w:rPr>
        <w:t>entire agreement between Executive and the Company with respect to any and all severance arrangements, vesting acceleration arrangements, and post-termination stock option exercise period arrangements, and supersedes and replaces any and all prior verbal or written discussions, negotiations, and/or agreements between Executive and the Company relating to the subject matter hereof as may be set forth under, but not limited to, any and all prior agreements governing any Equity Award, any change in control and severance agreements, employment agreement, offer letter, or programs and plans which were previously offered by the Company to Executive, and Executive hereby waives Executive’s rights to any and all such other severance arrangements, vesting acceleration arrangements, and post-termination stock option exercise period arrangements, as applicable.</w:t>
      </w:r>
    </w:p>
    <w:p>
      <w:pPr>
        <w:spacing w:after="0" w:line="200" w:lineRule="exact"/>
        <w:rPr>
          <w:rFonts w:ascii="Arial" w:cs="Arial" w:eastAsia="Arial" w:hAnsi="Arial"/>
          <w:sz w:val="19"/>
          <w:szCs w:val="19"/>
          <w:color w:val="auto"/>
        </w:rPr>
      </w:pPr>
    </w:p>
    <w:p>
      <w:pPr>
        <w:jc w:val="both"/>
        <w:ind w:firstLine="645"/>
        <w:spacing w:after="0" w:line="271" w:lineRule="auto"/>
        <w:tabs>
          <w:tab w:leader="none" w:pos="1204"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 To ensure rapid and economical resolution of any and all disputes that might arise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Los Angeles County, CA, and conducted by JAMs under its then-existing employment rules and procedures. The JAMS rules may be found and reviewed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The arbitrator shall issue a written decision that contains the essential findings and conclusions on which the decision is based. The arbitration provisions of this Agreement shall be governed by and enforceable pursuant to the Federal Arbitration Act. In all other respects for provisions not governed by the Federal Arbitration Act, this Agreement shall be construed in accordance with the laws of the State of California, without reference to conflicts of law principles.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ectPr>
          <w:pgSz w:w="11900" w:h="16838" w:orient="portrait"/>
          <w:cols w:equalWidth="0" w:num="1">
            <w:col w:w="11020"/>
          </w:cols>
          <w:pgMar w:left="420" w:top="1440" w:right="459" w:bottom="1440" w:gutter="0" w:footer="0" w:header="0"/>
        </w:sectPr>
      </w:pPr>
    </w:p>
    <w:bookmarkStart w:id="113" w:name="page114"/>
    <w:bookmarkEnd w:id="113"/>
    <w:p>
      <w:pPr>
        <w:jc w:val="both"/>
        <w:ind w:firstLine="645"/>
        <w:spacing w:after="0" w:line="280" w:lineRule="auto"/>
        <w:tabs>
          <w:tab w:leader="none" w:pos="120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when personally delivered or when mailed by U.S. registered or certified mail, return receipt requested and postage prepaid or deposited with an overnight courier, with shipping charges prepaid. In the case of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83" w:lineRule="exact"/>
        <w:rPr>
          <w:rFonts w:ascii="Arial" w:cs="Arial" w:eastAsia="Arial" w:hAnsi="Arial"/>
          <w:sz w:val="18"/>
          <w:szCs w:val="18"/>
          <w:color w:val="auto"/>
        </w:rPr>
      </w:pPr>
    </w:p>
    <w:p>
      <w:pPr>
        <w:jc w:val="both"/>
        <w:ind w:firstLine="645"/>
        <w:spacing w:after="0" w:line="246" w:lineRule="auto"/>
        <w:tabs>
          <w:tab w:leader="none" w:pos="1204"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Amendment; Waiver</w:t>
      </w:r>
      <w:r>
        <w:rPr>
          <w:rFonts w:ascii="Arial" w:cs="Arial" w:eastAsia="Arial" w:hAnsi="Arial"/>
          <w:sz w:val="20"/>
          <w:szCs w:val="20"/>
          <w:color w:val="auto"/>
        </w:rPr>
        <w:t>. This Agreement may not be amended or waived except by a writing signed by Executive and by a</w:t>
      </w:r>
      <w:r>
        <w:rPr>
          <w:rFonts w:ascii="Arial" w:cs="Arial" w:eastAsia="Arial" w:hAnsi="Arial"/>
          <w:sz w:val="20"/>
          <w:szCs w:val="20"/>
          <w:b w:val="1"/>
          <w:bCs w:val="1"/>
          <w:color w:val="auto"/>
        </w:rPr>
        <w:t xml:space="preserve"> </w:t>
      </w:r>
      <w:r>
        <w:rPr>
          <w:rFonts w:ascii="Arial" w:cs="Arial" w:eastAsia="Arial" w:hAnsi="Arial"/>
          <w:sz w:val="20"/>
          <w:szCs w:val="20"/>
          <w:color w:val="auto"/>
        </w:rPr>
        <w:t>duly authorized representative of the Company other than Executive. No provision of this Agreement shall be modified, waived, superseded or discharged unless the modification, waiver or discharge is agreed to in writing and signed by Executive and by an authorized officer of the Company (other than Executive) and, to the extent it supersedes this Agreement, that this Agreement is referred to by date. No waiver by either party of any breach of, or of compliance with, any</w:t>
      </w:r>
    </w:p>
    <w:p>
      <w:pPr>
        <w:spacing w:after="0" w:line="4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condition or provision of this Agreement by the other party shall be considered a waiver of any other condition or provision or of the same condition or provision at another time.</w:t>
      </w:r>
    </w:p>
    <w:p>
      <w:pPr>
        <w:spacing w:after="0" w:line="211" w:lineRule="exact"/>
        <w:rPr>
          <w:sz w:val="20"/>
          <w:szCs w:val="20"/>
          <w:color w:val="auto"/>
        </w:rPr>
      </w:pPr>
    </w:p>
    <w:p>
      <w:pPr>
        <w:ind w:right="20" w:firstLine="645"/>
        <w:spacing w:after="0" w:line="267" w:lineRule="auto"/>
        <w:tabs>
          <w:tab w:leader="none" w:pos="1196"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payments made under this Agreement shall be subject to reduction to reflect taxes or other charges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be withheld by law.</w:t>
      </w:r>
    </w:p>
    <w:p>
      <w:pPr>
        <w:spacing w:after="0" w:line="203" w:lineRule="exact"/>
        <w:rPr>
          <w:rFonts w:ascii="Arial" w:cs="Arial" w:eastAsia="Arial" w:hAnsi="Arial"/>
          <w:sz w:val="20"/>
          <w:szCs w:val="20"/>
          <w:color w:val="auto"/>
        </w:rPr>
      </w:pPr>
    </w:p>
    <w:p>
      <w:pPr>
        <w:ind w:right="20" w:firstLine="645"/>
        <w:spacing w:after="0" w:line="267" w:lineRule="auto"/>
        <w:tabs>
          <w:tab w:leader="none" w:pos="1202"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The invalidity or unenforceability of any provision or provisions of this Agreement shall not affect the</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or enforceability of any other provision hereof, which shall remain in full force and effect.</w:t>
      </w:r>
    </w:p>
    <w:p>
      <w:pPr>
        <w:spacing w:after="0" w:line="190" w:lineRule="exact"/>
        <w:rPr>
          <w:rFonts w:ascii="Arial" w:cs="Arial" w:eastAsia="Arial" w:hAnsi="Arial"/>
          <w:sz w:val="20"/>
          <w:szCs w:val="20"/>
          <w:color w:val="auto"/>
        </w:rPr>
      </w:pPr>
    </w:p>
    <w:p>
      <w:pPr>
        <w:jc w:val="both"/>
        <w:ind w:firstLine="645"/>
        <w:spacing w:after="0" w:line="248" w:lineRule="auto"/>
        <w:tabs>
          <w:tab w:leader="none" w:pos="1202"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No Retention Rights</w:t>
      </w:r>
      <w:r>
        <w:rPr>
          <w:rFonts w:ascii="Arial" w:cs="Arial" w:eastAsia="Arial" w:hAnsi="Arial"/>
          <w:sz w:val="20"/>
          <w:szCs w:val="20"/>
          <w:color w:val="auto"/>
        </w:rPr>
        <w:t>. Nothing in this Agreement shall confer upon Executive any right to continue in service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period of specific duration or interfere with or otherwise restrict in any way the rights of the Company or any subsidiary of the Company or of Executive, which rights are hereby expressly reserved by each, to terminate his or her service at any time and for any reason, with or without Cause.</w:t>
      </w:r>
    </w:p>
    <w:p>
      <w:pPr>
        <w:spacing w:after="0" w:line="210" w:lineRule="exact"/>
        <w:rPr>
          <w:rFonts w:ascii="Arial" w:cs="Arial" w:eastAsia="Arial" w:hAnsi="Arial"/>
          <w:sz w:val="20"/>
          <w:szCs w:val="20"/>
          <w:color w:val="auto"/>
        </w:rPr>
      </w:pPr>
    </w:p>
    <w:p>
      <w:pPr>
        <w:ind w:right="20" w:firstLine="645"/>
        <w:spacing w:after="0" w:line="267" w:lineRule="auto"/>
        <w:tabs>
          <w:tab w:leader="none" w:pos="1198"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The validity, interpretation, construction and performance of this Agreement shall be governed by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California (other than their choice-of-law provisions).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IGNATURE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AGE</w:t>
      </w:r>
      <w:r>
        <w:rPr>
          <w:rFonts w:ascii="Arial" w:cs="Arial" w:eastAsia="Arial" w:hAnsi="Arial"/>
          <w:sz w:val="20"/>
          <w:szCs w:val="20"/>
          <w:b w:val="1"/>
          <w:bCs w:val="1"/>
          <w:color w:val="auto"/>
        </w:rPr>
        <w:t xml:space="preserve"> F</w:t>
      </w:r>
      <w:r>
        <w:rPr>
          <w:rFonts w:ascii="Arial" w:cs="Arial" w:eastAsia="Arial" w:hAnsi="Arial"/>
          <w:sz w:val="16"/>
          <w:szCs w:val="16"/>
          <w:b w:val="1"/>
          <w:bCs w:val="1"/>
          <w:color w:val="auto"/>
        </w:rPr>
        <w:t>OLLOWS</w:t>
      </w:r>
      <w:r>
        <w:rPr>
          <w:rFonts w:ascii="Arial" w:cs="Arial" w:eastAsia="Arial" w:hAnsi="Arial"/>
          <w:sz w:val="20"/>
          <w:szCs w:val="20"/>
          <w:b w:val="1"/>
          <w:bCs w:val="1"/>
          <w:color w:val="auto"/>
        </w:rPr>
        <w:t>]</w:t>
      </w:r>
    </w:p>
    <w:p>
      <w:pPr>
        <w:sectPr>
          <w:pgSz w:w="11900" w:h="16838" w:orient="portrait"/>
          <w:cols w:equalWidth="0" w:num="1">
            <w:col w:w="11020"/>
          </w:cols>
          <w:pgMar w:left="420" w:top="1345" w:right="459" w:bottom="1440" w:gutter="0" w:footer="0" w:header="0"/>
        </w:sectPr>
      </w:pPr>
    </w:p>
    <w:bookmarkStart w:id="114" w:name="page115"/>
    <w:bookmarkEnd w:id="114"/>
    <w:p>
      <w:pPr>
        <w:ind w:left="80" w:firstLine="647"/>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parties has executed this</w:t>
      </w:r>
      <w:r>
        <w:rPr>
          <w:rFonts w:ascii="Arial" w:cs="Arial" w:eastAsia="Arial" w:hAnsi="Arial"/>
          <w:sz w:val="20"/>
          <w:szCs w:val="20"/>
          <w:b w:val="1"/>
          <w:bCs w:val="1"/>
          <w:color w:val="auto"/>
        </w:rPr>
        <w:t xml:space="preserve"> Severance &amp; Change in Control Agreement, </w:t>
      </w:r>
      <w:r>
        <w:rPr>
          <w:rFonts w:ascii="Arial" w:cs="Arial" w:eastAsia="Arial" w:hAnsi="Arial"/>
          <w:sz w:val="20"/>
          <w:szCs w:val="20"/>
          <w:color w:val="auto"/>
        </w:rPr>
        <w:t>as of the day and</w:t>
      </w:r>
      <w:r>
        <w:rPr>
          <w:rFonts w:ascii="Arial" w:cs="Arial" w:eastAsia="Arial" w:hAnsi="Arial"/>
          <w:sz w:val="20"/>
          <w:szCs w:val="20"/>
          <w:b w:val="1"/>
          <w:bCs w:val="1"/>
          <w:color w:val="auto"/>
        </w:rPr>
        <w:t xml:space="preserve"> </w:t>
      </w:r>
      <w:r>
        <w:rPr>
          <w:rFonts w:ascii="Arial" w:cs="Arial" w:eastAsia="Arial" w:hAnsi="Arial"/>
          <w:sz w:val="20"/>
          <w:szCs w:val="20"/>
          <w:color w:val="auto"/>
        </w:rPr>
        <w:t>year this Agreement has been signed by both parties.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40" w:type="dxa"/>
            <w:vAlign w:val="bottom"/>
            <w:gridSpan w:val="3"/>
          </w:tcPr>
          <w:p>
            <w:pPr>
              <w:spacing w:after="0"/>
              <w:rPr>
                <w:sz w:val="20"/>
                <w:szCs w:val="20"/>
                <w:color w:val="auto"/>
              </w:rPr>
            </w:pPr>
            <w:r>
              <w:rPr>
                <w:rFonts w:ascii="Arial" w:cs="Arial" w:eastAsia="Arial" w:hAnsi="Arial"/>
                <w:sz w:val="20"/>
                <w:szCs w:val="20"/>
                <w:color w:val="auto"/>
              </w:rPr>
              <w:t>EXECUTIVE</w:t>
            </w:r>
          </w:p>
        </w:tc>
        <w:tc>
          <w:tcPr>
            <w:tcW w:w="5600" w:type="dxa"/>
            <w:vAlign w:val="bottom"/>
            <w:gridSpan w:val="3"/>
          </w:tcPr>
          <w:p>
            <w:pPr>
              <w:ind w:left="2120"/>
              <w:spacing w:after="0"/>
              <w:rPr>
                <w:sz w:val="20"/>
                <w:szCs w:val="20"/>
                <w:color w:val="auto"/>
              </w:rPr>
            </w:pPr>
            <w:r>
              <w:rPr>
                <w:rFonts w:ascii="Arial" w:cs="Arial" w:eastAsia="Arial" w:hAnsi="Arial"/>
                <w:sz w:val="20"/>
                <w:szCs w:val="20"/>
                <w:color w:val="auto"/>
              </w:rPr>
              <w:t>ARCUTIS BIOTHERAPEUTICS, INC.</w:t>
            </w:r>
          </w:p>
        </w:tc>
      </w:tr>
      <w:tr>
        <w:trPr>
          <w:trHeight w:val="509"/>
        </w:trPr>
        <w:tc>
          <w:tcPr>
            <w:tcW w:w="4440" w:type="dxa"/>
            <w:vAlign w:val="bottom"/>
            <w:gridSpan w:val="3"/>
          </w:tcPr>
          <w:p>
            <w:pPr>
              <w:spacing w:after="0"/>
              <w:rPr>
                <w:sz w:val="20"/>
                <w:szCs w:val="20"/>
                <w:color w:val="auto"/>
              </w:rPr>
            </w:pPr>
            <w:r>
              <w:rPr>
                <w:rFonts w:ascii="Arial" w:cs="Arial" w:eastAsia="Arial" w:hAnsi="Arial"/>
                <w:sz w:val="20"/>
                <w:szCs w:val="20"/>
                <w:color w:val="auto"/>
              </w:rPr>
              <w:t>By: /s/ Scott L. Burrows</w:t>
            </w:r>
          </w:p>
        </w:tc>
        <w:tc>
          <w:tcPr>
            <w:tcW w:w="5600" w:type="dxa"/>
            <w:vAlign w:val="bottom"/>
            <w:gridSpan w:val="3"/>
          </w:tcPr>
          <w:p>
            <w:pPr>
              <w:ind w:left="2120"/>
              <w:spacing w:after="0"/>
              <w:rPr>
                <w:sz w:val="20"/>
                <w:szCs w:val="20"/>
                <w:color w:val="auto"/>
              </w:rPr>
            </w:pPr>
            <w:r>
              <w:rPr>
                <w:rFonts w:ascii="Arial" w:cs="Arial" w:eastAsia="Arial" w:hAnsi="Arial"/>
                <w:sz w:val="20"/>
                <w:szCs w:val="20"/>
                <w:color w:val="auto"/>
              </w:rPr>
              <w:t>By: /s/ Todd Franklin Watanabe</w:t>
            </w: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8"/>
        </w:trPr>
        <w:tc>
          <w:tcPr>
            <w:tcW w:w="4440" w:type="dxa"/>
            <w:vAlign w:val="bottom"/>
            <w:gridSpan w:val="3"/>
          </w:tcPr>
          <w:p>
            <w:pPr>
              <w:spacing w:after="0"/>
              <w:rPr>
                <w:sz w:val="20"/>
                <w:szCs w:val="20"/>
                <w:color w:val="auto"/>
              </w:rPr>
            </w:pPr>
            <w:r>
              <w:rPr>
                <w:rFonts w:ascii="Arial" w:cs="Arial" w:eastAsia="Arial" w:hAnsi="Arial"/>
                <w:sz w:val="20"/>
                <w:szCs w:val="20"/>
                <w:color w:val="auto"/>
              </w:rPr>
              <w:t>Name: Scott L. Burrows</w:t>
            </w:r>
          </w:p>
        </w:tc>
        <w:tc>
          <w:tcPr>
            <w:tcW w:w="5600" w:type="dxa"/>
            <w:vAlign w:val="bottom"/>
            <w:gridSpan w:val="3"/>
          </w:tcPr>
          <w:p>
            <w:pPr>
              <w:ind w:left="2120"/>
              <w:spacing w:after="0"/>
              <w:rPr>
                <w:sz w:val="20"/>
                <w:szCs w:val="20"/>
                <w:color w:val="auto"/>
              </w:rPr>
            </w:pPr>
            <w:r>
              <w:rPr>
                <w:rFonts w:ascii="Arial" w:cs="Arial" w:eastAsia="Arial" w:hAnsi="Arial"/>
                <w:sz w:val="20"/>
                <w:szCs w:val="20"/>
                <w:color w:val="auto"/>
              </w:rPr>
              <w:t>Name: Todd Franklin Watanabe</w:t>
            </w:r>
          </w:p>
        </w:tc>
      </w:tr>
      <w:tr>
        <w:trPr>
          <w:trHeight w:val="283"/>
        </w:trPr>
        <w:tc>
          <w:tcPr>
            <w:tcW w:w="4440" w:type="dxa"/>
            <w:vAlign w:val="bottom"/>
            <w:gridSpan w:val="3"/>
          </w:tcPr>
          <w:p>
            <w:pPr>
              <w:spacing w:after="0"/>
              <w:rPr>
                <w:sz w:val="20"/>
                <w:szCs w:val="20"/>
                <w:color w:val="auto"/>
              </w:rPr>
            </w:pPr>
            <w:r>
              <w:rPr>
                <w:rFonts w:ascii="Arial" w:cs="Arial" w:eastAsia="Arial" w:hAnsi="Arial"/>
                <w:sz w:val="20"/>
                <w:szCs w:val="20"/>
                <w:color w:val="auto"/>
              </w:rPr>
              <w:t>Title: Chief Financial Officer</w:t>
            </w:r>
          </w:p>
        </w:tc>
        <w:tc>
          <w:tcPr>
            <w:tcW w:w="5600" w:type="dxa"/>
            <w:vAlign w:val="bottom"/>
            <w:gridSpan w:val="3"/>
          </w:tcPr>
          <w:p>
            <w:pPr>
              <w:ind w:left="2120"/>
              <w:spacing w:after="0"/>
              <w:rPr>
                <w:sz w:val="20"/>
                <w:szCs w:val="20"/>
                <w:color w:val="auto"/>
              </w:rPr>
            </w:pPr>
            <w:r>
              <w:rPr>
                <w:rFonts w:ascii="Arial" w:cs="Arial" w:eastAsia="Arial" w:hAnsi="Arial"/>
                <w:sz w:val="20"/>
                <w:szCs w:val="20"/>
                <w:color w:val="auto"/>
                <w:w w:val="90"/>
              </w:rPr>
              <w:t>Title: President and Chief Executive Officer</w:t>
            </w:r>
          </w:p>
        </w:tc>
      </w:tr>
      <w:tr>
        <w:trPr>
          <w:trHeight w:val="283"/>
        </w:trPr>
        <w:tc>
          <w:tcPr>
            <w:tcW w:w="4440" w:type="dxa"/>
            <w:vAlign w:val="bottom"/>
            <w:gridSpan w:val="3"/>
          </w:tcPr>
          <w:p>
            <w:pPr>
              <w:spacing w:after="0"/>
              <w:rPr>
                <w:sz w:val="20"/>
                <w:szCs w:val="20"/>
                <w:color w:val="auto"/>
              </w:rPr>
            </w:pPr>
            <w:r>
              <w:rPr>
                <w:rFonts w:ascii="Arial" w:cs="Arial" w:eastAsia="Arial" w:hAnsi="Arial"/>
                <w:sz w:val="20"/>
                <w:szCs w:val="20"/>
                <w:color w:val="auto"/>
              </w:rPr>
              <w:t>Date: April 11, 2021</w:t>
            </w:r>
          </w:p>
        </w:tc>
        <w:tc>
          <w:tcPr>
            <w:tcW w:w="5600" w:type="dxa"/>
            <w:vAlign w:val="bottom"/>
            <w:gridSpan w:val="3"/>
          </w:tcPr>
          <w:p>
            <w:pPr>
              <w:ind w:left="2120"/>
              <w:spacing w:after="0"/>
              <w:rPr>
                <w:sz w:val="20"/>
                <w:szCs w:val="20"/>
                <w:color w:val="auto"/>
              </w:rPr>
            </w:pPr>
            <w:r>
              <w:rPr>
                <w:rFonts w:ascii="Arial" w:cs="Arial" w:eastAsia="Arial" w:hAnsi="Arial"/>
                <w:sz w:val="20"/>
                <w:szCs w:val="20"/>
                <w:color w:val="auto"/>
              </w:rPr>
              <w:t>Date: April 10,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IGNATURE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AGE TO THE</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EVERANCE</w:t>
      </w:r>
      <w:r>
        <w:rPr>
          <w:rFonts w:ascii="Arial" w:cs="Arial" w:eastAsia="Arial" w:hAnsi="Arial"/>
          <w:sz w:val="20"/>
          <w:szCs w:val="20"/>
          <w:b w:val="1"/>
          <w:bCs w:val="1"/>
          <w:color w:val="auto"/>
        </w:rPr>
        <w:t xml:space="preserve"> &amp; C</w:t>
      </w:r>
      <w:r>
        <w:rPr>
          <w:rFonts w:ascii="Arial" w:cs="Arial" w:eastAsia="Arial" w:hAnsi="Arial"/>
          <w:sz w:val="16"/>
          <w:szCs w:val="16"/>
          <w:b w:val="1"/>
          <w:bCs w:val="1"/>
          <w:color w:val="auto"/>
        </w:rPr>
        <w:t>HANGE IN</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ONTROL</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r>
        <w:rPr>
          <w:rFonts w:ascii="Arial" w:cs="Arial" w:eastAsia="Arial" w:hAnsi="Arial"/>
          <w:sz w:val="20"/>
          <w:szCs w:val="20"/>
          <w:b w:val="1"/>
          <w:bCs w:val="1"/>
          <w:color w:val="auto"/>
        </w:rPr>
        <w:t>]</w:t>
      </w:r>
    </w:p>
    <w:p>
      <w:pPr>
        <w:sectPr>
          <w:pgSz w:w="11900" w:h="16838" w:orient="portrait"/>
          <w:cols w:equalWidth="0" w:num="1">
            <w:col w:w="11080"/>
          </w:cols>
          <w:pgMar w:left="340" w:top="1413" w:right="479" w:bottom="1440" w:gutter="0" w:footer="0" w:header="0"/>
        </w:sectPr>
      </w:pPr>
    </w:p>
    <w:bookmarkStart w:id="115" w:name="page116"/>
    <w:bookmarkEnd w:id="115"/>
    <w:p>
      <w:pPr>
        <w:ind w:left="10120"/>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ARCUTIS BIOTHERAPEUTICS, INC.</w:t>
      </w:r>
    </w:p>
    <w:p>
      <w:pPr>
        <w:spacing w:after="0" w:line="98"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$100,000,000 SHARES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 VALUE $0.0001 PER SHARE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SALES AGREEMENT</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May 6,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Cowen and Company,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599 Lexington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Arcutis Biotherapeutics, Inc., a Delaware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confirms its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with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Cowen and Company, LLC (“</w:t>
      </w:r>
      <w:r>
        <w:rPr>
          <w:rFonts w:ascii="Arial" w:cs="Arial" w:eastAsia="Arial" w:hAnsi="Arial"/>
          <w:sz w:val="22"/>
          <w:szCs w:val="22"/>
          <w:b w:val="1"/>
          <w:bCs w:val="1"/>
          <w:u w:val="single" w:color="auto"/>
          <w:color w:val="auto"/>
        </w:rPr>
        <w:t>Cowen</w:t>
      </w:r>
      <w:r>
        <w:rPr>
          <w:rFonts w:ascii="Arial" w:cs="Arial" w:eastAsia="Arial" w:hAnsi="Arial"/>
          <w:sz w:val="22"/>
          <w:szCs w:val="22"/>
          <w:color w:val="auto"/>
        </w:rPr>
        <w:t>”), as follows:</w:t>
      </w:r>
    </w:p>
    <w:p>
      <w:pPr>
        <w:spacing w:after="0" w:line="202" w:lineRule="exact"/>
        <w:rPr>
          <w:sz w:val="20"/>
          <w:szCs w:val="20"/>
          <w:color w:val="auto"/>
        </w:rPr>
      </w:pPr>
    </w:p>
    <w:p>
      <w:pPr>
        <w:jc w:val="both"/>
        <w:ind w:firstLine="656"/>
        <w:spacing w:after="0" w:line="287" w:lineRule="auto"/>
        <w:tabs>
          <w:tab w:leader="none" w:pos="1309"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Issuance and Sale of Shares</w:t>
      </w:r>
      <w:r>
        <w:rPr>
          <w:rFonts w:ascii="Arial" w:cs="Arial" w:eastAsia="Arial" w:hAnsi="Arial"/>
          <w:sz w:val="19"/>
          <w:szCs w:val="19"/>
          <w:color w:val="auto"/>
        </w:rPr>
        <w:t>. The Company agrees that, from time to time during the term of this Agreement, on the terms and subject to the conditions set forth herein, it may issue and sell to or through Cowen, acting as agent and/or principal, shares (the “</w:t>
      </w:r>
      <w:r>
        <w:rPr>
          <w:rFonts w:ascii="Arial" w:cs="Arial" w:eastAsia="Arial" w:hAnsi="Arial"/>
          <w:sz w:val="19"/>
          <w:szCs w:val="19"/>
          <w:b w:val="1"/>
          <w:bCs w:val="1"/>
          <w:u w:val="single" w:color="auto"/>
          <w:color w:val="auto"/>
        </w:rPr>
        <w:t>Placement Shares</w:t>
      </w:r>
      <w:r>
        <w:rPr>
          <w:rFonts w:ascii="Arial" w:cs="Arial" w:eastAsia="Arial" w:hAnsi="Arial"/>
          <w:sz w:val="19"/>
          <w:szCs w:val="19"/>
          <w:color w:val="auto"/>
        </w:rPr>
        <w:t>”) of the Company’s common stock, par value $0.0001 per share (the “</w:t>
      </w:r>
      <w:r>
        <w:rPr>
          <w:rFonts w:ascii="Arial" w:cs="Arial" w:eastAsia="Arial" w:hAnsi="Arial"/>
          <w:sz w:val="19"/>
          <w:szCs w:val="19"/>
          <w:b w:val="1"/>
          <w:bCs w:val="1"/>
          <w:u w:val="single" w:color="auto"/>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Stock</w:t>
      </w:r>
      <w:r>
        <w:rPr>
          <w:rFonts w:ascii="Arial" w:cs="Arial" w:eastAsia="Arial" w:hAnsi="Arial"/>
          <w:sz w:val="19"/>
          <w:szCs w:val="19"/>
          <w:color w:val="auto"/>
        </w:rPr>
        <w:t>”), having an aggregate offering price of up to $100,000,000. Notwithstanding anything to the contrary contained herein,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parties hereto agree that compliance with the limitation set forth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which automatically became effective under Rule 462(e) of the Securities Act (as defined below) upon filing with the Securities and Exchange Commission (the “</w:t>
      </w:r>
      <w:r>
        <w:rPr>
          <w:rFonts w:ascii="Arial" w:cs="Arial" w:eastAsia="Arial" w:hAnsi="Arial"/>
          <w:sz w:val="19"/>
          <w:szCs w:val="19"/>
          <w:b w:val="1"/>
          <w:bCs w:val="1"/>
          <w:u w:val="single" w:color="auto"/>
          <w:color w:val="auto"/>
        </w:rPr>
        <w:t>Commission</w:t>
      </w:r>
      <w:r>
        <w:rPr>
          <w:rFonts w:ascii="Arial" w:cs="Arial" w:eastAsia="Arial" w:hAnsi="Arial"/>
          <w:sz w:val="19"/>
          <w:szCs w:val="19"/>
          <w:color w:val="auto"/>
        </w:rPr>
        <w:t>”), although nothing in this Agreement shall be construed as requiring the Company to use the Registration Statement (as defined below) to issue the Common Stock. The Registration Statement is an “automatic shelf registration statement” (as defined in Rule 405) and the Placement Shares (as defined below) have been and remain eligible for registration by the Company on such automatic shelf registration statement.</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has filed, in accordance with the provisions of the Securities Act of 1933, as amended, and the rules and regulations thereunder (collectively, the “</w:t>
      </w:r>
      <w:r>
        <w:rPr>
          <w:rFonts w:ascii="Arial" w:cs="Arial" w:eastAsia="Arial" w:hAnsi="Arial"/>
          <w:sz w:val="19"/>
          <w:szCs w:val="19"/>
          <w:b w:val="1"/>
          <w:bCs w:val="1"/>
          <w:u w:val="single" w:color="auto"/>
          <w:color w:val="auto"/>
        </w:rPr>
        <w:t>Securities Act</w:t>
      </w:r>
      <w:r>
        <w:rPr>
          <w:rFonts w:ascii="Arial" w:cs="Arial" w:eastAsia="Arial" w:hAnsi="Arial"/>
          <w:sz w:val="19"/>
          <w:szCs w:val="19"/>
          <w:color w:val="auto"/>
        </w:rPr>
        <w:t>”), with the Commission an automatic shelf registration statement on Form S-3 (File No. 333-252612),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The Company has prepared a prospectus supplement specifically relating to the Placement</w:t>
      </w:r>
    </w:p>
    <w:p>
      <w:pPr>
        <w:sectPr>
          <w:pgSz w:w="11900" w:h="16838" w:orient="portrait"/>
          <w:cols w:equalWidth="0" w:num="1">
            <w:col w:w="11240"/>
          </w:cols>
          <w:pgMar w:left="320" w:top="126" w:right="339" w:bottom="1440" w:gutter="0" w:footer="0" w:header="0"/>
        </w:sectPr>
      </w:pPr>
    </w:p>
    <w:bookmarkStart w:id="116" w:name="page117"/>
    <w:bookmarkEnd w:id="116"/>
    <w:p>
      <w:pPr>
        <w:jc w:val="both"/>
        <w:spacing w:after="0" w:line="284" w:lineRule="auto"/>
        <w:rPr>
          <w:sz w:val="20"/>
          <w:szCs w:val="20"/>
          <w:color w:val="auto"/>
        </w:rPr>
      </w:pPr>
      <w:r>
        <w:rPr>
          <w:rFonts w:ascii="Arial" w:cs="Arial" w:eastAsia="Arial" w:hAnsi="Arial"/>
          <w:sz w:val="19"/>
          <w:szCs w:val="19"/>
          <w:color w:val="auto"/>
        </w:rPr>
        <w:t>Shares (the “</w:t>
      </w:r>
      <w:r>
        <w:rPr>
          <w:rFonts w:ascii="Arial" w:cs="Arial" w:eastAsia="Arial" w:hAnsi="Arial"/>
          <w:sz w:val="19"/>
          <w:szCs w:val="19"/>
          <w:b w:val="1"/>
          <w:bCs w:val="1"/>
          <w:u w:val="single" w:color="auto"/>
          <w:color w:val="auto"/>
        </w:rPr>
        <w:t>Prospectus Supplement</w:t>
      </w:r>
      <w:r>
        <w:rPr>
          <w:rFonts w:ascii="Arial" w:cs="Arial" w:eastAsia="Arial" w:hAnsi="Arial"/>
          <w:sz w:val="19"/>
          <w:szCs w:val="19"/>
          <w:color w:val="auto"/>
        </w:rPr>
        <w:t>”) to the base prospectus included as part of such registration statement. The Company has furnished to Cowen, for use by Cowen,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Arial" w:cs="Arial" w:eastAsia="Arial" w:hAnsi="Arial"/>
          <w:sz w:val="19"/>
          <w:szCs w:val="19"/>
          <w:b w:val="1"/>
          <w:bCs w:val="1"/>
          <w:u w:val="single" w:color="auto"/>
          <w:color w:val="auto"/>
        </w:rPr>
        <w:t>Registration Statement.</w:t>
      </w:r>
      <w:r>
        <w:rPr>
          <w:rFonts w:ascii="Arial" w:cs="Arial" w:eastAsia="Arial" w:hAnsi="Arial"/>
          <w:sz w:val="19"/>
          <w:szCs w:val="19"/>
          <w:color w:val="auto"/>
        </w:rPr>
        <w:t>” The base prospectus, including all documents incorporated therein by reference, included in the Registration Statement, as it may be supplemented by the Prospectus Supplement or any additional prospectus supplement, in the form in which such prospectus and/or Prospectus Supplement have most recently been filed by the Company with the Commission pursuant to Rule 424(b) under the Securities Act, together with any “issuer free writing prospectus,” as defined in Rule 433 under the Securities Act (“</w:t>
      </w:r>
      <w:r>
        <w:rPr>
          <w:rFonts w:ascii="Arial" w:cs="Arial" w:eastAsia="Arial" w:hAnsi="Arial"/>
          <w:sz w:val="19"/>
          <w:szCs w:val="19"/>
          <w:b w:val="1"/>
          <w:bCs w:val="1"/>
          <w:u w:val="single" w:color="auto"/>
          <w:color w:val="auto"/>
        </w:rPr>
        <w:t>Rule 433</w:t>
      </w:r>
      <w:r>
        <w:rPr>
          <w:rFonts w:ascii="Arial" w:cs="Arial" w:eastAsia="Arial" w:hAnsi="Arial"/>
          <w:sz w:val="19"/>
          <w:szCs w:val="19"/>
          <w:color w:val="auto"/>
        </w:rPr>
        <w:t>”), relating to the Placement Shares that (i) is consented to by Cowen, hereinafter referred to as a “</w:t>
      </w:r>
      <w:r>
        <w:rPr>
          <w:rFonts w:ascii="Arial" w:cs="Arial" w:eastAsia="Arial" w:hAnsi="Arial"/>
          <w:sz w:val="19"/>
          <w:szCs w:val="19"/>
          <w:b w:val="1"/>
          <w:bCs w:val="1"/>
          <w:u w:val="single" w:color="auto"/>
          <w:color w:val="auto"/>
        </w:rPr>
        <w:t>Permitted Free Writing Prospectus</w:t>
      </w:r>
      <w:r>
        <w:rPr>
          <w:rFonts w:ascii="Arial" w:cs="Arial" w:eastAsia="Arial" w:hAnsi="Arial"/>
          <w:sz w:val="19"/>
          <w:szCs w:val="19"/>
          <w:b w:val="1"/>
          <w:bCs w:val="1"/>
          <w:color w:val="auto"/>
        </w:rPr>
        <w:t>,</w:t>
      </w:r>
      <w:r>
        <w:rPr>
          <w:rFonts w:ascii="Arial" w:cs="Arial" w:eastAsia="Arial" w:hAnsi="Arial"/>
          <w:sz w:val="19"/>
          <w:szCs w:val="19"/>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9"/>
          <w:szCs w:val="19"/>
          <w:b w:val="1"/>
          <w:bCs w:val="1"/>
          <w:u w:val="single" w:color="auto"/>
          <w:color w:val="auto"/>
        </w:rPr>
        <w:t>Prospectus</w:t>
      </w:r>
      <w:r>
        <w:rPr>
          <w:rFonts w:ascii="Arial" w:cs="Arial" w:eastAsia="Arial" w:hAnsi="Arial"/>
          <w:sz w:val="19"/>
          <w:szCs w:val="19"/>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19"/>
          <w:szCs w:val="19"/>
          <w:b w:val="1"/>
          <w:bCs w:val="1"/>
          <w:u w:val="single" w:color="auto"/>
          <w:color w:val="auto"/>
        </w:rPr>
        <w:t>EDGAR</w:t>
      </w:r>
      <w:r>
        <w:rPr>
          <w:rFonts w:ascii="Arial" w:cs="Arial" w:eastAsia="Arial" w:hAnsi="Arial"/>
          <w:sz w:val="19"/>
          <w:szCs w:val="19"/>
          <w:color w:val="auto"/>
        </w:rPr>
        <w:t>”).</w:t>
      </w:r>
    </w:p>
    <w:p>
      <w:pPr>
        <w:spacing w:after="0" w:line="200" w:lineRule="exact"/>
        <w:rPr>
          <w:sz w:val="20"/>
          <w:szCs w:val="20"/>
          <w:color w:val="auto"/>
        </w:rPr>
      </w:pPr>
    </w:p>
    <w:p>
      <w:pPr>
        <w:spacing w:after="0" w:line="234" w:lineRule="exact"/>
        <w:rPr>
          <w:sz w:val="20"/>
          <w:szCs w:val="20"/>
          <w:color w:val="auto"/>
        </w:rPr>
      </w:pPr>
    </w:p>
    <w:p>
      <w:pPr>
        <w:jc w:val="both"/>
        <w:ind w:firstLine="656"/>
        <w:spacing w:after="0" w:line="287" w:lineRule="auto"/>
        <w:tabs>
          <w:tab w:leader="none" w:pos="137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Placements</w:t>
      </w:r>
      <w:r>
        <w:rPr>
          <w:rFonts w:ascii="Arial" w:cs="Arial" w:eastAsia="Arial" w:hAnsi="Arial"/>
          <w:sz w:val="19"/>
          <w:szCs w:val="19"/>
          <w:color w:val="auto"/>
        </w:rPr>
        <w:t>. Each time that the Company wishes to issue and sell the Placement Shares hereunder (each, a “</w:t>
      </w:r>
      <w:r>
        <w:rPr>
          <w:rFonts w:ascii="Arial" w:cs="Arial" w:eastAsia="Arial" w:hAnsi="Arial"/>
          <w:sz w:val="19"/>
          <w:szCs w:val="19"/>
          <w:b w:val="1"/>
          <w:bCs w:val="1"/>
          <w:u w:val="single" w:color="auto"/>
          <w:color w:val="auto"/>
        </w:rPr>
        <w:t>Placement</w:t>
      </w:r>
      <w:r>
        <w:rPr>
          <w:rFonts w:ascii="Arial" w:cs="Arial" w:eastAsia="Arial" w:hAnsi="Arial"/>
          <w:sz w:val="19"/>
          <w:szCs w:val="19"/>
          <w:color w:val="auto"/>
        </w:rPr>
        <w:t>”), it will notify Cowen by email notice (or other method mutually agreed to in writing by the parties) (a “</w:t>
      </w:r>
      <w:r>
        <w:rPr>
          <w:rFonts w:ascii="Arial" w:cs="Arial" w:eastAsia="Arial" w:hAnsi="Arial"/>
          <w:sz w:val="19"/>
          <w:szCs w:val="19"/>
          <w:b w:val="1"/>
          <w:bCs w:val="1"/>
          <w:u w:val="single" w:color="auto"/>
          <w:color w:val="auto"/>
        </w:rPr>
        <w:t>Placement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containing the parameters in accordance with which it desires the Placement Shares to be sold, which shall at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minimum include the number of shares of Placement Shares to be issued, the time period during which sales are requested to be made, any limitation on the number of Placement Shares that may be sold in any one Trading Day (as defined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and any minimum price below which sales may not be made, a form of which containing such minimum sales parameters necessary is attached hereto as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The Placement Notice shall originate from any of the individuals from the Company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b w:val="1"/>
          <w:bCs w:val="1"/>
          <w:color w:val="auto"/>
        </w:rPr>
        <w:t xml:space="preserve"> </w:t>
      </w:r>
      <w:r>
        <w:rPr>
          <w:rFonts w:ascii="Arial" w:cs="Arial" w:eastAsia="Arial" w:hAnsi="Arial"/>
          <w:sz w:val="19"/>
          <w:szCs w:val="19"/>
          <w:color w:val="auto"/>
        </w:rPr>
        <w:t>(with a copy to each of the other individuals from the Company listed on such schedule), and shall be addressed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each of the individuals from Cowen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as such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may be amended from time to time in accordance herewith. The Placement Notice shall be effective upon receipt by Cowen unless and until (i) in accordance with the notice requirements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Cowen declines to accept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88" w:lineRule="auto"/>
        <w:rPr>
          <w:sz w:val="20"/>
          <w:szCs w:val="20"/>
          <w:color w:val="auto"/>
        </w:rPr>
      </w:pPr>
      <w:r>
        <w:rPr>
          <w:rFonts w:ascii="Arial" w:cs="Arial" w:eastAsia="Arial" w:hAnsi="Arial"/>
          <w:sz w:val="19"/>
          <w:szCs w:val="19"/>
          <w:color w:val="auto"/>
        </w:rPr>
        <w:t xml:space="preserve">terms contained therein for any reason, in its sole discretion, (ii) the entire amount of the Placement Shares have been sold, (iii) in accordance with the notice requirements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the Company suspends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The amount of any discount, commission or other compensation to be paid by the Company to Cowen in connection with the sale of the Placement Shares shall be calculated in accordance with the terms set forth in </w:t>
      </w:r>
      <w:r>
        <w:rPr>
          <w:rFonts w:ascii="Arial" w:cs="Arial" w:eastAsia="Arial" w:hAnsi="Arial"/>
          <w:sz w:val="19"/>
          <w:szCs w:val="19"/>
          <w:b w:val="1"/>
          <w:bCs w:val="1"/>
          <w:u w:val="single" w:color="auto"/>
          <w:color w:val="auto"/>
        </w:rPr>
        <w:t>Schedule 3</w:t>
      </w:r>
      <w:r>
        <w:rPr>
          <w:rFonts w:ascii="Arial" w:cs="Arial" w:eastAsia="Arial" w:hAnsi="Arial"/>
          <w:sz w:val="19"/>
          <w:szCs w:val="19"/>
          <w:b w:val="1"/>
          <w:bCs w:val="1"/>
          <w:color w:val="auto"/>
        </w:rPr>
        <w:t>.</w:t>
      </w:r>
      <w:r>
        <w:rPr>
          <w:rFonts w:ascii="Arial" w:cs="Arial" w:eastAsia="Arial" w:hAnsi="Arial"/>
          <w:sz w:val="19"/>
          <w:szCs w:val="19"/>
          <w:color w:val="auto"/>
        </w:rPr>
        <w:t xml:space="preserve">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59" w:lineRule="exact"/>
        <w:rPr>
          <w:sz w:val="20"/>
          <w:szCs w:val="20"/>
          <w:color w:val="auto"/>
        </w:rPr>
      </w:pPr>
    </w:p>
    <w:p>
      <w:pPr>
        <w:jc w:val="both"/>
        <w:ind w:firstLine="656"/>
        <w:spacing w:after="0" w:line="284" w:lineRule="auto"/>
        <w:tabs>
          <w:tab w:leader="none" w:pos="133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Sale of Placement Shares by Cowen.</w:t>
      </w:r>
      <w:r>
        <w:rPr>
          <w:rFonts w:ascii="Arial" w:cs="Arial" w:eastAsia="Arial" w:hAnsi="Arial"/>
          <w:sz w:val="19"/>
          <w:szCs w:val="19"/>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Arial" w:cs="Arial" w:eastAsia="Arial" w:hAnsi="Arial"/>
          <w:sz w:val="19"/>
          <w:szCs w:val="19"/>
          <w:b w:val="1"/>
          <w:bCs w:val="1"/>
          <w:u w:val="single" w:color="auto"/>
          <w:color w:val="auto"/>
        </w:rPr>
        <w:t>Nasdaq</w:t>
      </w:r>
      <w:r>
        <w:rPr>
          <w:rFonts w:ascii="Arial" w:cs="Arial" w:eastAsia="Arial" w:hAnsi="Arial"/>
          <w:sz w:val="19"/>
          <w:szCs w:val="19"/>
          <w:color w:val="auto"/>
        </w:rPr>
        <w:t xml:space="preserve">”) to sell such Placement Shares up to the amount specified in such Placement Notice, and otherwise in accordance with the terms of such Placement Notice. Cowen will provide written confirmation to the Company (including by email correspondence to each of the individuals of the Company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Cowen for a sale of Placement Shares that would constitute a “block” within the meaning of Rule 10b-18(a)(5) under the Exchange Act (a “</w:t>
      </w:r>
      <w:r>
        <w:rPr>
          <w:rFonts w:ascii="Arial" w:cs="Arial" w:eastAsia="Arial" w:hAnsi="Arial"/>
          <w:sz w:val="19"/>
          <w:szCs w:val="19"/>
          <w:b w:val="1"/>
          <w:bCs w:val="1"/>
          <w:u w:val="single" w:color="auto"/>
          <w:color w:val="auto"/>
        </w:rPr>
        <w:t>Block Sale</w:t>
      </w:r>
      <w:r>
        <w:rPr>
          <w:rFonts w:ascii="Arial" w:cs="Arial" w:eastAsia="Arial" w:hAnsi="Arial"/>
          <w:sz w:val="19"/>
          <w:szCs w:val="19"/>
          <w:color w:val="auto"/>
        </w:rPr>
        <w:t xml:space="preserve">”), the Company will provide Cowen, at Cowen’s request and upon reasonable advance notice to the Company, on or prior to the Settlement Date (as defined below), the opinions of counsel, accountant’s letter and officers’ certificates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 each dated the Settlement Date, and such other documents and information as Cowen shall reasonably request. Cowen may sell Placement Shares by any method permitted by law deemed to be an “at the market offering” as defined in Rule 415(a)(4) of the Securities Act, including without limitation sales made through Nasdaq or on any other existing trading market for the Common Stock. Cowen may sell Placement Shares in negotiated transactions only if expressly authorized by the Company in a Placement Notice.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 (ii) 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18" w:name="page119"/>
    <w:bookmarkEnd w:id="118"/>
    <w:p>
      <w:pPr>
        <w:jc w:val="both"/>
        <w:spacing w:after="0" w:line="349" w:lineRule="auto"/>
        <w:rPr>
          <w:sz w:val="20"/>
          <w:szCs w:val="20"/>
          <w:color w:val="auto"/>
        </w:rPr>
      </w:pPr>
      <w:r>
        <w:rPr>
          <w:rFonts w:ascii="Arial" w:cs="Arial" w:eastAsia="Arial" w:hAnsi="Arial"/>
          <w:sz w:val="19"/>
          <w:szCs w:val="19"/>
          <w:color w:val="auto"/>
        </w:rPr>
        <w:t xml:space="preserve">Placement Shares as required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For the purposes hereof, “</w:t>
      </w:r>
      <w:r>
        <w:rPr>
          <w:rFonts w:ascii="Arial" w:cs="Arial" w:eastAsia="Arial" w:hAnsi="Arial"/>
          <w:sz w:val="19"/>
          <w:szCs w:val="19"/>
          <w:b w:val="1"/>
          <w:bCs w:val="1"/>
          <w:u w:val="single" w:color="auto"/>
          <w:color w:val="auto"/>
        </w:rPr>
        <w:t>Trading Day</w:t>
      </w:r>
      <w:r>
        <w:rPr>
          <w:rFonts w:ascii="Arial" w:cs="Arial" w:eastAsia="Arial" w:hAnsi="Arial"/>
          <w:sz w:val="19"/>
          <w:szCs w:val="19"/>
          <w:color w:val="auto"/>
        </w:rPr>
        <w:t>” means any day on which the Company’s Common Stock is purchased and sold on the principal market on which the Common Stock is listed or quoted.</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Notwithstanding any other provision of this Agreement, the Company shall not offer, sell or deliver, or request the offer or sale, of any Placement Shares pursuant to this Agreement and, by notice to Cowen given by telephone (confirmed promptly by email), shall cancel any instructions for the offer or sale of any Placement Shares, and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Arial" w:cs="Arial" w:eastAsia="Arial" w:hAnsi="Arial"/>
          <w:sz w:val="21"/>
          <w:szCs w:val="21"/>
          <w:b w:val="1"/>
          <w:bCs w:val="1"/>
          <w:u w:val="single" w:color="auto"/>
          <w:color w:val="auto"/>
        </w:rPr>
        <w:t>Earnings Announcement</w:t>
      </w:r>
      <w:r>
        <w:rPr>
          <w:rFonts w:ascii="Arial" w:cs="Arial" w:eastAsia="Arial" w:hAnsi="Arial"/>
          <w:sz w:val="21"/>
          <w:szCs w:val="21"/>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79"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Suspension of Sales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8" w:lineRule="auto"/>
        <w:tabs>
          <w:tab w:leader="none" w:pos="1137" w:val="left"/>
        </w:tabs>
        <w:numPr>
          <w:ilvl w:val="2"/>
          <w:numId w:val="79"/>
        </w:numPr>
        <w:rPr>
          <w:rFonts w:ascii="Arial" w:cs="Arial" w:eastAsia="Arial" w:hAnsi="Arial"/>
          <w:sz w:val="21"/>
          <w:szCs w:val="21"/>
          <w:color w:val="auto"/>
        </w:rPr>
      </w:pPr>
      <w:r>
        <w:rPr>
          <w:rFonts w:ascii="Arial" w:cs="Arial" w:eastAsia="Arial" w:hAnsi="Arial"/>
          <w:sz w:val="21"/>
          <w:szCs w:val="21"/>
          <w:color w:val="auto"/>
        </w:rPr>
        <w:t xml:space="preserve">The Company or Cowen may, upon notice to the other party in writing (including by email correspondence to each of the individuals of the other party set forth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xml:space="preserve">), suspend any sale of Placement Shares;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such suspension shall not affect or impair either party’s obligations with respect to any Placement Shares sold hereunder prior to the receipt of such notice. While a suspension is in effect any obligation under Sections 7(m), 7(n), and 7(o) with respect to the delivery of certificates, opinions, or comfort letters to Cowen, shall be waived, provided, however, that the Company shall deliver such certificates, opinions and comfort letters if such suspension is revoked prior to the next occurring Bring-Down Date. Each of the parties agrees that no such notice under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shall be effective against the other unless it is made to one of the individuals named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xml:space="preserve"> hereto, as such schedule may be amended from time to time.</w:t>
      </w:r>
    </w:p>
    <w:p>
      <w:pPr>
        <w:spacing w:after="0" w:line="181" w:lineRule="exact"/>
        <w:rPr>
          <w:rFonts w:ascii="Arial" w:cs="Arial" w:eastAsia="Arial" w:hAnsi="Arial"/>
          <w:sz w:val="21"/>
          <w:szCs w:val="21"/>
          <w:color w:val="auto"/>
        </w:rPr>
      </w:pPr>
    </w:p>
    <w:p>
      <w:pPr>
        <w:jc w:val="both"/>
        <w:ind w:right="20" w:firstLine="330"/>
        <w:spacing w:after="0" w:line="271" w:lineRule="auto"/>
        <w:tabs>
          <w:tab w:leader="none" w:pos="896" w:val="left"/>
        </w:tabs>
        <w:numPr>
          <w:ilvl w:val="1"/>
          <w:numId w:val="80"/>
        </w:numPr>
        <w:rPr>
          <w:rFonts w:ascii="Arial" w:cs="Arial" w:eastAsia="Arial" w:hAnsi="Arial"/>
          <w:sz w:val="21"/>
          <w:szCs w:val="21"/>
          <w:color w:val="auto"/>
        </w:rPr>
      </w:pPr>
      <w:r>
        <w:rPr>
          <w:rFonts w:ascii="Arial" w:cs="Arial" w:eastAsia="Arial" w:hAnsi="Arial"/>
          <w:sz w:val="21"/>
          <w:szCs w:val="21"/>
          <w:color w:val="auto"/>
        </w:rPr>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Placement Shares under this Agreement.</w:t>
      </w:r>
    </w:p>
    <w:p>
      <w:pPr>
        <w:spacing w:after="0" w:line="194" w:lineRule="exact"/>
        <w:rPr>
          <w:rFonts w:ascii="Arial" w:cs="Arial" w:eastAsia="Arial" w:hAnsi="Arial"/>
          <w:sz w:val="21"/>
          <w:szCs w:val="21"/>
          <w:color w:val="auto"/>
        </w:rPr>
      </w:pPr>
    </w:p>
    <w:p>
      <w:pPr>
        <w:jc w:val="both"/>
        <w:ind w:firstLine="231"/>
        <w:spacing w:after="0" w:line="250" w:lineRule="auto"/>
        <w:tabs>
          <w:tab w:leader="none" w:pos="683"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Registration Statement became effective on February 1, 2021 upon filing with the Commission. Notwithstanding any other provision of this Agreement, during any period in which the Registration Statement is no longer effective under the Securities Act, the Company shall promptly notify Cowen, the Company shall not request the sale of any Placement Shares, and Cowen shall not be obligated to sell or offer to sell any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119" w:name="page120"/>
    <w:bookmarkEnd w:id="119"/>
    <w:p>
      <w:pPr>
        <w:ind w:left="1300" w:hanging="644"/>
        <w:spacing w:after="0"/>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Settlement.</w:t>
      </w:r>
    </w:p>
    <w:p>
      <w:pPr>
        <w:spacing w:after="0" w:line="220" w:lineRule="exact"/>
        <w:rPr>
          <w:sz w:val="20"/>
          <w:szCs w:val="20"/>
          <w:color w:val="auto"/>
        </w:rPr>
      </w:pPr>
    </w:p>
    <w:p>
      <w:pPr>
        <w:jc w:val="both"/>
        <w:ind w:firstLine="656"/>
        <w:spacing w:after="0" w:line="250" w:lineRule="auto"/>
        <w:tabs>
          <w:tab w:leader="none" w:pos="1549"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Settlement of Placement Shares</w:t>
      </w:r>
      <w:r>
        <w:rPr>
          <w:rFonts w:ascii="Arial" w:cs="Arial" w:eastAsia="Arial" w:hAnsi="Arial"/>
          <w:sz w:val="21"/>
          <w:szCs w:val="21"/>
          <w:color w:val="auto"/>
        </w:rPr>
        <w:t>. Unless otherwise specified in the applicable Placement Notice, settlement for sales of Placement Shares will occur on the second (2</w:t>
      </w:r>
      <w:r>
        <w:rPr>
          <w:rFonts w:ascii="Arial" w:cs="Arial" w:eastAsia="Arial" w:hAnsi="Arial"/>
          <w:sz w:val="27"/>
          <w:szCs w:val="27"/>
          <w:color w:val="auto"/>
          <w:vertAlign w:val="superscript"/>
        </w:rPr>
        <w:t>nd</w:t>
      </w:r>
      <w:r>
        <w:rPr>
          <w:rFonts w:ascii="Arial" w:cs="Arial" w:eastAsia="Arial" w:hAnsi="Arial"/>
          <w:sz w:val="21"/>
          <w:szCs w:val="21"/>
          <w:color w:val="auto"/>
        </w:rPr>
        <w:t>) Trading Day (or such earlier day as is industry practice for regular-way trading) following the date on which such sales are made (each, a “</w:t>
      </w:r>
      <w:r>
        <w:rPr>
          <w:rFonts w:ascii="Arial" w:cs="Arial" w:eastAsia="Arial" w:hAnsi="Arial"/>
          <w:sz w:val="21"/>
          <w:szCs w:val="21"/>
          <w:b w:val="1"/>
          <w:bCs w:val="1"/>
          <w:u w:val="single" w:color="auto"/>
          <w:color w:val="auto"/>
        </w:rPr>
        <w:t>Settlement Date</w:t>
      </w:r>
      <w:r>
        <w:rPr>
          <w:rFonts w:ascii="Arial" w:cs="Arial" w:eastAsia="Arial" w:hAnsi="Arial"/>
          <w:sz w:val="21"/>
          <w:szCs w:val="21"/>
          <w:color w:val="auto"/>
        </w:rPr>
        <w:t>” and the first such settlement date, the “</w:t>
      </w:r>
      <w:r>
        <w:rPr>
          <w:rFonts w:ascii="Arial" w:cs="Arial" w:eastAsia="Arial" w:hAnsi="Arial"/>
          <w:sz w:val="21"/>
          <w:szCs w:val="21"/>
          <w:b w:val="1"/>
          <w:bCs w:val="1"/>
          <w:u w:val="single" w:color="auto"/>
          <w:color w:val="auto"/>
        </w:rPr>
        <w:t>First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Delivery Date</w:t>
      </w:r>
      <w:r>
        <w:rPr>
          <w:rFonts w:ascii="Arial" w:cs="Arial" w:eastAsia="Arial" w:hAnsi="Arial"/>
          <w:sz w:val="21"/>
          <w:szCs w:val="21"/>
          <w:color w:val="auto"/>
        </w:rPr>
        <w:t>”). The amount of proceeds to be delivered to the Company on a Settlement Date against receipt of the Placement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Shares sold (the “</w:t>
      </w:r>
      <w:r>
        <w:rPr>
          <w:rFonts w:ascii="Arial" w:cs="Arial" w:eastAsia="Arial" w:hAnsi="Arial"/>
          <w:sz w:val="21"/>
          <w:szCs w:val="21"/>
          <w:b w:val="1"/>
          <w:bCs w:val="1"/>
          <w:u w:val="single" w:color="auto"/>
          <w:color w:val="auto"/>
        </w:rPr>
        <w:t>Net Proceeds</w:t>
      </w:r>
      <w:r>
        <w:rPr>
          <w:rFonts w:ascii="Arial" w:cs="Arial" w:eastAsia="Arial" w:hAnsi="Arial"/>
          <w:sz w:val="21"/>
          <w:szCs w:val="21"/>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hereof, (ii) any other amounts due and payable by the Company to Cowen hereunder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7(g)</w:t>
      </w:r>
      <w:r>
        <w:rPr>
          <w:rFonts w:ascii="Arial" w:cs="Arial" w:eastAsia="Arial" w:hAnsi="Arial"/>
          <w:sz w:val="21"/>
          <w:szCs w:val="21"/>
          <w:color w:val="auto"/>
        </w:rPr>
        <w:t xml:space="preserve"> (Expenses) hereof, and (iii) any transaction fees imposed by any governmental or self-regulatory organization in respect of such sales.</w:t>
      </w:r>
    </w:p>
    <w:p>
      <w:pPr>
        <w:spacing w:after="0" w:line="188" w:lineRule="exact"/>
        <w:rPr>
          <w:rFonts w:ascii="Arial" w:cs="Arial" w:eastAsia="Arial" w:hAnsi="Arial"/>
          <w:sz w:val="21"/>
          <w:szCs w:val="21"/>
          <w:color w:val="auto"/>
        </w:rPr>
      </w:pPr>
    </w:p>
    <w:p>
      <w:pPr>
        <w:jc w:val="both"/>
        <w:ind w:firstLine="656"/>
        <w:spacing w:after="0" w:line="286" w:lineRule="auto"/>
        <w:tabs>
          <w:tab w:leader="none" w:pos="1534"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Delivery of Placement Shares</w:t>
      </w:r>
      <w:r>
        <w:rPr>
          <w:rFonts w:ascii="Arial" w:cs="Arial" w:eastAsia="Arial" w:hAnsi="Arial"/>
          <w:sz w:val="19"/>
          <w:szCs w:val="19"/>
          <w:color w:val="auto"/>
        </w:rPr>
        <w:t xml:space="preserve">. On or before each Settlement Date, the Company will, or will cause its transfer agent to, electronically transfer the Placement Shares being sold by crediting Cowen’s or its designee’s account (provided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Cowen will be responsible for providing DWAC instructions or instructions for delivery by other means with regard to the transfer of the Placement Shares being sold. The Company agrees that if the Company, or its transfer agent (if applicable), defaults in its obligation to deliver duly authorized Placement Shares on a Settlement Date (other than as a result of a failure by Cowen to provide instructions for delivery), the Company agrees that in addition to and in no way limiting the rights and obligations set forth in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(Indemnification and Contribution) hereto, it will (i) hold Cowen harmless against any loss, claim, damage, or reasonable and documented expense (including reasonable and documented legal fees and expenses), as incurred, arising out of or in connection with such default by the Company and (ii) pay to Cowen (without duplication) any commission, discount, or other compensation to which it would otherwise have been entitled absent such default.</w:t>
      </w:r>
    </w:p>
    <w:p>
      <w:pPr>
        <w:spacing w:after="0" w:line="200" w:lineRule="exact"/>
        <w:rPr>
          <w:sz w:val="20"/>
          <w:szCs w:val="20"/>
          <w:color w:val="auto"/>
        </w:rPr>
      </w:pPr>
    </w:p>
    <w:p>
      <w:pPr>
        <w:spacing w:after="0" w:line="218" w:lineRule="exact"/>
        <w:rPr>
          <w:sz w:val="20"/>
          <w:szCs w:val="20"/>
          <w:color w:val="auto"/>
        </w:rPr>
      </w:pPr>
    </w:p>
    <w:p>
      <w:pPr>
        <w:jc w:val="both"/>
        <w:ind w:firstLine="656"/>
        <w:spacing w:after="0" w:line="302" w:lineRule="auto"/>
        <w:tabs>
          <w:tab w:leader="none" w:pos="139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Except as disclosed in the Registration Statement or the Prospectus, the Company represents and warrants to, and agrees with, Cowen that, unless such representation, warranty or agreement specifies otherwise, as of (i) the date of this Agreement, (ii) each Time of Sale (as defined below), (iii) each Settlement Date, and (iv) each Bring-Down Date (as defined below) (each date included in (i) through (iv), a “</w:t>
      </w:r>
      <w:r>
        <w:rPr>
          <w:rFonts w:ascii="Arial" w:cs="Arial" w:eastAsia="Arial" w:hAnsi="Arial"/>
          <w:sz w:val="19"/>
          <w:szCs w:val="19"/>
          <w:b w:val="1"/>
          <w:bCs w:val="1"/>
          <w:u w:val="single" w:color="auto"/>
          <w:color w:val="auto"/>
        </w:rPr>
        <w:t>Representation Date</w:t>
      </w:r>
      <w:r>
        <w:rPr>
          <w:rFonts w:ascii="Arial" w:cs="Arial" w:eastAsia="Arial" w:hAnsi="Arial"/>
          <w:sz w:val="19"/>
          <w:szCs w:val="19"/>
          <w:color w:val="auto"/>
        </w:rPr>
        <w:t>”):</w:t>
      </w:r>
    </w:p>
    <w:p>
      <w:pPr>
        <w:spacing w:after="0" w:line="142" w:lineRule="exact"/>
        <w:rPr>
          <w:sz w:val="20"/>
          <w:szCs w:val="20"/>
          <w:color w:val="auto"/>
        </w:rPr>
      </w:pPr>
    </w:p>
    <w:p>
      <w:pPr>
        <w:jc w:val="both"/>
        <w:ind w:firstLine="656"/>
        <w:spacing w:after="0" w:line="312" w:lineRule="auto"/>
        <w:tabs>
          <w:tab w:leader="none" w:pos="1293"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Registration Statement became effective automatically upon filing with the Commission under the Securities Act. The Registration Statement is an “automatic shelf registration statement” on Form S-3 as defined in Rule 405 of the Securities Act and was filed not earlier than three (3) years prior to the date hereof. No stop order suspending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20" w:name="page121"/>
    <w:bookmarkEnd w:id="120"/>
    <w:p>
      <w:pPr>
        <w:jc w:val="both"/>
        <w:spacing w:after="0" w:line="265" w:lineRule="auto"/>
        <w:rPr>
          <w:sz w:val="20"/>
          <w:szCs w:val="20"/>
          <w:color w:val="auto"/>
        </w:rPr>
      </w:pPr>
      <w:r>
        <w:rPr>
          <w:rFonts w:ascii="Arial" w:cs="Arial" w:eastAsia="Arial" w:hAnsi="Arial"/>
          <w:sz w:val="21"/>
          <w:szCs w:val="21"/>
          <w:color w:val="auto"/>
        </w:rPr>
        <w:t>effectiveness of the Registration Statement or any post-effective amendment thereto is in effect and no proceedings for such purpose have been instituted or are pending or, to the knowledge of the Company, contemplated or threatened by the Commission. The Company meets the requirements for use of Form S3 under the Securities Act. The sale of the Placement Shares hereunder meets the requirements or General Instruction I.B.1 of Form S-3.</w:t>
      </w:r>
    </w:p>
    <w:p>
      <w:pPr>
        <w:spacing w:after="0" w:line="200" w:lineRule="exact"/>
        <w:rPr>
          <w:sz w:val="20"/>
          <w:szCs w:val="20"/>
          <w:color w:val="auto"/>
        </w:rPr>
      </w:pPr>
    </w:p>
    <w:p>
      <w:pPr>
        <w:spacing w:after="0" w:line="218" w:lineRule="exact"/>
        <w:rPr>
          <w:sz w:val="20"/>
          <w:szCs w:val="20"/>
          <w:color w:val="auto"/>
        </w:rPr>
      </w:pPr>
    </w:p>
    <w:p>
      <w:pPr>
        <w:jc w:val="both"/>
        <w:ind w:firstLine="656"/>
        <w:spacing w:after="0" w:line="286" w:lineRule="auto"/>
        <w:tabs>
          <w:tab w:leader="none" w:pos="1356"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Arial" w:cs="Arial" w:eastAsia="Arial" w:hAnsi="Arial"/>
          <w:sz w:val="19"/>
          <w:szCs w:val="19"/>
          <w:b w:val="1"/>
          <w:bCs w:val="1"/>
          <w:u w:val="single" w:color="auto"/>
          <w:color w:val="auto"/>
        </w:rPr>
        <w:t>Time of Sale</w:t>
      </w:r>
      <w:r>
        <w:rPr>
          <w:rFonts w:ascii="Arial" w:cs="Arial" w:eastAsia="Arial" w:hAnsi="Arial"/>
          <w:sz w:val="19"/>
          <w:szCs w:val="19"/>
          <w:color w:val="auto"/>
        </w:rPr>
        <w:t>” means with respect to each offering of Placement Shares pursuant to this Agreement, the time of Cowen’s initial entry into contracts with purchasers for the sale of such Placement Shares.</w:t>
      </w:r>
    </w:p>
    <w:p>
      <w:pPr>
        <w:spacing w:after="0" w:line="158" w:lineRule="exact"/>
        <w:rPr>
          <w:rFonts w:ascii="Arial" w:cs="Arial" w:eastAsia="Arial" w:hAnsi="Arial"/>
          <w:sz w:val="19"/>
          <w:szCs w:val="19"/>
          <w:color w:val="auto"/>
        </w:rPr>
      </w:pPr>
    </w:p>
    <w:p>
      <w:pPr>
        <w:jc w:val="both"/>
        <w:ind w:firstLine="656"/>
        <w:spacing w:after="0" w:line="292" w:lineRule="auto"/>
        <w:tabs>
          <w:tab w:leader="none" w:pos="1293"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 The Registration Statement, the Prospectus and any Permitted Free Writing Prospectus (to the extent any such Permitted Free Writing Prospectus was required to be filed with the Commission) delivered to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50" w:lineRule="exact"/>
        <w:rPr>
          <w:rFonts w:ascii="Arial" w:cs="Arial" w:eastAsia="Arial" w:hAnsi="Arial"/>
          <w:sz w:val="19"/>
          <w:szCs w:val="19"/>
          <w:color w:val="auto"/>
        </w:rPr>
      </w:pPr>
    </w:p>
    <w:p>
      <w:pPr>
        <w:jc w:val="both"/>
        <w:ind w:firstLine="656"/>
        <w:spacing w:after="0" w:line="247" w:lineRule="auto"/>
        <w:tabs>
          <w:tab w:leader="none" w:pos="1291"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Subsequent to the respective dates as of which information is given in the Prospectus, the Company has not,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in each case, other than as set forth or contemplated in the Prospectus; and, since the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21" w:name="page122"/>
    <w:bookmarkEnd w:id="121"/>
    <w:p>
      <w:pPr>
        <w:jc w:val="both"/>
        <w:spacing w:after="0" w:line="288" w:lineRule="auto"/>
        <w:rPr>
          <w:sz w:val="20"/>
          <w:szCs w:val="20"/>
          <w:color w:val="auto"/>
        </w:rPr>
      </w:pPr>
      <w:r>
        <w:rPr>
          <w:rFonts w:ascii="Arial" w:cs="Arial" w:eastAsia="Arial" w:hAnsi="Arial"/>
          <w:sz w:val="19"/>
          <w:szCs w:val="19"/>
          <w:color w:val="auto"/>
        </w:rPr>
        <w:t>dates as of which information is given in the Registration Statement and the Prospectus, there has not been (x) any change in the capital stock of the Company (other than as a result of (i) the exercise, if any, of stock options or the award, if any, of stock options, restricted stock or other awards in the ordinary course of business pursuant to the Company’s equity plans that are described in the Registration Statement and the Prospectus or (ii) the issuance, if any, of shares of Common Stock upon conversion of Company securities as described in the Registration Statement and the Prospectus), long-term debt of the Company or (y) any Material Adverse Effect (as defined below); as used in this Agreement, “</w:t>
      </w:r>
      <w:r>
        <w:rPr>
          <w:rFonts w:ascii="Arial" w:cs="Arial" w:eastAsia="Arial" w:hAnsi="Arial"/>
          <w:sz w:val="19"/>
          <w:szCs w:val="19"/>
          <w:b w:val="1"/>
          <w:bCs w:val="1"/>
          <w:u w:val="single" w:color="auto"/>
          <w:color w:val="auto"/>
        </w:rPr>
        <w:t>Material Adverse Effect</w:t>
      </w:r>
      <w:r>
        <w:rPr>
          <w:rFonts w:ascii="Arial" w:cs="Arial" w:eastAsia="Arial" w:hAnsi="Arial"/>
          <w:sz w:val="19"/>
          <w:szCs w:val="19"/>
          <w:color w:val="auto"/>
        </w:rPr>
        <w:t>” or “</w:t>
      </w:r>
      <w:r>
        <w:rPr>
          <w:rFonts w:ascii="Arial" w:cs="Arial" w:eastAsia="Arial" w:hAnsi="Arial"/>
          <w:sz w:val="19"/>
          <w:szCs w:val="19"/>
          <w:b w:val="1"/>
          <w:bCs w:val="1"/>
          <w:u w:val="single" w:color="auto"/>
          <w:color w:val="auto"/>
        </w:rPr>
        <w:t>Material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Adverse Change</w:t>
      </w:r>
      <w:r>
        <w:rPr>
          <w:rFonts w:ascii="Arial" w:cs="Arial" w:eastAsia="Arial" w:hAnsi="Arial"/>
          <w:sz w:val="19"/>
          <w:szCs w:val="19"/>
          <w:color w:val="auto"/>
        </w:rPr>
        <w:t>” shall mean any material adverse change or effect, or any development involving a prospective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adverse change or effect, in or affecting (i) the business, properties, general affairs, management, financial position, stockholders’ equity, results of operations or prospects of the Company and its subsidiaries (as defined below), except as set forth or contemplated in the Prospectus, or (ii) the ability of the Company to perform its obligations under this Agreement, including the issuance and sale of the Placement Shares.</w:t>
      </w:r>
    </w:p>
    <w:p>
      <w:pPr>
        <w:spacing w:after="0" w:line="200" w:lineRule="exact"/>
        <w:rPr>
          <w:sz w:val="20"/>
          <w:szCs w:val="20"/>
          <w:color w:val="auto"/>
        </w:rPr>
      </w:pPr>
    </w:p>
    <w:p>
      <w:pPr>
        <w:spacing w:after="0" w:line="243" w:lineRule="exact"/>
        <w:rPr>
          <w:sz w:val="20"/>
          <w:szCs w:val="20"/>
          <w:color w:val="auto"/>
        </w:rPr>
      </w:pPr>
    </w:p>
    <w:p>
      <w:pPr>
        <w:jc w:val="both"/>
        <w:ind w:firstLine="656"/>
        <w:spacing w:after="0" w:line="259" w:lineRule="auto"/>
        <w:tabs>
          <w:tab w:leader="none" w:pos="1293"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Company and its Subsidiaries do not own any real property and the Company has good and marketable title to all personal property owned by it (other than with respect to Intellectual Property (as defined below), which is addressed exclusively in subsection (ii)) which is material to the business of the Company and its Subsidiaries,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 Company or its Subsidiaries, to its knowledge, under valid, subsisting and enforceable leases with such exceptions as are not material and do not materially interfere with the use made and currently proposed to be made of such property and buildings by the Company and its Subsidiaries.</w:t>
      </w:r>
    </w:p>
    <w:p>
      <w:pPr>
        <w:spacing w:after="0" w:line="179" w:lineRule="exact"/>
        <w:rPr>
          <w:rFonts w:ascii="Arial" w:cs="Arial" w:eastAsia="Arial" w:hAnsi="Arial"/>
          <w:sz w:val="21"/>
          <w:szCs w:val="21"/>
          <w:color w:val="auto"/>
        </w:rPr>
      </w:pPr>
    </w:p>
    <w:p>
      <w:pPr>
        <w:jc w:val="both"/>
        <w:ind w:firstLine="656"/>
        <w:spacing w:after="0" w:line="261" w:lineRule="auto"/>
        <w:tabs>
          <w:tab w:leader="none" w:pos="1296"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Company has been (i) duly organized and is validly existing and in good standing under the laws of its jurisdiction of organization, with power and authority (corporate and other) to own and/or lease its properties and conduct its business as described in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w:t>
      </w:r>
    </w:p>
    <w:p>
      <w:pPr>
        <w:spacing w:after="0" w:line="173" w:lineRule="exact"/>
        <w:rPr>
          <w:rFonts w:ascii="Arial" w:cs="Arial" w:eastAsia="Arial" w:hAnsi="Arial"/>
          <w:sz w:val="21"/>
          <w:szCs w:val="21"/>
          <w:color w:val="auto"/>
        </w:rPr>
      </w:pPr>
    </w:p>
    <w:p>
      <w:pPr>
        <w:jc w:val="both"/>
        <w:ind w:firstLine="656"/>
        <w:spacing w:after="0" w:line="260" w:lineRule="auto"/>
        <w:tabs>
          <w:tab w:leader="none" w:pos="1291" w:val="left"/>
        </w:tabs>
        <w:numPr>
          <w:ilvl w:val="0"/>
          <w:numId w:val="87"/>
        </w:numPr>
        <w:rPr>
          <w:rFonts w:ascii="Arial" w:cs="Arial" w:eastAsia="Arial" w:hAnsi="Arial"/>
          <w:sz w:val="21"/>
          <w:szCs w:val="21"/>
          <w:color w:val="auto"/>
        </w:rPr>
      </w:pPr>
      <w:r>
        <w:rPr>
          <w:rFonts w:ascii="Arial" w:cs="Arial" w:eastAsia="Arial" w:hAnsi="Arial"/>
          <w:sz w:val="21"/>
          <w:szCs w:val="21"/>
          <w:color w:val="auto"/>
        </w:rPr>
        <w:t>Each subsidiary of the Company (each a “</w:t>
      </w:r>
      <w:r>
        <w:rPr>
          <w:rFonts w:ascii="Arial" w:cs="Arial" w:eastAsia="Arial" w:hAnsi="Arial"/>
          <w:sz w:val="21"/>
          <w:szCs w:val="21"/>
          <w:b w:val="1"/>
          <w:bCs w:val="1"/>
          <w:u w:val="single" w:color="auto"/>
          <w:color w:val="auto"/>
        </w:rPr>
        <w:t>Subsidiary</w:t>
      </w:r>
      <w:r>
        <w:rPr>
          <w:rFonts w:ascii="Arial" w:cs="Arial" w:eastAsia="Arial" w:hAnsi="Arial"/>
          <w:sz w:val="21"/>
          <w:szCs w:val="21"/>
          <w:color w:val="auto"/>
        </w:rPr>
        <w:t>”) 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Effect. Except as described in the Prospectus,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22" w:name="page123"/>
    <w:bookmarkEnd w:id="122"/>
    <w:p>
      <w:pPr>
        <w:jc w:val="both"/>
        <w:spacing w:after="0" w:line="294" w:lineRule="auto"/>
        <w:rPr>
          <w:sz w:val="20"/>
          <w:szCs w:val="20"/>
          <w:color w:val="auto"/>
        </w:rPr>
      </w:pPr>
      <w:r>
        <w:rPr>
          <w:rFonts w:ascii="Arial" w:cs="Arial" w:eastAsia="Arial" w:hAnsi="Arial"/>
          <w:sz w:val="19"/>
          <w:szCs w:val="19"/>
          <w:color w:val="auto"/>
        </w:rPr>
        <w:t>issued and outstanding equity interests of the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49" w:lineRule="exact"/>
        <w:rPr>
          <w:sz w:val="20"/>
          <w:szCs w:val="20"/>
          <w:color w:val="auto"/>
        </w:rPr>
      </w:pPr>
    </w:p>
    <w:p>
      <w:pPr>
        <w:jc w:val="both"/>
        <w:ind w:firstLine="656"/>
        <w:spacing w:after="0" w:line="250" w:lineRule="auto"/>
        <w:tabs>
          <w:tab w:leader="none" w:pos="1291"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Company has an authorized capitalization as set forth in the Registration Statement and the Prospectus and all of the issued shares of capital stock of the Company have been duly and validly authorized and issued and are fully paid and non-assessable and conform in all material respects to the description of the capital stock contained in the Registration Statement and Prospectus.</w:t>
      </w:r>
    </w:p>
    <w:p>
      <w:pPr>
        <w:spacing w:after="0" w:line="187" w:lineRule="exact"/>
        <w:rPr>
          <w:rFonts w:ascii="Arial" w:cs="Arial" w:eastAsia="Arial" w:hAnsi="Arial"/>
          <w:sz w:val="22"/>
          <w:szCs w:val="22"/>
          <w:color w:val="auto"/>
        </w:rPr>
      </w:pPr>
    </w:p>
    <w:p>
      <w:pPr>
        <w:jc w:val="both"/>
        <w:ind w:firstLine="656"/>
        <w:spacing w:after="0" w:line="297" w:lineRule="auto"/>
        <w:tabs>
          <w:tab w:leader="none" w:pos="1284"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and will conform in all material respects to the description of the Common Stock contained in the Registration Statement and the Prospectus; and the issuance of the Placement Shares is not subject to any preemptive or similar rights except as have been validly waived or complied with.</w:t>
      </w:r>
    </w:p>
    <w:p>
      <w:pPr>
        <w:spacing w:after="0" w:line="146" w:lineRule="exact"/>
        <w:rPr>
          <w:rFonts w:ascii="Arial" w:cs="Arial" w:eastAsia="Arial" w:hAnsi="Arial"/>
          <w:sz w:val="19"/>
          <w:szCs w:val="19"/>
          <w:color w:val="auto"/>
        </w:rPr>
      </w:pPr>
    </w:p>
    <w:p>
      <w:pPr>
        <w:jc w:val="both"/>
        <w:ind w:firstLine="656"/>
        <w:spacing w:after="0" w:line="285" w:lineRule="auto"/>
        <w:tabs>
          <w:tab w:leader="none" w:pos="1284"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issue and sale of the Placement Shares and the compliance by the Company with this Agreement and the consummation of the transactions contemplated in this Agreement and the Prospectus will not conflict with or result in a breach or violation of any of the terms or provisions of, or constitute a default under, (A) any indenture, mortgage, deed of trust, loan agreement, license, lease or other agreement or instrument to which the Company or any Subsidiary is a party or by which the Company or any Subsidiary is bound or to which any of the property or assets of the Company or any Subsidiary is subject, (B) the certificate of incorporation or by-laws (or other applicable organizational document) of the Company or any Subsidiary, or</w:t>
      </w:r>
    </w:p>
    <w:p>
      <w:pPr>
        <w:jc w:val="both"/>
        <w:ind w:firstLine="8"/>
        <w:spacing w:after="0" w:line="287" w:lineRule="auto"/>
        <w:tabs>
          <w:tab w:leader="none" w:pos="354"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any statute or any judgment, order, rule or regulation of any court or governmental agency or body having jurisdiction over the Company or any Subsidiary or any of its properties, except, in the case of clauses (A) and (C), for such defaults, breaches, or violations that would not, individually or in the aggregate, have a Material Adverse Effect; and no consent, approval, authorization, order, registration or qualification of or with any such court or governmental agency or body is required for the issue and sale of the Placement Shares or the consummation by the Company of the transactions contemplated by this Agreement, except such as have been obtained under the Act</w:t>
      </w:r>
      <w:r>
        <w:rPr>
          <w:rFonts w:ascii="Arial" w:cs="Arial" w:eastAsia="Arial" w:hAnsi="Arial"/>
          <w:sz w:val="19"/>
          <w:szCs w:val="19"/>
          <w:b w:val="1"/>
          <w:bCs w:val="1"/>
          <w:color w:val="auto"/>
        </w:rPr>
        <w:t>,</w:t>
      </w:r>
      <w:r>
        <w:rPr>
          <w:rFonts w:ascii="Arial" w:cs="Arial" w:eastAsia="Arial" w:hAnsi="Arial"/>
          <w:sz w:val="19"/>
          <w:szCs w:val="19"/>
          <w:color w:val="auto"/>
        </w:rPr>
        <w:t xml:space="preserve"> the approval by the Financial Industry Regulatory Authority (“</w:t>
      </w:r>
      <w:r>
        <w:rPr>
          <w:rFonts w:ascii="Arial" w:cs="Arial" w:eastAsia="Arial" w:hAnsi="Arial"/>
          <w:sz w:val="19"/>
          <w:szCs w:val="19"/>
          <w:b w:val="1"/>
          <w:bCs w:val="1"/>
          <w:u w:val="single" w:color="auto"/>
          <w:color w:val="auto"/>
        </w:rPr>
        <w:t>FINRA</w:t>
      </w:r>
      <w:r>
        <w:rPr>
          <w:rFonts w:ascii="Arial" w:cs="Arial" w:eastAsia="Arial" w:hAnsi="Arial"/>
          <w:sz w:val="19"/>
          <w:szCs w:val="19"/>
          <w:color w:val="auto"/>
        </w:rPr>
        <w:t>”) of the underwriting terms and arrangements and such consents, approvals, authorizations, registrations or qualifications as may be required under state securities or Blue Sky laws in connection with the sale of the Placement Shares.</w:t>
      </w:r>
    </w:p>
    <w:p>
      <w:pPr>
        <w:spacing w:after="0" w:line="159" w:lineRule="exact"/>
        <w:rPr>
          <w:rFonts w:ascii="Arial" w:cs="Arial" w:eastAsia="Arial" w:hAnsi="Arial"/>
          <w:sz w:val="19"/>
          <w:szCs w:val="19"/>
          <w:color w:val="auto"/>
        </w:rPr>
      </w:pPr>
    </w:p>
    <w:p>
      <w:pPr>
        <w:jc w:val="both"/>
        <w:ind w:firstLine="656"/>
        <w:spacing w:after="0" w:line="253" w:lineRule="auto"/>
        <w:tabs>
          <w:tab w:leader="none" w:pos="1291" w:val="left"/>
        </w:tabs>
        <w:numPr>
          <w:ilvl w:val="1"/>
          <w:numId w:val="89"/>
        </w:numPr>
        <w:rPr>
          <w:rFonts w:ascii="Arial" w:cs="Arial" w:eastAsia="Arial" w:hAnsi="Arial"/>
          <w:sz w:val="22"/>
          <w:szCs w:val="22"/>
          <w:color w:val="auto"/>
        </w:rPr>
      </w:pPr>
      <w:r>
        <w:rPr>
          <w:rFonts w:ascii="Arial" w:cs="Arial" w:eastAsia="Arial" w:hAnsi="Arial"/>
          <w:sz w:val="22"/>
          <w:szCs w:val="22"/>
          <w:color w:val="auto"/>
        </w:rPr>
        <w:t>Neither the Company nor any Subsidiary is (i) in violation of its certificate of incorporation or by-laws (or other applicable organizational document), (ii) in violation of any statute or any judgment, order, rule or regulation of any court or governmental agency or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23" w:name="page124"/>
    <w:bookmarkEnd w:id="123"/>
    <w:p>
      <w:pPr>
        <w:jc w:val="both"/>
        <w:spacing w:after="0" w:line="247" w:lineRule="auto"/>
        <w:rPr>
          <w:sz w:val="20"/>
          <w:szCs w:val="20"/>
          <w:color w:val="auto"/>
        </w:rPr>
      </w:pPr>
      <w:r>
        <w:rPr>
          <w:rFonts w:ascii="Arial" w:cs="Arial" w:eastAsia="Arial" w:hAnsi="Arial"/>
          <w:sz w:val="22"/>
          <w:szCs w:val="22"/>
          <w:color w:val="auto"/>
        </w:rPr>
        <w:t>having jurisdiction over the Company or any Subsidiary or any of its properties or assets, or (iii) in default, and no event has occurred that, with notice or lapse of time or both, would constitute such a default, in the performance or observance of any obligation, agreement, term, covenant or condition contained in any indenture, mortgage, deed of trust, loan agreement, license, lease or other agreement or instrument to which it is a party or by which it or any of its properties or assets may be bound, except, in the case of the foregoing clauses (ii) and (iii), for such violations or defaults as would not, individually or in the aggregate, have a Material Adverse Effect.</w:t>
      </w:r>
    </w:p>
    <w:p>
      <w:pPr>
        <w:spacing w:after="0" w:line="193" w:lineRule="exact"/>
        <w:rPr>
          <w:sz w:val="20"/>
          <w:szCs w:val="20"/>
          <w:color w:val="auto"/>
        </w:rPr>
      </w:pPr>
    </w:p>
    <w:p>
      <w:pPr>
        <w:jc w:val="both"/>
        <w:ind w:firstLine="656"/>
        <w:spacing w:after="0" w:line="253" w:lineRule="auto"/>
        <w:tabs>
          <w:tab w:leader="none" w:pos="1284"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statements set forth in the Registration Statement and the Prospectus under the caption “Description of Capital Stock”, insofar as they purport to constitute a summary of the terms of the Stock, are accurate, complete and fair in all material respects.</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284" w:val="left"/>
        </w:tabs>
        <w:numPr>
          <w:ilvl w:val="0"/>
          <w:numId w:val="90"/>
        </w:numPr>
        <w:rPr>
          <w:rFonts w:ascii="Arial" w:cs="Arial" w:eastAsia="Arial" w:hAnsi="Arial"/>
          <w:sz w:val="19"/>
          <w:szCs w:val="19"/>
          <w:color w:val="auto"/>
        </w:rPr>
      </w:pPr>
      <w:r>
        <w:rPr>
          <w:rFonts w:ascii="Arial" w:cs="Arial" w:eastAsia="Arial" w:hAnsi="Arial"/>
          <w:sz w:val="19"/>
          <w:szCs w:val="19"/>
          <w:color w:val="auto"/>
        </w:rPr>
        <w:t>Other than as set forth in the Prospectus, there are no legal or governmental proceedings pending to which the Company or any Subsidiary, to the Company’s knowledge, any officer or director of the Company or any Subsidiary, is a party or of which any property or assets of the Company or any Subsidiary is the subject which, if determined adversely to the Company (or such officer or director), would individually or in the aggregate have a Material Adverse Effect; and, to the Company’s knowledge, no such proceedings are threatened or contemplated by governmental authorities or others.</w:t>
      </w:r>
    </w:p>
    <w:p>
      <w:pPr>
        <w:spacing w:after="0" w:line="146"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is not and, after receipt of payment for the Placement Shares and the application of the proceeds as described in the Prospectus, will not be, required to register as an “investment company”, as such term is defined in the Investment Company Act of 1940, as amended (the “</w:t>
      </w:r>
      <w:r>
        <w:rPr>
          <w:rFonts w:ascii="Arial" w:cs="Arial" w:eastAsia="Arial" w:hAnsi="Arial"/>
          <w:sz w:val="22"/>
          <w:szCs w:val="22"/>
          <w:b w:val="1"/>
          <w:bCs w:val="1"/>
          <w:u w:val="single" w:color="auto"/>
          <w:color w:val="auto"/>
        </w:rPr>
        <w:t>Investment Company Act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89" w:lineRule="auto"/>
        <w:tabs>
          <w:tab w:leader="none" w:pos="1291" w:val="left"/>
        </w:tabs>
        <w:numPr>
          <w:ilvl w:val="0"/>
          <w:numId w:val="90"/>
        </w:numPr>
        <w:rPr>
          <w:rFonts w:ascii="Arial" w:cs="Arial" w:eastAsia="Arial" w:hAnsi="Arial"/>
          <w:sz w:val="19"/>
          <w:szCs w:val="19"/>
          <w:color w:val="auto"/>
        </w:rPr>
      </w:pPr>
      <w:r>
        <w:rPr>
          <w:rFonts w:ascii="Arial" w:cs="Arial" w:eastAsia="Arial" w:hAnsi="Arial"/>
          <w:sz w:val="19"/>
          <w:szCs w:val="19"/>
          <w:color w:val="auto"/>
        </w:rPr>
        <w:t>(A) (i)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Placement Shares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164(h)(2) under the Act) of the Placement Shares, and at the date hereof, the Company was not and is not an "ineligible issuer," as defined under Rule 405 under the Act.</w:t>
      </w:r>
    </w:p>
    <w:p>
      <w:pPr>
        <w:spacing w:after="0" w:line="156" w:lineRule="exact"/>
        <w:rPr>
          <w:rFonts w:ascii="Arial" w:cs="Arial" w:eastAsia="Arial" w:hAnsi="Arial"/>
          <w:sz w:val="19"/>
          <w:szCs w:val="19"/>
          <w:color w:val="auto"/>
        </w:rPr>
      </w:pPr>
    </w:p>
    <w:p>
      <w:pPr>
        <w:ind w:firstLine="656"/>
        <w:spacing w:after="0" w:line="263" w:lineRule="auto"/>
        <w:tabs>
          <w:tab w:leader="none" w:pos="12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Ernst &amp; Young LLP, who has certified certain financial statements of the Company, is an independent public accounting firm as required by the Act and the rules and regulations of the Commission thereunder.</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There are no off-balance sheet arrangements (as defined in Regulation S-K Item 303(a)(4)(ii) of the Act) that have or are reasonably likely to have a material current or future effect on the Company’s financial condition, changes in financial condition,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24" w:name="page125"/>
    <w:bookmarkEnd w:id="124"/>
    <w:p>
      <w:pPr>
        <w:jc w:val="both"/>
        <w:ind w:firstLine="656"/>
        <w:spacing w:after="0" w:line="285" w:lineRule="auto"/>
        <w:tabs>
          <w:tab w:leader="none" w:pos="1296"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Company maintains a system of internal control over financial reporting (as such term is defined in Rule 13a-15(f) under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designed to provide reasonable assurance that</w:t>
      </w:r>
    </w:p>
    <w:p>
      <w:pPr>
        <w:spacing w:after="0" w:line="3" w:lineRule="exact"/>
        <w:rPr>
          <w:rFonts w:ascii="Arial" w:cs="Arial" w:eastAsia="Arial" w:hAnsi="Arial"/>
          <w:sz w:val="19"/>
          <w:szCs w:val="19"/>
          <w:color w:val="auto"/>
        </w:rPr>
      </w:pPr>
    </w:p>
    <w:p>
      <w:pPr>
        <w:jc w:val="both"/>
        <w:ind w:firstLine="8"/>
        <w:spacing w:after="0" w:line="287" w:lineRule="auto"/>
        <w:tabs>
          <w:tab w:leader="none" w:pos="35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p>
    <w:p>
      <w:pPr>
        <w:spacing w:after="0" w:line="159" w:lineRule="exact"/>
        <w:rPr>
          <w:rFonts w:ascii="Arial" w:cs="Arial" w:eastAsia="Arial" w:hAnsi="Arial"/>
          <w:sz w:val="19"/>
          <w:szCs w:val="19"/>
          <w:color w:val="auto"/>
        </w:rPr>
      </w:pPr>
    </w:p>
    <w:p>
      <w:pPr>
        <w:jc w:val="both"/>
        <w:ind w:firstLine="656"/>
        <w:spacing w:after="0" w:line="312" w:lineRule="auto"/>
        <w:tabs>
          <w:tab w:leader="none" w:pos="1294" w:val="left"/>
        </w:tabs>
        <w:numPr>
          <w:ilvl w:val="1"/>
          <w:numId w:val="92"/>
        </w:numPr>
        <w:rPr>
          <w:rFonts w:ascii="Arial" w:cs="Arial" w:eastAsia="Arial" w:hAnsi="Arial"/>
          <w:sz w:val="19"/>
          <w:szCs w:val="19"/>
          <w:color w:val="auto"/>
        </w:rPr>
      </w:pPr>
      <w:r>
        <w:rPr>
          <w:rFonts w:ascii="Arial" w:cs="Arial" w:eastAsia="Arial" w:hAnsi="Arial"/>
          <w:sz w:val="19"/>
          <w:szCs w:val="19"/>
          <w:color w:val="auto"/>
        </w:rPr>
        <w:t>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33" w:lineRule="exact"/>
        <w:rPr>
          <w:rFonts w:ascii="Arial" w:cs="Arial" w:eastAsia="Arial" w:hAnsi="Arial"/>
          <w:sz w:val="19"/>
          <w:szCs w:val="19"/>
          <w:color w:val="auto"/>
        </w:rPr>
      </w:pPr>
    </w:p>
    <w:p>
      <w:pPr>
        <w:jc w:val="both"/>
        <w:ind w:firstLine="656"/>
        <w:spacing w:after="0" w:line="248" w:lineRule="auto"/>
        <w:tabs>
          <w:tab w:leader="none" w:pos="1284"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is made known to the Company’s principal executive officer and principal financial officer by others within the Company; and such disclosure controls and procedures are effective in all material respects.</w:t>
      </w:r>
    </w:p>
    <w:p>
      <w:pPr>
        <w:spacing w:after="0" w:line="191" w:lineRule="exact"/>
        <w:rPr>
          <w:rFonts w:ascii="Arial" w:cs="Arial" w:eastAsia="Arial" w:hAnsi="Arial"/>
          <w:sz w:val="22"/>
          <w:szCs w:val="22"/>
          <w:color w:val="auto"/>
        </w:rPr>
      </w:pPr>
    </w:p>
    <w:p>
      <w:pPr>
        <w:jc w:val="both"/>
        <w:ind w:firstLine="656"/>
        <w:spacing w:after="0" w:line="297" w:lineRule="auto"/>
        <w:tabs>
          <w:tab w:leader="none" w:pos="1291"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Company has all requisite corporate power and authority to execute and deliver, and to perform its obligations under, this Agreement. This Agreement has been duly authorized, executed and delivered by the Company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46" w:lineRule="exact"/>
        <w:rPr>
          <w:rFonts w:ascii="Arial" w:cs="Arial" w:eastAsia="Arial" w:hAnsi="Arial"/>
          <w:sz w:val="19"/>
          <w:szCs w:val="19"/>
          <w:color w:val="auto"/>
        </w:rPr>
      </w:pPr>
    </w:p>
    <w:p>
      <w:pPr>
        <w:jc w:val="both"/>
        <w:ind w:firstLine="656"/>
        <w:spacing w:after="0" w:line="247" w:lineRule="auto"/>
        <w:tabs>
          <w:tab w:leader="none" w:pos="1291" w:val="left"/>
        </w:tabs>
        <w:numPr>
          <w:ilvl w:val="1"/>
          <w:numId w:val="92"/>
        </w:numPr>
        <w:rPr>
          <w:rFonts w:ascii="Arial" w:cs="Arial" w:eastAsia="Arial" w:hAnsi="Arial"/>
          <w:sz w:val="22"/>
          <w:szCs w:val="22"/>
          <w:color w:val="auto"/>
        </w:rPr>
      </w:pPr>
      <w:r>
        <w:rPr>
          <w:rFonts w:ascii="Arial" w:cs="Arial" w:eastAsia="Arial" w:hAnsi="Arial"/>
          <w:sz w:val="22"/>
          <w:szCs w:val="22"/>
          <w:color w:val="auto"/>
        </w:rPr>
        <w:t>Neither the Company nor any of its Subsidiaries nor any of their respective directors, officers, or employees or, to the knowledge of the Company, any agent, representative, affiliate or other person associated with or acting on behalf of the Company or any Subsidiary has (i) made, offered, promised, authorized, or approved any unlawful contribution, gift, entertainment or other unlawful expense (or taken or will take any action in furtherance thereof); (ii) made, offered, promised, authorized, or approved the provision or receipt of money, property, gifts, or anything else of value, directly or indirectly, to or from any person,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25" w:name="page126"/>
    <w:bookmarkEnd w:id="125"/>
    <w:p>
      <w:pPr>
        <w:jc w:val="both"/>
        <w:spacing w:after="0" w:line="258" w:lineRule="auto"/>
        <w:rPr>
          <w:sz w:val="20"/>
          <w:szCs w:val="20"/>
          <w:color w:val="auto"/>
        </w:rPr>
      </w:pPr>
      <w:r>
        <w:rPr>
          <w:rFonts w:ascii="Arial" w:cs="Arial" w:eastAsia="Arial" w:hAnsi="Arial"/>
          <w:sz w:val="21"/>
          <w:szCs w:val="21"/>
          <w:color w:val="auto"/>
        </w:rPr>
        <w:t>government official (including any officer, employee, or director of a government, government-owned or controlled entity, or public international organization, or any person acting in an official capacity for or on behalf of any of the foregoing, or any political party or party official or candidate for political office), in order to influence official action, improperly obtain or retain business, or otherwise in violation of applicable anti-corruption laws (or taken or will take any action in furtherance thereof); (iii) violated or is in violation of any provision of the U.S. Foreign Corrupt Practices Act of 1977, as amended, the Bribery Act 2010 of the United Kingdom or any other applicable anti-bribery or anti-corruption law; or (iv) will use, directly or indirectly, the proceeds of the offering in furtherance of an offer, payment, promise to pay, or authorization of the payment or giving of money or anything else of value, to any person in violation of any applicable anti-corruption laws. The Company and each Subsidiary has instituted, maintains and enforces, and will continue to maintain and enforce, policies and procedures designed to promote and achieve compliance with all applicable anti-bribery and anti-corruption laws and with the representations and warranties contained herein.</w:t>
      </w:r>
    </w:p>
    <w:p>
      <w:pPr>
        <w:spacing w:after="0" w:line="182" w:lineRule="exact"/>
        <w:rPr>
          <w:sz w:val="20"/>
          <w:szCs w:val="20"/>
          <w:color w:val="auto"/>
        </w:rPr>
      </w:pPr>
    </w:p>
    <w:p>
      <w:pPr>
        <w:jc w:val="both"/>
        <w:ind w:firstLine="656"/>
        <w:spacing w:after="0" w:line="292" w:lineRule="auto"/>
        <w:tabs>
          <w:tab w:leader="none" w:pos="1285"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with the requirements of applicable financial recordkeeping and reporting requirements and anti-money laundering laws in jurisdictions where the Company and its Subsidiaries conduct business, including, but not limited to, the Bank Secrecy Act of 1970, as amended by the USA PATRIOT ACT of 2001, and the rules, regulations, and guidelines issued or promulgated thereunder, (collectively, the “</w:t>
      </w:r>
      <w:r>
        <w:rPr>
          <w:rFonts w:ascii="Arial" w:cs="Arial" w:eastAsia="Arial" w:hAnsi="Arial"/>
          <w:sz w:val="19"/>
          <w:szCs w:val="19"/>
          <w:b w:val="1"/>
          <w:bCs w:val="1"/>
          <w:u w:val="single" w:color="auto"/>
          <w:color w:val="auto"/>
        </w:rPr>
        <w:t>Money Laundering Laws</w:t>
      </w:r>
      <w:r>
        <w:rPr>
          <w:rFonts w:ascii="Arial" w:cs="Arial" w:eastAsia="Arial" w:hAnsi="Arial"/>
          <w:sz w:val="19"/>
          <w:szCs w:val="19"/>
          <w:color w:val="auto"/>
        </w:rPr>
        <w:t>”) and no action, suit or proceeding by or before any court or governmental agency, authority or body or any arbitrator involving the Company and its Subsidiaries with respect to the Money Laundering Laws is pending or, to the knowledge of the Company, threatened.</w:t>
      </w:r>
    </w:p>
    <w:p>
      <w:pPr>
        <w:spacing w:after="0" w:line="150" w:lineRule="exact"/>
        <w:rPr>
          <w:rFonts w:ascii="Arial" w:cs="Arial" w:eastAsia="Arial" w:hAnsi="Arial"/>
          <w:sz w:val="19"/>
          <w:szCs w:val="19"/>
          <w:color w:val="auto"/>
        </w:rPr>
      </w:pPr>
    </w:p>
    <w:p>
      <w:pPr>
        <w:jc w:val="both"/>
        <w:ind w:firstLine="656"/>
        <w:spacing w:after="0" w:line="283" w:lineRule="auto"/>
        <w:tabs>
          <w:tab w:leader="none" w:pos="1291"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Company and each Subsidiary is and at all times has been in compliance in all material respects with all applicable foreign, federal, state and local healthcare laws, rules and regulations, including, without limitation, (i) the Federal Food, Drug, and Cosmetic Act (21 U.S.C. §§ 301 et seq.); (ii) all healthcare related fraud and abuse laws, including, without limitation, the federal Anti-kickback Statute (42 U.S.C. § 1320a-7b(b)), the civil False Claims Act (31 U.S.C. §§ 3729 et seq.), the criminal False Claims Law (42 U.S.C. § 1320a-7b(a)), the civil monetary penalties law (42 U.S.C. § 1320a-7a), the exclusion law (42 U.S.C. § 1320a-7), the Physician Payments Sunshine Act (42 U.S.C. § 1320a-7h), all criminal laws relating to healthcare fraud and abuse, including but not limited to 18 U.S.C. Sections 286, 287, 1035, 1347 and 1349, the healthcare fraud criminal provisions under the U.S. Health Insurance Portability and Accountability Act of 1996 (“</w:t>
      </w:r>
      <w:r>
        <w:rPr>
          <w:rFonts w:ascii="Arial" w:cs="Arial" w:eastAsia="Arial" w:hAnsi="Arial"/>
          <w:sz w:val="19"/>
          <w:szCs w:val="19"/>
          <w:b w:val="1"/>
          <w:bCs w:val="1"/>
          <w:u w:val="single" w:color="auto"/>
          <w:color w:val="auto"/>
        </w:rPr>
        <w:t>HIPAA</w:t>
      </w:r>
      <w:r>
        <w:rPr>
          <w:rFonts w:ascii="Arial" w:cs="Arial" w:eastAsia="Arial" w:hAnsi="Arial"/>
          <w:sz w:val="19"/>
          <w:szCs w:val="19"/>
          <w:color w:val="auto"/>
        </w:rPr>
        <w:t>”) (42 U.S.C. §§1320d et seq.), the Medicare statute (Title XVIII of the Social Security Act), and the Medicaid statute (Title XIX of the Social Security Act); and</w:t>
      </w:r>
    </w:p>
    <w:p>
      <w:pPr>
        <w:spacing w:after="0" w:line="7" w:lineRule="exact"/>
        <w:rPr>
          <w:rFonts w:ascii="Arial" w:cs="Arial" w:eastAsia="Arial" w:hAnsi="Arial"/>
          <w:sz w:val="19"/>
          <w:szCs w:val="19"/>
          <w:color w:val="auto"/>
        </w:rPr>
      </w:pPr>
    </w:p>
    <w:p>
      <w:pPr>
        <w:jc w:val="both"/>
        <w:ind w:firstLine="8"/>
        <w:spacing w:after="0" w:line="257" w:lineRule="auto"/>
        <w:tabs>
          <w:tab w:leader="none" w:pos="400"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patient privacy, data security and breach notification provisions under HIPAA, as amended by the Health Information Technology for Economic and Clinical Health Act of 2009 (42 U.S.C. §§17921 et seq.); each as amended and the regulations promulgated pursuant to such laws (collectively, “</w:t>
      </w:r>
      <w:r>
        <w:rPr>
          <w:rFonts w:ascii="Arial" w:cs="Arial" w:eastAsia="Arial" w:hAnsi="Arial"/>
          <w:sz w:val="21"/>
          <w:szCs w:val="21"/>
          <w:b w:val="1"/>
          <w:bCs w:val="1"/>
          <w:u w:val="single" w:color="auto"/>
          <w:color w:val="auto"/>
        </w:rPr>
        <w:t>Healthcare Laws</w:t>
      </w:r>
      <w:r>
        <w:rPr>
          <w:rFonts w:ascii="Arial" w:cs="Arial" w:eastAsia="Arial" w:hAnsi="Arial"/>
          <w:sz w:val="21"/>
          <w:szCs w:val="21"/>
          <w:color w:val="auto"/>
        </w:rPr>
        <w:t>”). The Company has not received written notice of any claim, action, suit, proceeding, hearing, enforcement, investigation, arbitration or other action from any arbitrator, court, governmental body, regulatory body, administrative agency, or other authority, body, or agency having jurisdiction over the Company or any Subsidiary (each, a “</w:t>
      </w:r>
      <w:r>
        <w:rPr>
          <w:rFonts w:ascii="Arial" w:cs="Arial" w:eastAsia="Arial" w:hAnsi="Arial"/>
          <w:sz w:val="21"/>
          <w:szCs w:val="21"/>
          <w:b w:val="1"/>
          <w:bCs w:val="1"/>
          <w:u w:val="single" w:color="auto"/>
          <w:color w:val="auto"/>
        </w:rPr>
        <w:t>Governmental Entity</w:t>
      </w:r>
      <w:r>
        <w:rPr>
          <w:rFonts w:ascii="Arial" w:cs="Arial" w:eastAsia="Arial" w:hAnsi="Arial"/>
          <w:sz w:val="21"/>
          <w:szCs w:val="21"/>
          <w:color w:val="auto"/>
        </w:rPr>
        <w:t>”) or third party alleging that any product operation or activity is in violation of any Healthcare Laws, and, to the Company’s Knowledge, no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26" w:name="page127"/>
    <w:bookmarkEnd w:id="126"/>
    <w:p>
      <w:pPr>
        <w:jc w:val="both"/>
        <w:spacing w:after="0" w:line="289" w:lineRule="auto"/>
        <w:rPr>
          <w:sz w:val="20"/>
          <w:szCs w:val="20"/>
          <w:color w:val="auto"/>
        </w:rPr>
      </w:pPr>
      <w:r>
        <w:rPr>
          <w:rFonts w:ascii="Arial" w:cs="Arial" w:eastAsia="Arial" w:hAnsi="Arial"/>
          <w:sz w:val="19"/>
          <w:szCs w:val="19"/>
          <w:color w:val="auto"/>
        </w:rPr>
        <w:t>claim, action, suit, proceeding, hearing, enforcement, investigation, arbitration or other action is threatened, except in each case as would not, individually or in the aggregate, have a Material Adverse Effect. Neither the Company nor any Subsidiary is party to and does not have any ongoing reporting obligations pursuant to any corporate integrity agreement, deferred prosecution agreement, monitoring agreement, consent decree, settlement order, plan of correction or similar agreement with or imposed by any governmental or regulatory authority. Additionally, neither the Company, nor its Subsidiaries, nor any of their respective employees, officers or directors, or to the Company’s knowledge, agents, is or has been excluded, suspended, debarred or is otherwise ineligible from participation in any U.S. state or federal healthcare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57" w:lineRule="exact"/>
        <w:rPr>
          <w:sz w:val="20"/>
          <w:szCs w:val="20"/>
          <w:color w:val="auto"/>
        </w:rPr>
      </w:pPr>
    </w:p>
    <w:p>
      <w:pPr>
        <w:jc w:val="both"/>
        <w:ind w:firstLine="656"/>
        <w:spacing w:after="0" w:line="247" w:lineRule="auto"/>
        <w:tabs>
          <w:tab w:leader="none" w:pos="1291"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Company and each Subsidiary possesses such material permits, licenses, approvals, consents, exemptions, registrations, and other authorizations (collectively, “</w:t>
      </w:r>
      <w:r>
        <w:rPr>
          <w:rFonts w:ascii="Arial" w:cs="Arial" w:eastAsia="Arial" w:hAnsi="Arial"/>
          <w:sz w:val="22"/>
          <w:szCs w:val="22"/>
          <w:b w:val="1"/>
          <w:bCs w:val="1"/>
          <w:u w:val="single" w:color="auto"/>
          <w:color w:val="auto"/>
        </w:rPr>
        <w:t>Governmental Licenses</w:t>
      </w:r>
      <w:r>
        <w:rPr>
          <w:rFonts w:ascii="Arial" w:cs="Arial" w:eastAsia="Arial" w:hAnsi="Arial"/>
          <w:sz w:val="22"/>
          <w:szCs w:val="22"/>
          <w:color w:val="auto"/>
        </w:rPr>
        <w:t>”) issued by the appropriate Governmental Entities necessary to conduct the business now operated by them. The Company is in material compliance with the terms and conditions of all Governmental Licenses, and all Governmental Licenses are valid and in full force and effect. Neither the Company nor any Subsidiary has received any notice of proceedings relating to the revocation or material modification of any Governmental Licenses.</w:t>
      </w:r>
    </w:p>
    <w:p>
      <w:pPr>
        <w:spacing w:after="0" w:line="192" w:lineRule="exact"/>
        <w:rPr>
          <w:rFonts w:ascii="Arial" w:cs="Arial" w:eastAsia="Arial" w:hAnsi="Arial"/>
          <w:sz w:val="22"/>
          <w:szCs w:val="22"/>
          <w:color w:val="auto"/>
        </w:rPr>
      </w:pPr>
    </w:p>
    <w:p>
      <w:pPr>
        <w:jc w:val="both"/>
        <w:ind w:firstLine="656"/>
        <w:spacing w:after="0" w:line="286" w:lineRule="auto"/>
        <w:tabs>
          <w:tab w:leader="none" w:pos="1293"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Company and its Subsidiaries: (i) have not received any Form 483, notice of adverse finding, warning letter, untitled letter or other written correspondence, or to the Company’s knowledge any oral or other notice from any governmental authority alleging or asserting material noncompliance with any Healthcare Laws or the terms of any Governmental Licenses; (ii) have not received written notice of any claim, action, suit, proceeding, hearing, enforcement, investigation, arbitration or other action from any governmental authority or third party alleging that any product operation or activity is in violation of any Healthcare Laws or Governmental Licenses and have no knowledge that any such governmental authority or third party is considering any such claim, litigation, arbitration, action, suit, investigation or proceeding, except in each case as would not, individually or in the aggregate, have a Material Adverse Effect; (iii) (a) have filed, obtained, maintained or submitted all material reports, documents, forms, notices, applications, records, claims, submissions and supplements or amendments as required by any Healthcare Laws or Governmental Licenses, (b) all such reports, documents, forms, notices, applications, records, claims, submissions and supplements or amendments were complete and correct and not misleading in all material respects on the date filed (or were corrected or supplemented by a subsequent submission), and (c) the Company is not aware of any reasonable basis for any material liability with respect to such filings; and (iv) has not, and to the knowledge of the Company, the Company’s officers, employees and agents have not, made any untrue statement of a material fact or fraudulent statement to any Governmental Entity or failed to disclose a material fact required to be disclosed to any Governmental Entity.</w:t>
      </w:r>
    </w:p>
    <w:p>
      <w:pPr>
        <w:spacing w:after="0" w:line="158" w:lineRule="exact"/>
        <w:rPr>
          <w:sz w:val="20"/>
          <w:szCs w:val="20"/>
          <w:color w:val="auto"/>
        </w:rPr>
      </w:pPr>
    </w:p>
    <w:p>
      <w:pPr>
        <w:jc w:val="both"/>
        <w:ind w:firstLine="656"/>
        <w:spacing w:after="0" w:line="253" w:lineRule="auto"/>
        <w:tabs>
          <w:tab w:leader="none" w:pos="1294"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preclinical tests and clinical trials that are described in the Registration Statement or Prospectus were and, if still pending, are being conducted in all material respects in accordance with all applicable Healthcare Laws, including the Federal Food, Drug, and Cosmetic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27" w:name="page128"/>
    <w:bookmarkEnd w:id="127"/>
    <w:p>
      <w:pPr>
        <w:jc w:val="both"/>
        <w:spacing w:after="0" w:line="302" w:lineRule="auto"/>
        <w:rPr>
          <w:sz w:val="20"/>
          <w:szCs w:val="20"/>
          <w:color w:val="auto"/>
        </w:rPr>
      </w:pPr>
      <w:r>
        <w:rPr>
          <w:rFonts w:ascii="Arial" w:cs="Arial" w:eastAsia="Arial" w:hAnsi="Arial"/>
          <w:sz w:val="19"/>
          <w:szCs w:val="19"/>
          <w:color w:val="auto"/>
        </w:rPr>
        <w:t>Act and the regulations set forth at 21 C.F.R. Parts 50, 54, 56, 58 and 312; the Company has no knowledge of any studies or tests the results of which are inconsistent with, or otherwise call into question, the results described in the Prospectus; and neither the Company nor any Subsidiary has received any written notices or other correspondence from any Governmental Entity requiring the termination, suspension or material modification of any preclinical tests or clinical trials.</w:t>
      </w:r>
    </w:p>
    <w:p>
      <w:pPr>
        <w:spacing w:after="0" w:line="1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(ab) Neither the Company nor any of its Subsidiaries nor any of their respective directors, officers, or employees or, to the knowledge of the Company, any agent, representative, or affiliate of the Company or any of its Subsidiaries is, or is owned or controlled by one or more persons that are: (i) the subject or the target of any sanctions administered or enforced by the U.S. Government, including, without limitation, the Office of Foreign Assets Control of the U.S. Department of the Treasury (“</w:t>
      </w:r>
      <w:r>
        <w:rPr>
          <w:rFonts w:ascii="Arial" w:cs="Arial" w:eastAsia="Arial" w:hAnsi="Arial"/>
          <w:sz w:val="19"/>
          <w:szCs w:val="19"/>
          <w:b w:val="1"/>
          <w:bCs w:val="1"/>
          <w:u w:val="single" w:color="auto"/>
          <w:color w:val="auto"/>
        </w:rPr>
        <w:t>OFAC</w:t>
      </w:r>
      <w:r>
        <w:rPr>
          <w:rFonts w:ascii="Arial" w:cs="Arial" w:eastAsia="Arial" w:hAnsi="Arial"/>
          <w:sz w:val="19"/>
          <w:szCs w:val="19"/>
          <w:color w:val="auto"/>
        </w:rPr>
        <w:t>”), or the U.S. Department of State and including, without limitation, the designation as a “specially designated national” or “blocked person,” the European Union, Her Majesty’s Treasury, the United Nations Security Council, or other relevant sanctions authority (collectively, “</w:t>
      </w:r>
      <w:r>
        <w:rPr>
          <w:rFonts w:ascii="Arial" w:cs="Arial" w:eastAsia="Arial" w:hAnsi="Arial"/>
          <w:sz w:val="19"/>
          <w:szCs w:val="19"/>
          <w:b w:val="1"/>
          <w:bCs w:val="1"/>
          <w:u w:val="single" w:color="auto"/>
          <w:color w:val="auto"/>
        </w:rPr>
        <w:t>Sanction</w:t>
      </w:r>
      <w:r>
        <w:rPr>
          <w:rFonts w:ascii="Arial" w:cs="Arial" w:eastAsia="Arial" w:hAnsi="Arial"/>
          <w:sz w:val="19"/>
          <w:szCs w:val="19"/>
          <w:color w:val="auto"/>
        </w:rPr>
        <w:t>s”), or (ii) located, organized or resident in a country or territory that is the subject or target of Sanctions (including, without limitation, Crimea, Cuba, Iran, North Korea, and Syria). The Company will not directly or indirectly use the proceeds of the offering of the Placement Shares hereunder, or lend, contribute or otherwise make available such proceeds to any subsidiary, joint venture partner or other person or entity (x) to fund or facilitate any activities of or business with any person, or in any country or territory, that, at the time of such funding or facilitation, is the subject or the target of Sanctions or (y) in any other manner that will result in a violation by any person (including any person participating in the transaction, whether as underwriter, advisor, investor or otherwise) of Sanctions.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(ac) The financial statements included or incorporated by reference in the Registration Statement and the Prospectus, together with the related schedules and notes, present fairly, in all material respects, the financial position of the Company and its Subsidiaries at the dates indicated and the statement of operations, stockholders’ equity and cash flows of the Company for the periods specified; said financial statements have been prepared in conformity with U.S. generally accepted accounting principles (“</w:t>
      </w:r>
      <w:r>
        <w:rPr>
          <w:rFonts w:ascii="Arial" w:cs="Arial" w:eastAsia="Arial" w:hAnsi="Arial"/>
          <w:sz w:val="19"/>
          <w:szCs w:val="19"/>
          <w:b w:val="1"/>
          <w:bCs w:val="1"/>
          <w:u w:val="single" w:color="auto"/>
          <w:color w:val="auto"/>
        </w:rPr>
        <w:t>GAAP</w:t>
      </w:r>
      <w:r>
        <w:rPr>
          <w:rFonts w:ascii="Arial" w:cs="Arial" w:eastAsia="Arial" w:hAnsi="Arial"/>
          <w:sz w:val="19"/>
          <w:szCs w:val="19"/>
          <w:color w:val="auto"/>
        </w:rPr>
        <w:t>”) applied on a consistent basis throughout the periods involved. The supporting schedules, if any, present fairly in accordance with GAAP the information required to be stated therein. The selected financial data and the summary financial information included in the Registration Statement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or the Prospectus under the Act or the rules and regulations promulgated thereunder.</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(ad) There are no debt securities, convertible securities or preferred stock issued or guaranteed by the Company that are rated by a “nationally recognized statistical rating organization”, as such term is defined in Section 3(a)(62) under the Exchange Act.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(ae) From the time of initial confidential submission of the registration statement relating to the Company’s initial public offering with the Commission through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28" w:name="page129"/>
    <w:bookmarkEnd w:id="128"/>
    <w:p>
      <w:pPr>
        <w:jc w:val="both"/>
        <w:spacing w:after="0" w:line="269" w:lineRule="auto"/>
        <w:rPr>
          <w:sz w:val="20"/>
          <w:szCs w:val="20"/>
          <w:color w:val="auto"/>
        </w:rPr>
      </w:pPr>
      <w:r>
        <w:rPr>
          <w:rFonts w:ascii="Arial" w:cs="Arial" w:eastAsia="Arial" w:hAnsi="Arial"/>
          <w:sz w:val="22"/>
          <w:szCs w:val="22"/>
          <w:color w:val="auto"/>
        </w:rPr>
        <w:t>the Company has been and is an “emerging growth company” as defined in Section 2(a)(19) of the Act (an “</w:t>
      </w:r>
      <w:r>
        <w:rPr>
          <w:rFonts w:ascii="Arial" w:cs="Arial" w:eastAsia="Arial" w:hAnsi="Arial"/>
          <w:sz w:val="22"/>
          <w:szCs w:val="22"/>
          <w:b w:val="1"/>
          <w:bCs w:val="1"/>
          <w:u w:val="single" w:color="auto"/>
          <w:color w:val="auto"/>
        </w:rPr>
        <w:t>Emerging Growth</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(af) There are no persons with registration rights or other similar rights to have any securities registered pursuant to the Registration Statement or otherwise registered by the Company under the Act except as have been validly waived or complied with.</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(ag) The Company’s and each of the Subsidiary’s information technology assets and equipment, computers, systems, networks, hardware, software, websites, applications, and databases (collectively, “</w:t>
      </w:r>
      <w:r>
        <w:rPr>
          <w:rFonts w:ascii="Arial" w:cs="Arial" w:eastAsia="Arial" w:hAnsi="Arial"/>
          <w:sz w:val="19"/>
          <w:szCs w:val="19"/>
          <w:b w:val="1"/>
          <w:bCs w:val="1"/>
          <w:u w:val="single" w:color="auto"/>
          <w:color w:val="auto"/>
        </w:rPr>
        <w:t>IT Systems</w:t>
      </w:r>
      <w:r>
        <w:rPr>
          <w:rFonts w:ascii="Arial" w:cs="Arial" w:eastAsia="Arial" w:hAnsi="Arial"/>
          <w:sz w:val="19"/>
          <w:szCs w:val="19"/>
          <w:color w:val="auto"/>
        </w:rPr>
        <w:t>”) are adequate for, and operate and perform in all material respects as required in connection with the operation of the business of the Company and its Subsidiaries as currently conducted, and, to the knowledge of the Company, are free and clear of all material bugs, errors, defects, Trojan horses, time bombs, malware and other corruptants. The Company and each of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9"/>
          <w:szCs w:val="19"/>
          <w:b w:val="1"/>
          <w:bCs w:val="1"/>
          <w:u w:val="single" w:color="auto"/>
          <w:color w:val="auto"/>
        </w:rPr>
        <w:t>Personal Data</w:t>
      </w:r>
      <w:r>
        <w:rPr>
          <w:rFonts w:ascii="Arial" w:cs="Arial" w:eastAsia="Arial" w:hAnsi="Arial"/>
          <w:sz w:val="19"/>
          <w:szCs w:val="19"/>
          <w:color w:val="auto"/>
        </w:rPr>
        <w:t>”)) used in connection with its businesses, and there have been no breaches, violations, outages or unauthorized uses of or accesses to the same, except for those that have been remedied without material cost or liability or the duty to notify any other person, nor any incidents under internal review or investigations relating to the same. The Company and each Subsidiary is presently, and at all times has been, in material compliance with all applicable data privacy and security laws and regulations, including the European Union General Data Protection Regulation) (EU 2016/679), and all judgments, orders, rules and regulations of any court or arbitrator or governmental or regulatory authority, internal policies and contractual obligations relating to the privacy and security of IT Systems and Personal Data, and Personal Data and to the protection of such IT Systems and Personal Data from unauthorized use, access, misappropriation or modification, except as would not, individually or in the aggregate, have a Material Adverse Effect. The Company and each Subsidiary has taken or is currently taking all necessary actions to comply with all other applicable laws and regulations with respect to Personal Data that have been announced as of the date hereof as becoming effective within 12 months after the date hereof, and for which any non-compliance with the same would be reasonably likely to create a material liability, as soon as reasonably practicable as they take effect.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(ah) The Company and the Subsidiaries have filed all tax returns required to be filed by it through the date hereof, or has duly requested extensions thereof (except where the failure to file would not, individually or in the aggregate, reasonably be expected to have a Material Adverse Effect), and has paid all taxes shown as due thereon (except for cases in which the failure to file or pay would not, individually or in the aggregate, reasonably be expected to have a Material Adverse Effect or, except as currently being contested in good faith and for which reserves required by U.S. GAAP have been created in the financial statements of the Company), and all such tax returns are true and correct in all material respects. No deficiencies for taxes of the Company or any Subsidiary has been assessed by a tax authority, and no deficiencies for taxes of the Company or any Subsidiary has, to the Company’s knowledge, been proposed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2" w:right="339" w:bottom="1440" w:gutter="0" w:footer="0" w:header="0"/>
        </w:sectPr>
      </w:pPr>
    </w:p>
    <w:bookmarkStart w:id="129" w:name="page130"/>
    <w:bookmarkEnd w:id="129"/>
    <w:p>
      <w:pPr>
        <w:jc w:val="both"/>
        <w:ind w:right="20"/>
        <w:spacing w:after="0" w:line="263" w:lineRule="auto"/>
        <w:rPr>
          <w:sz w:val="20"/>
          <w:szCs w:val="20"/>
          <w:color w:val="auto"/>
        </w:rPr>
      </w:pPr>
      <w:r>
        <w:rPr>
          <w:rFonts w:ascii="Arial" w:cs="Arial" w:eastAsia="Arial" w:hAnsi="Arial"/>
          <w:sz w:val="22"/>
          <w:szCs w:val="22"/>
          <w:color w:val="auto"/>
        </w:rPr>
        <w:t>tax authority, except for such deficiencies as would not, individually or in the aggregate, reasonably be expected to have a Material Adverse Effect.</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(ai) The Company and its Subsidiaries own, or have obtained valid and enforceable licenses for, the inventions, patent applications, patents, trademarks, trade names, service names, copyrights, know-how, trade secrets and other intellectual property described in the Registration Statement and the Prospectus as being owned or licensed by the Company or the Subsidiaries or which are necessary for the conduct of the Company’s or any Subsidiary’s business as currently conducted or as currently proposed to be conducted in the Registration Statement and the Prospectus (collectively, “</w:t>
      </w:r>
      <w:r>
        <w:rPr>
          <w:rFonts w:ascii="Arial" w:cs="Arial" w:eastAsia="Arial" w:hAnsi="Arial"/>
          <w:sz w:val="19"/>
          <w:szCs w:val="19"/>
          <w:b w:val="1"/>
          <w:bCs w:val="1"/>
          <w:u w:val="single" w:color="auto"/>
          <w:color w:val="auto"/>
        </w:rPr>
        <w:t>Intellectual Property</w:t>
      </w:r>
      <w:r>
        <w:rPr>
          <w:rFonts w:ascii="Arial" w:cs="Arial" w:eastAsia="Arial" w:hAnsi="Arial"/>
          <w:sz w:val="19"/>
          <w:szCs w:val="19"/>
          <w:color w:val="auto"/>
        </w:rPr>
        <w:t>”), and there are no unreleased liens or security interests which have been filed against any of the patents owned by the Company or any Subsidiary.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the Subsidiaries, and the Company and the Subsidiaries have taken all reasonable steps necessary to secure their respective interests in the Intellectual Property from its employees and contractors;</w:t>
      </w:r>
    </w:p>
    <w:p>
      <w:pPr>
        <w:spacing w:after="0" w:line="7" w:lineRule="exact"/>
        <w:rPr>
          <w:sz w:val="20"/>
          <w:szCs w:val="20"/>
          <w:color w:val="auto"/>
        </w:rPr>
      </w:pPr>
    </w:p>
    <w:p>
      <w:pPr>
        <w:jc w:val="both"/>
        <w:ind w:firstLine="8"/>
        <w:spacing w:after="0" w:line="284" w:lineRule="auto"/>
        <w:tabs>
          <w:tab w:leader="none" w:pos="324"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there is no infringement, misappropriation or violation by third parties of any Intellectual Property; (iii) neither the Company nor any of the Subsidiaries is infringing, misappropriating or violating the intellectual property rights of third parties; (iv) the Company and the Subsidiaries are the sole owner of the Intellectual Property owned by them and has the valid right to use such Intellectual Property; and (v) no employee of the Company or any Subsidiary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Subsidiary. There is no pending or, to the Company’s knowledge, threatened action, suit, proceeding or claim by others: (A) challenging the Company’s or any Subsidiary’s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either the Company or any Subsidiary infringes or otherwise violates, or would, upon the commercialization of any product or service described in the Registration Statement and the Prospectus as under development, infringe, misappropriate or violate, any patent, trademark, trade name, service name, copyright, trade secret or other proprietary rights of others, and the Company is unaware of any facts which would form a reasonable basis for any such action, suit, proceeding or claim. The Company and each Subsidiary has complied with the terms of each agreement pursuant to which Intellectual Property has been licensed to the Company or any Subsidiary, and all such agreements are in full force and effect. The product candidates described in the Registration Statement and the Prospectus as under development by the Company or any Subsidiary fall within the scope of the claims of one or more patents or patent applications owned by, or exclusively licensed to, the Company or any Subsidiary.</w:t>
      </w:r>
    </w:p>
    <w:p>
      <w:pPr>
        <w:spacing w:after="0" w:line="15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(aj) All patents and patent applications owned by or exclusively licensed to the Company or any Subsidiary or under which the Company or any Subsidiary has rights have,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90" w:lineRule="auto"/>
        <w:rPr>
          <w:sz w:val="20"/>
          <w:szCs w:val="20"/>
          <w:color w:val="auto"/>
        </w:rPr>
      </w:pPr>
      <w:r>
        <w:rPr>
          <w:rFonts w:ascii="Arial" w:cs="Arial" w:eastAsia="Arial" w:hAnsi="Arial"/>
          <w:sz w:val="19"/>
          <w:szCs w:val="19"/>
          <w:color w:val="auto"/>
        </w:rPr>
        <w:t>the knowledge of the Company, been duly and properly filed and each issued patent is being diligently maintained; to the knowledge of the Company, the parties prosecuting such applications have complied with their duty of candor and disclosure to the U.S. Patent and Trademark Office (the “</w:t>
      </w:r>
      <w:r>
        <w:rPr>
          <w:rFonts w:ascii="Arial" w:cs="Arial" w:eastAsia="Arial" w:hAnsi="Arial"/>
          <w:sz w:val="19"/>
          <w:szCs w:val="19"/>
          <w:b w:val="1"/>
          <w:bCs w:val="1"/>
          <w:u w:val="single" w:color="auto"/>
          <w:color w:val="auto"/>
        </w:rPr>
        <w:t>USPTO</w:t>
      </w:r>
      <w:r>
        <w:rPr>
          <w:rFonts w:ascii="Arial" w:cs="Arial" w:eastAsia="Arial" w:hAnsi="Arial"/>
          <w:sz w:val="19"/>
          <w:szCs w:val="19"/>
          <w:color w:val="auto"/>
        </w:rPr>
        <w:t>”) in connection with such applications; to the Company’s knowledge, there is no prior art material to any patent or patent application of the Intellectual Property of the Company that may render any U.S. patent held by the Company or any Subsidiary invalid or any U.S. patent application held by the Company or any Subsidiary unpatentable;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been issued with respect to such applications.</w:t>
      </w:r>
    </w:p>
    <w:p>
      <w:pPr>
        <w:spacing w:after="0" w:line="1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(ak) (i) the Company and each Subsidiary (x) is in compliance with all, and has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Arial" w:cs="Arial" w:eastAsia="Arial" w:hAnsi="Arial"/>
          <w:sz w:val="19"/>
          <w:szCs w:val="19"/>
          <w:b w:val="1"/>
          <w:bCs w:val="1"/>
          <w:u w:val="single" w:color="auto"/>
          <w:color w:val="auto"/>
        </w:rPr>
        <w:t>Environmental Laws</w:t>
      </w:r>
      <w:r>
        <w:rPr>
          <w:rFonts w:ascii="Arial" w:cs="Arial" w:eastAsia="Arial" w:hAnsi="Arial"/>
          <w:sz w:val="19"/>
          <w:szCs w:val="19"/>
          <w:color w:val="auto"/>
        </w:rPr>
        <w:t>”); (y) has received and is in compliance with all, and have not violated any, permits, licenses, certificates or other authorizations or approvals required of it under any Environmental Laws to conduct its businesses; and (z) has not received written notice of any actual or potential liability by the Company or any Subsidiary or obligation of the Company or any Subsidiary under or relating to, or any actual or potential violation of, any Environmental Laws by the Company or any Subsidiary,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any Subsidiary, except in the case of each of (i) and (ii) above, for any such matter as would not, individually or in the aggregate, reasonably be expected to have a Material Adverse Effect; and (iii) except as described in each of the Registration Statement and the Prospectus, (x) there is no proceeding that is pending, or that is known by the Company to be contemplated, against the Company or any Subsidiary under any Environmental Laws in which a governmental entity is also a party, other than such proceeding regarding which the Company reasonably believes no monetary sanctions of $100,000 or more will be imposed, (y) the Company is not aware of any facts or issues regarding compliance with Environmental Laws, or liabilities or other obligations under Environmental Laws or concerning hazardous or toxic substances or wastes, pollutants or contaminants, that would, individually or in the aggregate, reasonably be expected to have a Material Adverse Effect, and (z) the Company does not anticipate material capital expenditures relating to any Environmental Laws.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(al) No labor disturbance by or dispute with the employees of the Company or any Subsidiary exists or, to the knowledge of the Company, is contemplated or threatened, and the Company is not aware of any existing or imminent labor disturbance by, or dispute with, the employees of any of its principal suppliers, manufacturers, customers or contractors, which, in either case, would, individually or in the aggregate,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31" w:name="page132"/>
    <w:bookmarkEnd w:id="131"/>
    <w:p>
      <w:pPr>
        <w:jc w:val="both"/>
        <w:ind w:firstLine="648"/>
        <w:spacing w:after="0" w:line="286" w:lineRule="auto"/>
        <w:rPr>
          <w:sz w:val="20"/>
          <w:szCs w:val="20"/>
          <w:color w:val="auto"/>
        </w:rPr>
      </w:pPr>
      <w:r>
        <w:rPr>
          <w:rFonts w:ascii="Arial" w:cs="Arial" w:eastAsia="Arial" w:hAnsi="Arial"/>
          <w:sz w:val="19"/>
          <w:szCs w:val="19"/>
          <w:color w:val="auto"/>
        </w:rPr>
        <w:t>(am) )(i) Except as would not, individually or in the aggregate, reasonably be expected to result in a Material Adverse Effect, each employee benefit plan, within the meaning of Section 3(3) of the Employee Retirement Income Security Act of 1974, as amended (“</w:t>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has been maintained in material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 none of the Plans are subject to Section 412 of the Code or Section 302 or Title IV of ERISA; (iv) neither the Company nor any member of the Controlled Group has incurred, nor reasonably expects to incur, any material liability under Title IV of ERISA in respect of a Plan (including a “multiemployer plan” within the meaning of Section 4001(a)(3) of ERISA); and (v) each Plan that is intended to be qualified under Section 401(a) of the Code is so qualified, and nothing has occurred, whether by action or by failure to act, which would cause the loss of such qualification.</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(an) There are no business relationships or related-party transactions involving the Company or any Subsidiary or any other person required to be described in the Prospectus that have not been described as required.</w:t>
      </w:r>
    </w:p>
    <w:p>
      <w:pPr>
        <w:spacing w:after="0" w:line="15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(ao) The Company and each Subsidiary has insurance against such losses and risks and in such amounts as are, in the Company’s reasonable judgment, prudent and customary for the size of the business and the industry in which it is engaged and neither the Company nor any Subsidiary has not received notice from any insurer or agent of such insurer that capital improvements or other expenditures are required or necessary to be made in order to continue such insurance nor does the Company have any reason to believe that it will not be able to renew its existing insurance coverage as and when such coverage expires or to obtain similar coverage at reasonable cost from similar insurers as may be necessary to continue its business.</w:t>
      </w:r>
    </w:p>
    <w:p>
      <w:pPr>
        <w:spacing w:after="0" w:line="149"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(ap) Except for Cowen, there is no broker, finder or other party that is entitled to receive from the Company any brokerage or finder’s fee or other fee or commission as a result of any transactions contemplated by this Agreement.</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(aq) The Company has not, and, to its knowledge, no one acting on its behalf (other than Cowen) has taken, directly or indirectly, any action designed to or that could reasonably be expected to cause or result in any stabilization or manipulation of the price of the Placement Shares.</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(ar) The statistical and market-related data included in the Prospectus are based on or derived from sources that the Company believes to be reliable and accurate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32" w:name="page133"/>
    <w:bookmarkEnd w:id="132"/>
    <w:p>
      <w:pPr>
        <w:jc w:val="both"/>
        <w:ind w:firstLine="648"/>
        <w:spacing w:after="0" w:line="253" w:lineRule="auto"/>
        <w:rPr>
          <w:sz w:val="20"/>
          <w:szCs w:val="20"/>
          <w:color w:val="auto"/>
        </w:rPr>
      </w:pPr>
      <w:r>
        <w:rPr>
          <w:rFonts w:ascii="Arial" w:cs="Arial" w:eastAsia="Arial" w:hAnsi="Arial"/>
          <w:sz w:val="22"/>
          <w:szCs w:val="22"/>
          <w:color w:val="auto"/>
        </w:rPr>
        <w:t>(as) The interactive data in XBRL, if any, included or incorporated by reference in the Registration Statement fairly presents the information called for in all material respects and has been prepared in accordance with the Commission’s rules and guidelines applicable thereto to the extent required.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(at) 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(au)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(av)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(aw)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(ax) The Company has not relied upon Cowen or legal counsel for Cowen for any legal, tax or accounting advice in connection with the offering and sale of the Placement Shares.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(ay)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167"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Any certificate signed by an officer of the Company and delivered to Cowen or to counsel for Cowen pursuant to or in connection with this Agreement shall be deemed to be a representation and warranty by the Company to Cowen as to the matters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133" w:name="page134"/>
    <w:bookmarkEnd w:id="133"/>
    <w:p>
      <w:pPr>
        <w:jc w:val="both"/>
        <w:spacing w:after="0" w:line="253" w:lineRule="auto"/>
        <w:rPr>
          <w:sz w:val="20"/>
          <w:szCs w:val="20"/>
          <w:color w:val="auto"/>
        </w:rPr>
      </w:pPr>
      <w:r>
        <w:rPr>
          <w:rFonts w:ascii="Arial" w:cs="Arial" w:eastAsia="Arial" w:hAnsi="Arial"/>
          <w:sz w:val="22"/>
          <w:szCs w:val="22"/>
          <w:color w:val="auto"/>
        </w:rPr>
        <w:t xml:space="preserve">The Company acknowledges that Cowen and, for purposes of the opinions to be delivered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hereof, counsel to the Company and counsel to Cowen, will rely upon the accuracy and truthfulness of the foregoing representations and hereby consents to such reliance.</w:t>
      </w:r>
    </w:p>
    <w:p>
      <w:pPr>
        <w:spacing w:after="0" w:line="185"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Cowen that:</w:t>
      </w:r>
    </w:p>
    <w:p>
      <w:pPr>
        <w:spacing w:after="0" w:line="220" w:lineRule="exact"/>
        <w:rPr>
          <w:sz w:val="20"/>
          <w:szCs w:val="20"/>
          <w:color w:val="auto"/>
        </w:rPr>
      </w:pPr>
    </w:p>
    <w:p>
      <w:pPr>
        <w:jc w:val="both"/>
        <w:ind w:firstLine="656"/>
        <w:spacing w:after="0" w:line="284" w:lineRule="auto"/>
        <w:tabs>
          <w:tab w:leader="none" w:pos="1293"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Registration Statement Amendments</w:t>
      </w:r>
      <w:r>
        <w:rPr>
          <w:rFonts w:ascii="Arial" w:cs="Arial" w:eastAsia="Arial" w:hAnsi="Arial"/>
          <w:sz w:val="19"/>
          <w:szCs w:val="19"/>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transactions contemplated hereby), (ii) the Company will prepare and file with the Commission, promptly upon Cowen’s reasonable request, any amendments or supplements to the Registration Statement or Prospectus that, in Cowen’s reasonable opinion, may be necessary or advisable in connection with the distribution of the Placement Shares by Cowen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failure of Cowen to make such request shall not relieve the Company of any obligation or liability hereunder, or affect Cowen’s right to rely on the representations and warranties made by the Company in this Agreement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only remedy Cowen shall have with respect to the failure by the Company to make such filing (other than Cowen’s rights under Section 9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thereto in writing within two business days (</w:t>
      </w:r>
      <w:r>
        <w:rPr>
          <w:rFonts w:ascii="Arial" w:cs="Arial" w:eastAsia="Arial" w:hAnsi="Arial"/>
          <w:sz w:val="19"/>
          <w:szCs w:val="19"/>
          <w:i w:val="1"/>
          <w:iCs w:val="1"/>
          <w:color w:val="auto"/>
        </w:rPr>
        <w:t>provided, however</w:t>
      </w:r>
      <w:r>
        <w:rPr>
          <w:rFonts w:ascii="Arial" w:cs="Arial" w:eastAsia="Arial" w:hAnsi="Arial"/>
          <w:sz w:val="19"/>
          <w:szCs w:val="19"/>
          <w:color w:val="auto"/>
        </w:rPr>
        <w:t>, that (A) the failure of Cowen to make such objection shall not relieve the Company of any obligation or liability hereunder, or affect Cowen’s right to rely on the representations and warranties made by the Company in this Agreement, (B) the Company has no obligation to provide Cowen any advance copy of such filing or to provide Cowen an opportunity to object to such filing if the filing does not name Cowen and does not relate to the transaction herein and (C) the only remedy Cowen shall have with respect to the failure by the Company to provide Cowen with such copy, to make such filings, or to obtain such consent (other than Cowen’s rights under Section 9 hereof) shall be to cease making sales under this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Cowen if at any time the Registration Statement shall no longer be effective as a result of the passage of time pursuant to Rule 415 under the Securities 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134" w:name="page135"/>
    <w:bookmarkEnd w:id="134"/>
    <w:p>
      <w:pPr>
        <w:jc w:val="both"/>
        <w:ind w:firstLine="656"/>
        <w:spacing w:after="0" w:line="297" w:lineRule="auto"/>
        <w:tabs>
          <w:tab w:leader="none" w:pos="1291"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Notice of Commission Stop Orders</w:t>
      </w:r>
      <w:r>
        <w:rPr>
          <w:rFonts w:ascii="Arial" w:cs="Arial" w:eastAsia="Arial" w:hAnsi="Arial"/>
          <w:sz w:val="19"/>
          <w:szCs w:val="19"/>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46" w:lineRule="exact"/>
        <w:rPr>
          <w:rFonts w:ascii="Arial" w:cs="Arial" w:eastAsia="Arial" w:hAnsi="Arial"/>
          <w:sz w:val="19"/>
          <w:szCs w:val="19"/>
          <w:color w:val="auto"/>
        </w:rPr>
      </w:pPr>
    </w:p>
    <w:p>
      <w:pPr>
        <w:jc w:val="both"/>
        <w:ind w:firstLine="656"/>
        <w:spacing w:after="0" w:line="286" w:lineRule="auto"/>
        <w:tabs>
          <w:tab w:leader="none" w:pos="1293"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Delivery of Prospectus; Subsequent Changes</w:t>
      </w:r>
      <w:r>
        <w:rPr>
          <w:rFonts w:ascii="Arial" w:cs="Arial" w:eastAsia="Arial" w:hAnsi="Arial"/>
          <w:sz w:val="19"/>
          <w:szCs w:val="19"/>
          <w:color w:val="auto"/>
        </w:rPr>
        <w:t>.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commercially reasonable efforts to comply with all requirements imposed upon it by the Securities Act, as from time to time in force, and to file on or before their respective due dates taking into account any extensions available under the Exchange Act</w:t>
      </w:r>
      <w:r>
        <w:rPr>
          <w:rFonts w:ascii="Arial" w:cs="Arial" w:eastAsia="Arial" w:hAnsi="Arial"/>
          <w:sz w:val="19"/>
          <w:szCs w:val="19"/>
          <w:b w:val="1"/>
          <w:bCs w:val="1"/>
          <w:color w:val="auto"/>
        </w:rPr>
        <w:t>)</w:t>
      </w:r>
      <w:r>
        <w:rPr>
          <w:rFonts w:ascii="Arial" w:cs="Arial" w:eastAsia="Arial" w:hAnsi="Arial"/>
          <w:sz w:val="19"/>
          <w:szCs w:val="19"/>
          <w:color w:val="auto"/>
        </w:rPr>
        <w:t xml:space="preserve">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Cowen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reasonable judgment of the Company, it is in the best interest of the Company to do so, provided that no Placement Notice is in effect during such time.</w:t>
      </w:r>
    </w:p>
    <w:p>
      <w:pPr>
        <w:spacing w:after="0" w:line="158" w:lineRule="exact"/>
        <w:rPr>
          <w:rFonts w:ascii="Arial" w:cs="Arial" w:eastAsia="Arial" w:hAnsi="Arial"/>
          <w:sz w:val="19"/>
          <w:szCs w:val="19"/>
          <w:color w:val="auto"/>
        </w:rPr>
      </w:pPr>
    </w:p>
    <w:p>
      <w:pPr>
        <w:jc w:val="both"/>
        <w:ind w:firstLine="656"/>
        <w:spacing w:after="0" w:line="259" w:lineRule="auto"/>
        <w:tabs>
          <w:tab w:leader="none" w:pos="1291"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Listing of Placement Shares</w:t>
      </w:r>
      <w:r>
        <w:rPr>
          <w:rFonts w:ascii="Arial" w:cs="Arial" w:eastAsia="Arial" w:hAnsi="Arial"/>
          <w:sz w:val="21"/>
          <w:szCs w:val="21"/>
          <w:color w:val="auto"/>
        </w:rPr>
        <w:t xml:space="preserve">.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Cowen reasonably designates and to continue such qualifications in effect so long as required for the distribution of the Placement Shares;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 shall not be required in connection therewith to qualify as a foreign corporation or dealer in securities or file a general consent to service of process in any jurisdiction.</w:t>
      </w:r>
    </w:p>
    <w:p>
      <w:pPr>
        <w:spacing w:after="0" w:line="183" w:lineRule="exact"/>
        <w:rPr>
          <w:rFonts w:ascii="Arial" w:cs="Arial" w:eastAsia="Arial" w:hAnsi="Arial"/>
          <w:sz w:val="21"/>
          <w:szCs w:val="21"/>
          <w:color w:val="auto"/>
        </w:rPr>
      </w:pPr>
    </w:p>
    <w:p>
      <w:pPr>
        <w:jc w:val="both"/>
        <w:ind w:firstLine="656"/>
        <w:spacing w:after="0" w:line="263" w:lineRule="auto"/>
        <w:tabs>
          <w:tab w:leader="none" w:pos="1293"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Delivery of Registration Statement and Prospectus</w:t>
      </w:r>
      <w:r>
        <w:rPr>
          <w:rFonts w:ascii="Arial" w:cs="Arial" w:eastAsia="Arial" w:hAnsi="Arial"/>
          <w:sz w:val="21"/>
          <w:szCs w:val="21"/>
          <w:color w:val="auto"/>
        </w:rPr>
        <w:t>.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7" w:right="339" w:bottom="1440" w:gutter="0" w:footer="0" w:header="0"/>
        </w:sectPr>
      </w:pPr>
    </w:p>
    <w:bookmarkStart w:id="135" w:name="page136"/>
    <w:bookmarkEnd w:id="135"/>
    <w:p>
      <w:pPr>
        <w:jc w:val="both"/>
        <w:spacing w:after="0" w:line="302" w:lineRule="auto"/>
        <w:rPr>
          <w:sz w:val="20"/>
          <w:szCs w:val="20"/>
          <w:color w:val="auto"/>
        </w:rPr>
      </w:pPr>
      <w:r>
        <w:rPr>
          <w:rFonts w:ascii="Arial" w:cs="Arial" w:eastAsia="Arial" w:hAnsi="Arial"/>
          <w:sz w:val="19"/>
          <w:szCs w:val="19"/>
          <w:color w:val="auto"/>
        </w:rPr>
        <w:t xml:space="preserve">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shall not be required to furnish any document (other than the Prospectus) to Cowen to the extent such document is available on EDGAR.</w:t>
      </w:r>
    </w:p>
    <w:p>
      <w:pPr>
        <w:spacing w:after="0" w:line="142" w:lineRule="exact"/>
        <w:rPr>
          <w:sz w:val="20"/>
          <w:szCs w:val="20"/>
          <w:color w:val="auto"/>
        </w:rPr>
      </w:pPr>
    </w:p>
    <w:p>
      <w:pPr>
        <w:jc w:val="both"/>
        <w:ind w:firstLine="656"/>
        <w:spacing w:after="0" w:line="271" w:lineRule="auto"/>
        <w:tabs>
          <w:tab w:leader="none" w:pos="1296"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Earnings Statement</w:t>
      </w:r>
      <w:r>
        <w:rPr>
          <w:rFonts w:ascii="Arial" w:cs="Arial" w:eastAsia="Arial" w:hAnsi="Arial"/>
          <w:sz w:val="21"/>
          <w:szCs w:val="21"/>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67" w:lineRule="exact"/>
        <w:rPr>
          <w:rFonts w:ascii="Arial" w:cs="Arial" w:eastAsia="Arial" w:hAnsi="Arial"/>
          <w:sz w:val="21"/>
          <w:szCs w:val="21"/>
          <w:color w:val="auto"/>
        </w:rPr>
      </w:pPr>
    </w:p>
    <w:p>
      <w:pPr>
        <w:jc w:val="both"/>
        <w:ind w:firstLine="656"/>
        <w:spacing w:after="0" w:line="287" w:lineRule="auto"/>
        <w:tabs>
          <w:tab w:leader="none" w:pos="1291"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Company, whether or not the transactions contemplated hereunder are consummated or this Agreement is terminated, in accordance with the provisions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Arial" w:cs="Arial" w:eastAsia="Arial" w:hAnsi="Arial"/>
          <w:sz w:val="19"/>
          <w:szCs w:val="19"/>
          <w:u w:val="single" w:color="auto"/>
          <w:color w:val="auto"/>
        </w:rPr>
        <w:t>Section 7(d)</w:t>
      </w:r>
      <w:r>
        <w:rPr>
          <w:rFonts w:ascii="Arial" w:cs="Arial" w:eastAsia="Arial" w:hAnsi="Arial"/>
          <w:sz w:val="19"/>
          <w:szCs w:val="19"/>
          <w:color w:val="auto"/>
        </w:rPr>
        <w:t xml:space="preserve"> of this Agreement, including filing fees (provided, however, that any fees or disbursements of counsel for Cowen in connection therewith shall be paid by Cowen except as set forth in (vii) below), (iv) the printing and delivery to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Cowen’s outside counsel for filings with the FINRA Corporate Financing Department, such legal expense reimbursement not to exceed $15,000 and, (viii) the reasonable fees and disbursements of Cowen’s counsel in an amount not to exceed $50,000.</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firstLine="656"/>
        <w:spacing w:after="0" w:line="263" w:lineRule="auto"/>
        <w:tabs>
          <w:tab w:leader="none" w:pos="1291"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174" w:lineRule="exact"/>
        <w:rPr>
          <w:rFonts w:ascii="Arial" w:cs="Arial" w:eastAsia="Arial" w:hAnsi="Arial"/>
          <w:sz w:val="22"/>
          <w:szCs w:val="22"/>
          <w:color w:val="auto"/>
        </w:rPr>
      </w:pPr>
    </w:p>
    <w:p>
      <w:pPr>
        <w:jc w:val="both"/>
        <w:ind w:firstLine="656"/>
        <w:spacing w:after="0" w:line="288" w:lineRule="auto"/>
        <w:tabs>
          <w:tab w:leader="none" w:pos="1284"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Notice of Other Sales</w:t>
      </w:r>
      <w:r>
        <w:rPr>
          <w:rFonts w:ascii="Arial" w:cs="Arial" w:eastAsia="Arial" w:hAnsi="Arial"/>
          <w:sz w:val="19"/>
          <w:szCs w:val="19"/>
          <w:color w:val="auto"/>
        </w:rPr>
        <w:t xml:space="preserve">. During the pendency of any Placement Notice given hereunder, and for 5 trading days following the termination of any Placement Notice given hereunder, the Company shall provide Cowen notice as promptly as reasonably practicable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19"/>
          <w:szCs w:val="19"/>
          <w:i w:val="1"/>
          <w:iCs w:val="1"/>
          <w:color w:val="auto"/>
        </w:rPr>
        <w:t>provided</w:t>
      </w:r>
      <w:r>
        <w:rPr>
          <w:rFonts w:ascii="Arial" w:cs="Arial" w:eastAsia="Arial" w:hAnsi="Arial"/>
          <w:sz w:val="19"/>
          <w:szCs w:val="19"/>
          <w:color w:val="auto"/>
        </w:rPr>
        <w:t>, that such notice shall not be required in connection with the (i) offer, issuance, grant or sale of Common Stock (including restricted Common Stock), options to purchase shares of Common Stock or Common Stock, restricted stock units or other equity awards issuable upon the exercise of options or other equity awards pursuant to any stock option, stock bonus or other stock plan or arrangement described in the Prospectus, (ii) the offer or issuance of securities in connection with an acquisition, merger or sale or purchase or license of assets, (iii) the issuance or sale of Common Stock pursuant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7" w:right="339" w:bottom="1440" w:gutter="0" w:footer="0" w:header="0"/>
        </w:sectPr>
      </w:pPr>
    </w:p>
    <w:bookmarkStart w:id="136" w:name="page137"/>
    <w:bookmarkEnd w:id="136"/>
    <w:p>
      <w:pPr>
        <w:jc w:val="both"/>
        <w:spacing w:after="0" w:line="288" w:lineRule="auto"/>
        <w:rPr>
          <w:sz w:val="20"/>
          <w:szCs w:val="20"/>
          <w:color w:val="auto"/>
        </w:rPr>
      </w:pPr>
      <w:r>
        <w:rPr>
          <w:rFonts w:ascii="Arial" w:cs="Arial" w:eastAsia="Arial" w:hAnsi="Arial"/>
          <w:sz w:val="19"/>
          <w:szCs w:val="19"/>
          <w:color w:val="auto"/>
        </w:rPr>
        <w:t>dividend reinvestment plan that the Company may adopt from time to time provided the implementation of such is disclosed to Cowen in advance or (iv) any shares of Common Stock, or securities convertible into or exercisable for Common Stock, offered and sold in a privately negotiated transaction to vendors, customers, investors, strategic partners or potential strategic partners and otherwise conducted in a manner so as not to be integrated with the offering of Placement Shares hereby or (v) the issuance or sale of any shares of common stock issuable upon the exchange, conversion or redemption of securities or the exercise of warrants, options or other rights in effect or outstanding or disclosed in filings by the Company available on EDGAR or otherwise in writing to Cowen prior to the date of the applicable Placement Notice. Notwithstanding the foregoing provisions, subject to the Company’s compliance with the notice provisions set forth in this Section 7(i), nothing herein shall be construed to restrict the Company from entering into and/or consummating a committed underwritten equity offering or other similar offering of its registered securities, or otherwise prohibit the issuance of its equity securities in a private placement transaction, or obtain prior written consent, to do any of the foregoing.</w:t>
      </w:r>
    </w:p>
    <w:p>
      <w:pPr>
        <w:spacing w:after="0" w:line="200" w:lineRule="exact"/>
        <w:rPr>
          <w:sz w:val="20"/>
          <w:szCs w:val="20"/>
          <w:color w:val="auto"/>
        </w:rPr>
      </w:pPr>
    </w:p>
    <w:p>
      <w:pPr>
        <w:spacing w:after="0" w:line="216" w:lineRule="exact"/>
        <w:rPr>
          <w:sz w:val="20"/>
          <w:szCs w:val="20"/>
          <w:color w:val="auto"/>
        </w:rPr>
      </w:pPr>
    </w:p>
    <w:p>
      <w:pPr>
        <w:jc w:val="both"/>
        <w:ind w:firstLine="656"/>
        <w:spacing w:after="0" w:line="250" w:lineRule="auto"/>
        <w:tabs>
          <w:tab w:leader="none" w:pos="128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Change of Circumstances</w:t>
      </w:r>
      <w:r>
        <w:rPr>
          <w:rFonts w:ascii="Arial" w:cs="Arial" w:eastAsia="Arial" w:hAnsi="Arial"/>
          <w:sz w:val="22"/>
          <w:szCs w:val="22"/>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Due Diligence Cooperation</w:t>
      </w:r>
      <w:r>
        <w:rPr>
          <w:rFonts w:ascii="Arial" w:cs="Arial" w:eastAsia="Arial" w:hAnsi="Arial"/>
          <w:sz w:val="22"/>
          <w:szCs w:val="22"/>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187" w:lineRule="exact"/>
        <w:rPr>
          <w:rFonts w:ascii="Arial" w:cs="Arial" w:eastAsia="Arial" w:hAnsi="Arial"/>
          <w:sz w:val="22"/>
          <w:szCs w:val="22"/>
          <w:color w:val="auto"/>
        </w:rPr>
      </w:pPr>
    </w:p>
    <w:p>
      <w:pPr>
        <w:jc w:val="both"/>
        <w:ind w:firstLine="656"/>
        <w:spacing w:after="0" w:line="289" w:lineRule="auto"/>
        <w:tabs>
          <w:tab w:leader="none" w:pos="128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Required Filings Relating to Placement of Placement Shares</w:t>
      </w:r>
      <w:r>
        <w:rPr>
          <w:rFonts w:ascii="Arial" w:cs="Arial" w:eastAsia="Arial" w:hAnsi="Arial"/>
          <w:sz w:val="19"/>
          <w:szCs w:val="19"/>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19"/>
          <w:szCs w:val="19"/>
          <w:b w:val="1"/>
          <w:bCs w:val="1"/>
          <w:u w:val="single" w:color="auto"/>
          <w:color w:val="auto"/>
        </w:rPr>
        <w:t>Filing Date</w:t>
      </w:r>
      <w:r>
        <w:rPr>
          <w:rFonts w:ascii="Arial" w:cs="Arial" w:eastAsia="Arial" w:hAnsi="Arial"/>
          <w:sz w:val="19"/>
          <w:szCs w:val="19"/>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Cowen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156" w:lineRule="exact"/>
        <w:rPr>
          <w:rFonts w:ascii="Arial" w:cs="Arial" w:eastAsia="Arial" w:hAnsi="Arial"/>
          <w:sz w:val="19"/>
          <w:szCs w:val="19"/>
          <w:color w:val="auto"/>
        </w:rPr>
      </w:pPr>
    </w:p>
    <w:p>
      <w:pPr>
        <w:jc w:val="both"/>
        <w:ind w:firstLine="656"/>
        <w:spacing w:after="0" w:line="312" w:lineRule="auto"/>
        <w:tabs>
          <w:tab w:leader="none" w:pos="128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Bring-Down Dates; Certificate</w:t>
      </w:r>
      <w:r>
        <w:rPr>
          <w:rFonts w:ascii="Arial" w:cs="Arial" w:eastAsia="Arial" w:hAnsi="Arial"/>
          <w:sz w:val="19"/>
          <w:szCs w:val="19"/>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of this Agreement) by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7" w:right="339" w:bottom="1440" w:gutter="0" w:footer="0" w:header="0"/>
        </w:sectPr>
      </w:pPr>
    </w:p>
    <w:bookmarkStart w:id="137" w:name="page138"/>
    <w:bookmarkEnd w:id="137"/>
    <w:p>
      <w:pPr>
        <w:jc w:val="both"/>
        <w:spacing w:after="0" w:line="286" w:lineRule="auto"/>
        <w:rPr>
          <w:sz w:val="20"/>
          <w:szCs w:val="20"/>
          <w:color w:val="auto"/>
        </w:rPr>
      </w:pPr>
      <w:r>
        <w:rPr>
          <w:rFonts w:ascii="Arial" w:cs="Arial" w:eastAsia="Arial" w:hAnsi="Arial"/>
          <w:sz w:val="19"/>
          <w:szCs w:val="19"/>
          <w:color w:val="auto"/>
        </w:rPr>
        <w:t xml:space="preserve">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under the Exchange Act (each date of filing of one or more of the documents referred to in clauses (i) through (iv) shall be a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Bring-Down Date</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shall furnish Cowen with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xml:space="preserve"> within three (3) Trading Days of any Bring-Down Date if requested by Cowen. The requirement to provide a certificate under this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provided, however,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Cowen with a certificate under this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then before the Company delivers the Placement Notice or Cowen sells any Placement Shares, the Company shall provide Cowen with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dated the date of the Placement Notice.</w:t>
      </w:r>
    </w:p>
    <w:p>
      <w:pPr>
        <w:spacing w:after="0" w:line="200" w:lineRule="exact"/>
        <w:rPr>
          <w:sz w:val="20"/>
          <w:szCs w:val="20"/>
          <w:color w:val="auto"/>
        </w:rPr>
      </w:pPr>
    </w:p>
    <w:p>
      <w:pPr>
        <w:spacing w:after="0" w:line="218" w:lineRule="exact"/>
        <w:rPr>
          <w:sz w:val="20"/>
          <w:szCs w:val="20"/>
          <w:color w:val="auto"/>
        </w:rPr>
      </w:pPr>
    </w:p>
    <w:p>
      <w:pPr>
        <w:jc w:val="both"/>
        <w:ind w:firstLine="656"/>
        <w:spacing w:after="0" w:line="287" w:lineRule="auto"/>
        <w:tabs>
          <w:tab w:leader="none" w:pos="129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Legal Opinion</w:t>
      </w:r>
      <w:r>
        <w:rPr>
          <w:rFonts w:ascii="Arial" w:cs="Arial" w:eastAsia="Arial" w:hAnsi="Arial"/>
          <w:sz w:val="19"/>
          <w:szCs w:val="19"/>
          <w:color w:val="auto"/>
        </w:rPr>
        <w:t xml:space="preserve">. On or prior to the First Delivery Date and within three (3) Trading Days of each Bring-Down Date with respect to which the Company is obligated to deliver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xml:space="preserve"> for which no waiver is applicable, the Company shall cause to be furnished to Cowen a written opinion of Latham &amp; Watkins LLP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Counsel</w:t>
      </w:r>
      <w:r>
        <w:rPr>
          <w:rFonts w:ascii="Arial" w:cs="Arial" w:eastAsia="Arial" w:hAnsi="Arial"/>
          <w:sz w:val="19"/>
          <w:szCs w:val="19"/>
          <w:color w:val="auto"/>
        </w:rPr>
        <w:t xml:space="preserve">”), or other counsel satisfactory to Cowen, in form and substance satisfactory to Cowen and its counsel, dated the date that the opinion is required to be delivered, modified, as necessary, to relate to the Registration Statement and the Prospectus as then amended or supplemented;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the Company shall be required to furnish to Cowen no more than one counsel for the Company written opinion hereunder per each filing of an annual report on Form 10-K or quarterly report on Form 10-Q;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in lieu of such opinions for subsequent Bring-Down Dates, counsel may furnish Cowen with a letter (a</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Reliance Letter</w:t>
      </w:r>
      <w:r>
        <w:rPr>
          <w:rFonts w:ascii="Arial" w:cs="Arial" w:eastAsia="Arial" w:hAnsi="Arial"/>
          <w:sz w:val="19"/>
          <w:szCs w:val="19"/>
          <w:color w:val="auto"/>
        </w:rPr>
        <w:t xml:space="preserve">”) to the effect that Cowen may rely on a prior opinion delivered under this </w:t>
      </w:r>
      <w:r>
        <w:rPr>
          <w:rFonts w:ascii="Arial" w:cs="Arial" w:eastAsia="Arial" w:hAnsi="Arial"/>
          <w:sz w:val="19"/>
          <w:szCs w:val="19"/>
          <w:u w:val="single" w:color="auto"/>
          <w:color w:val="auto"/>
        </w:rPr>
        <w:t>Section 7(n)</w:t>
      </w:r>
      <w:r>
        <w:rPr>
          <w:rFonts w:ascii="Arial" w:cs="Arial" w:eastAsia="Arial" w:hAnsi="Arial"/>
          <w:sz w:val="19"/>
          <w:szCs w:val="19"/>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63" w:lineRule="exact"/>
        <w:rPr>
          <w:rFonts w:ascii="Arial" w:cs="Arial" w:eastAsia="Arial" w:hAnsi="Arial"/>
          <w:sz w:val="19"/>
          <w:szCs w:val="19"/>
          <w:color w:val="auto"/>
        </w:rPr>
      </w:pPr>
    </w:p>
    <w:p>
      <w:pPr>
        <w:jc w:val="both"/>
        <w:ind w:firstLine="656"/>
        <w:spacing w:after="0" w:line="260" w:lineRule="auto"/>
        <w:tabs>
          <w:tab w:leader="none" w:pos="1291"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Comfort Letter</w:t>
      </w:r>
      <w:r>
        <w:rPr>
          <w:rFonts w:ascii="Arial" w:cs="Arial" w:eastAsia="Arial" w:hAnsi="Arial"/>
          <w:sz w:val="21"/>
          <w:szCs w:val="21"/>
          <w:color w:val="auto"/>
        </w:rPr>
        <w:t xml:space="preserve">. On or prior to the First Delivery Date and within three (3) Trading Days of each Bring-Down Date with respect to which the Company is obligated to deliver a certificate in the form attached hereto as </w:t>
      </w:r>
      <w:r>
        <w:rPr>
          <w:rFonts w:ascii="Arial" w:cs="Arial" w:eastAsia="Arial" w:hAnsi="Arial"/>
          <w:sz w:val="21"/>
          <w:szCs w:val="21"/>
          <w:u w:val="single" w:color="auto"/>
          <w:color w:val="auto"/>
        </w:rPr>
        <w:t>Exhibit 7(m)</w:t>
      </w:r>
      <w:r>
        <w:rPr>
          <w:rFonts w:ascii="Arial" w:cs="Arial" w:eastAsia="Arial" w:hAnsi="Arial"/>
          <w:sz w:val="21"/>
          <w:szCs w:val="21"/>
          <w:color w:val="auto"/>
        </w:rPr>
        <w:t xml:space="preserve"> for which no waiver is applicable, the Company shall cause its independent accountants to furnish Cowen letters (the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Comfort Letters</w:t>
      </w:r>
      <w:r>
        <w:rPr>
          <w:rFonts w:ascii="Arial" w:cs="Arial" w:eastAsia="Arial" w:hAnsi="Arial"/>
          <w:sz w:val="21"/>
          <w:szCs w:val="21"/>
          <w:b w:val="1"/>
          <w:bCs w:val="1"/>
          <w:color w:val="auto"/>
        </w:rPr>
        <w:t>"</w:t>
      </w:r>
      <w:r>
        <w:rPr>
          <w:rFonts w:ascii="Arial" w:cs="Arial" w:eastAsia="Arial" w:hAnsi="Arial"/>
          <w:sz w:val="21"/>
          <w:szCs w:val="21"/>
          <w:color w:val="auto"/>
        </w:rPr>
        <w:t>), dated the date the Comfort Letter is delivered, in form and substance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7" w:right="339" w:bottom="1440" w:gutter="0" w:footer="0" w:header="0"/>
        </w:sectPr>
      </w:pPr>
    </w:p>
    <w:bookmarkStart w:id="138" w:name="page139"/>
    <w:bookmarkEnd w:id="138"/>
    <w:p>
      <w:pPr>
        <w:jc w:val="both"/>
        <w:spacing w:after="0" w:line="315" w:lineRule="auto"/>
        <w:rPr>
          <w:sz w:val="20"/>
          <w:szCs w:val="20"/>
          <w:color w:val="auto"/>
        </w:rPr>
      </w:pPr>
      <w:r>
        <w:rPr>
          <w:rFonts w:ascii="Arial" w:cs="Arial" w:eastAsia="Arial" w:hAnsi="Arial"/>
          <w:sz w:val="19"/>
          <w:szCs w:val="19"/>
          <w:color w:val="auto"/>
        </w:rPr>
        <w:t xml:space="preserve">public offerings (the first such letter,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Initial Comfort Letter</w:t>
      </w:r>
      <w:r>
        <w:rPr>
          <w:rFonts w:ascii="Arial" w:cs="Arial" w:eastAsia="Arial" w:hAnsi="Arial"/>
          <w:sz w:val="19"/>
          <w:szCs w:val="19"/>
          <w:b w:val="1"/>
          <w:bCs w:val="1"/>
          <w:color w:val="auto"/>
        </w:rPr>
        <w:t>”</w:t>
      </w:r>
      <w:r>
        <w:rPr>
          <w:rFonts w:ascii="Arial" w:cs="Arial" w:eastAsia="Arial" w:hAnsi="Arial"/>
          <w:sz w:val="19"/>
          <w:szCs w:val="19"/>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31"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56"/>
        <w:spacing w:after="0" w:line="247" w:lineRule="auto"/>
        <w:tabs>
          <w:tab w:leader="none" w:pos="1291"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Market Activities</w:t>
      </w:r>
      <w:r>
        <w:rPr>
          <w:rFonts w:ascii="Arial" w:cs="Arial" w:eastAsia="Arial" w:hAnsi="Arial"/>
          <w:sz w:val="22"/>
          <w:szCs w:val="22"/>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Cowen; provided, however, that the Company may bid for and purchase shares of its common stock in accordance with Rule 10b-18 under the Exchange Act.</w:t>
      </w:r>
    </w:p>
    <w:p>
      <w:pPr>
        <w:spacing w:after="0" w:line="192"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74" w:lineRule="exact"/>
        <w:rPr>
          <w:rFonts w:ascii="Arial" w:cs="Arial" w:eastAsia="Arial" w:hAnsi="Arial"/>
          <w:sz w:val="22"/>
          <w:szCs w:val="22"/>
          <w:color w:val="auto"/>
        </w:rPr>
      </w:pPr>
    </w:p>
    <w:p>
      <w:pPr>
        <w:jc w:val="both"/>
        <w:ind w:firstLine="656"/>
        <w:spacing w:after="0" w:line="294" w:lineRule="auto"/>
        <w:tabs>
          <w:tab w:leader="none" w:pos="1294"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49" w:lineRule="exact"/>
        <w:rPr>
          <w:rFonts w:ascii="Arial" w:cs="Arial" w:eastAsia="Arial" w:hAnsi="Arial"/>
          <w:sz w:val="19"/>
          <w:szCs w:val="19"/>
          <w:color w:val="auto"/>
        </w:rPr>
      </w:pPr>
    </w:p>
    <w:p>
      <w:pPr>
        <w:jc w:val="both"/>
        <w:ind w:firstLine="656"/>
        <w:spacing w:after="0" w:line="250" w:lineRule="auto"/>
        <w:tabs>
          <w:tab w:leader="none" w:pos="1284"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87" w:lineRule="exact"/>
        <w:rPr>
          <w:rFonts w:ascii="Arial" w:cs="Arial" w:eastAsia="Arial" w:hAnsi="Arial"/>
          <w:sz w:val="22"/>
          <w:szCs w:val="22"/>
          <w:color w:val="auto"/>
        </w:rPr>
      </w:pPr>
    </w:p>
    <w:p>
      <w:pPr>
        <w:jc w:val="both"/>
        <w:ind w:firstLine="656"/>
        <w:spacing w:after="0" w:line="312" w:lineRule="auto"/>
        <w:tabs>
          <w:tab w:leader="none" w:pos="1291"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Securities Act and Exchange Act</w:t>
      </w:r>
      <w:r>
        <w:rPr>
          <w:rFonts w:ascii="Arial" w:cs="Arial" w:eastAsia="Arial" w:hAnsi="Arial"/>
          <w:sz w:val="19"/>
          <w:szCs w:val="19"/>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33" w:lineRule="exact"/>
        <w:rPr>
          <w:rFonts w:ascii="Arial" w:cs="Arial" w:eastAsia="Arial" w:hAnsi="Arial"/>
          <w:sz w:val="19"/>
          <w:szCs w:val="19"/>
          <w:color w:val="auto"/>
        </w:rPr>
      </w:pPr>
    </w:p>
    <w:p>
      <w:pPr>
        <w:jc w:val="both"/>
        <w:ind w:firstLine="656"/>
        <w:spacing w:after="0" w:line="265" w:lineRule="auto"/>
        <w:tabs>
          <w:tab w:leader="none" w:pos="1291"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No Offer to Sell</w:t>
      </w:r>
      <w:r>
        <w:rPr>
          <w:rFonts w:ascii="Arial" w:cs="Arial" w:eastAsia="Arial" w:hAnsi="Arial"/>
          <w:sz w:val="21"/>
          <w:szCs w:val="21"/>
          <w:color w:val="auto"/>
        </w:rPr>
        <w:t>. Other than a Permitted Free Writing Prospectus,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1" w:right="339" w:bottom="1440" w:gutter="0" w:footer="0" w:header="0"/>
        </w:sectPr>
      </w:pPr>
    </w:p>
    <w:bookmarkStart w:id="139" w:name="page140"/>
    <w:bookmarkEnd w:id="139"/>
    <w:p>
      <w:pPr>
        <w:ind w:firstLine="656"/>
        <w:spacing w:after="0" w:line="263" w:lineRule="auto"/>
        <w:tabs>
          <w:tab w:leader="none" w:pos="1285"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The Company and its subsidiaries will use their best efforts to comply with all effective applicable provisions of the Sarbanes-Oxley Act.</w:t>
      </w:r>
    </w:p>
    <w:p>
      <w:pPr>
        <w:spacing w:after="0" w:line="174" w:lineRule="exact"/>
        <w:rPr>
          <w:rFonts w:ascii="Arial" w:cs="Arial" w:eastAsia="Arial" w:hAnsi="Arial"/>
          <w:sz w:val="22"/>
          <w:szCs w:val="22"/>
          <w:color w:val="auto"/>
        </w:rPr>
      </w:pPr>
    </w:p>
    <w:p>
      <w:pPr>
        <w:jc w:val="both"/>
        <w:ind w:firstLine="656"/>
        <w:spacing w:after="0" w:line="294" w:lineRule="auto"/>
        <w:tabs>
          <w:tab w:leader="none" w:pos="129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Affirmation</w:t>
      </w:r>
      <w:r>
        <w:rPr>
          <w:rFonts w:ascii="Arial" w:cs="Arial" w:eastAsia="Arial" w:hAnsi="Arial"/>
          <w:sz w:val="19"/>
          <w:szCs w:val="19"/>
          <w:color w:val="auto"/>
        </w:rPr>
        <w:t>. Each Placement Notice delivered by the Company to Cowen shall be deemed to be (i) an affirmation that the representations, warranties and agreements of the Company herein contained and contained in any certificate delivered to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43" w:lineRule="exact"/>
        <w:rPr>
          <w:rFonts w:ascii="Arial" w:cs="Arial" w:eastAsia="Arial" w:hAnsi="Arial"/>
          <w:sz w:val="19"/>
          <w:szCs w:val="19"/>
          <w:color w:val="auto"/>
        </w:rPr>
      </w:pPr>
    </w:p>
    <w:p>
      <w:pPr>
        <w:jc w:val="both"/>
        <w:ind w:firstLine="656"/>
        <w:spacing w:after="0" w:line="291" w:lineRule="auto"/>
        <w:tabs>
          <w:tab w:leader="none" w:pos="129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Renewal</w:t>
      </w:r>
      <w:r>
        <w:rPr>
          <w:rFonts w:ascii="Arial" w:cs="Arial" w:eastAsia="Arial" w:hAnsi="Arial"/>
          <w:sz w:val="19"/>
          <w:szCs w:val="19"/>
          <w:color w:val="auto"/>
        </w:rPr>
        <w:t>. If immediately prior to the third anniversary (the “</w:t>
      </w:r>
      <w:r>
        <w:rPr>
          <w:rFonts w:ascii="Arial" w:cs="Arial" w:eastAsia="Arial" w:hAnsi="Arial"/>
          <w:sz w:val="19"/>
          <w:szCs w:val="19"/>
          <w:b w:val="1"/>
          <w:bCs w:val="1"/>
          <w:u w:val="single" w:color="auto"/>
          <w:color w:val="auto"/>
        </w:rPr>
        <w:t>Renewal Deadline</w:t>
      </w:r>
      <w:r>
        <w:rPr>
          <w:rFonts w:ascii="Arial" w:cs="Arial" w:eastAsia="Arial" w:hAnsi="Arial"/>
          <w:sz w:val="19"/>
          <w:szCs w:val="19"/>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398" w:lineRule="exact"/>
        <w:rPr>
          <w:sz w:val="20"/>
          <w:szCs w:val="20"/>
          <w:color w:val="auto"/>
        </w:rPr>
      </w:pPr>
    </w:p>
    <w:p>
      <w:pPr>
        <w:jc w:val="both"/>
        <w:ind w:firstLine="656"/>
        <w:spacing w:after="0" w:line="248"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Conditions to Cowen’s Obligations</w:t>
      </w:r>
      <w:r>
        <w:rPr>
          <w:rFonts w:ascii="Arial" w:cs="Arial" w:eastAsia="Arial" w:hAnsi="Arial"/>
          <w:sz w:val="22"/>
          <w:szCs w:val="22"/>
          <w:color w:val="auto"/>
        </w:rPr>
        <w:t>. The obligations of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Cowen of a due diligence review satisfactory to Cowen in its reasonable judgment, and to the continuing satisfaction (or waiver by Cowen in its sole discretion) of the following additional conditions:</w:t>
      </w:r>
    </w:p>
    <w:p>
      <w:pPr>
        <w:spacing w:after="0" w:line="192" w:lineRule="exact"/>
        <w:rPr>
          <w:sz w:val="20"/>
          <w:szCs w:val="20"/>
          <w:color w:val="auto"/>
        </w:rPr>
      </w:pPr>
    </w:p>
    <w:p>
      <w:pPr>
        <w:jc w:val="both"/>
        <w:ind w:firstLine="656"/>
        <w:spacing w:after="0" w:line="253" w:lineRule="auto"/>
        <w:tabs>
          <w:tab w:leader="none" w:pos="1293"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Registration Statement Effective</w:t>
      </w:r>
      <w:r>
        <w:rPr>
          <w:rFonts w:ascii="Arial" w:cs="Arial" w:eastAsia="Arial" w:hAnsi="Arial"/>
          <w:sz w:val="22"/>
          <w:szCs w:val="22"/>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185" w:lineRule="exact"/>
        <w:rPr>
          <w:rFonts w:ascii="Arial" w:cs="Arial" w:eastAsia="Arial" w:hAnsi="Arial"/>
          <w:sz w:val="22"/>
          <w:szCs w:val="22"/>
          <w:color w:val="auto"/>
        </w:rPr>
      </w:pPr>
    </w:p>
    <w:p>
      <w:pPr>
        <w:jc w:val="both"/>
        <w:ind w:firstLine="656"/>
        <w:spacing w:after="0" w:line="292" w:lineRule="auto"/>
        <w:tabs>
          <w:tab w:leader="none" w:pos="1291"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No Material Notices</w:t>
      </w:r>
      <w:r>
        <w:rPr>
          <w:rFonts w:ascii="Arial" w:cs="Arial" w:eastAsia="Arial" w:hAnsi="Arial"/>
          <w:sz w:val="19"/>
          <w:szCs w:val="19"/>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7" w:right="339" w:bottom="1440" w:gutter="0" w:footer="0" w:header="0"/>
        </w:sectPr>
      </w:pPr>
    </w:p>
    <w:bookmarkStart w:id="140" w:name="page141"/>
    <w:bookmarkEnd w:id="140"/>
    <w:p>
      <w:pPr>
        <w:jc w:val="both"/>
        <w:spacing w:after="0" w:line="290" w:lineRule="auto"/>
        <w:rPr>
          <w:sz w:val="20"/>
          <w:szCs w:val="20"/>
          <w:color w:val="auto"/>
        </w:rPr>
      </w:pPr>
      <w:r>
        <w:rPr>
          <w:rFonts w:ascii="Arial" w:cs="Arial" w:eastAsia="Arial" w:hAnsi="Arial"/>
          <w:sz w:val="19"/>
          <w:szCs w:val="19"/>
          <w:color w:val="auto"/>
        </w:rPr>
        <w:t>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56" w:lineRule="exact"/>
        <w:rPr>
          <w:sz w:val="20"/>
          <w:szCs w:val="20"/>
          <w:color w:val="auto"/>
        </w:rPr>
      </w:pPr>
    </w:p>
    <w:p>
      <w:pPr>
        <w:jc w:val="both"/>
        <w:ind w:firstLine="656"/>
        <w:spacing w:after="0" w:line="250" w:lineRule="auto"/>
        <w:tabs>
          <w:tab w:leader="none" w:pos="1293"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No Misstatement or Material Omission</w:t>
      </w:r>
      <w:r>
        <w:rPr>
          <w:rFonts w:ascii="Arial" w:cs="Arial" w:eastAsia="Arial" w:hAnsi="Arial"/>
          <w:sz w:val="22"/>
          <w:szCs w:val="22"/>
          <w:color w:val="auto"/>
        </w:rPr>
        <w:t>. Cowen shall not have advised the Company that the Registration Statement or Prospectus, or any amendment or supplement thereto, contains an untrue statement of fact that in Cowen’s reasonable opinion is material, or omits to state a fact that in Cowen’s reasonable opinion is material and is required to be stated therein or is necessary to make the statements therein not misleading.</w:t>
      </w:r>
    </w:p>
    <w:p>
      <w:pPr>
        <w:spacing w:after="0" w:line="187" w:lineRule="exact"/>
        <w:rPr>
          <w:rFonts w:ascii="Arial" w:cs="Arial" w:eastAsia="Arial" w:hAnsi="Arial"/>
          <w:sz w:val="22"/>
          <w:szCs w:val="22"/>
          <w:color w:val="auto"/>
        </w:rPr>
      </w:pPr>
    </w:p>
    <w:p>
      <w:pPr>
        <w:jc w:val="both"/>
        <w:ind w:firstLine="656"/>
        <w:spacing w:after="0" w:line="289" w:lineRule="auto"/>
        <w:tabs>
          <w:tab w:leader="none" w:pos="1291"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Material Changes</w:t>
      </w:r>
      <w:r>
        <w:rPr>
          <w:rFonts w:ascii="Arial" w:cs="Arial" w:eastAsia="Arial" w:hAnsi="Arial"/>
          <w:sz w:val="19"/>
          <w:szCs w:val="19"/>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56" w:lineRule="exact"/>
        <w:rPr>
          <w:rFonts w:ascii="Arial" w:cs="Arial" w:eastAsia="Arial" w:hAnsi="Arial"/>
          <w:sz w:val="19"/>
          <w:szCs w:val="19"/>
          <w:color w:val="auto"/>
        </w:rPr>
      </w:pPr>
    </w:p>
    <w:p>
      <w:pPr>
        <w:jc w:val="both"/>
        <w:ind w:firstLine="656"/>
        <w:spacing w:after="0" w:line="253" w:lineRule="auto"/>
        <w:tabs>
          <w:tab w:leader="none" w:pos="1293"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Company Counsel Legal Opinion</w:t>
      </w:r>
      <w:r>
        <w:rPr>
          <w:rFonts w:ascii="Arial" w:cs="Arial" w:eastAsia="Arial" w:hAnsi="Arial"/>
          <w:sz w:val="22"/>
          <w:szCs w:val="22"/>
          <w:color w:val="auto"/>
        </w:rPr>
        <w:t xml:space="preserve">. Cowen shall have received the opinions of Company Counsel required to be delivered pursuant to </w:t>
      </w:r>
      <w:r>
        <w:rPr>
          <w:rFonts w:ascii="Arial" w:cs="Arial" w:eastAsia="Arial" w:hAnsi="Arial"/>
          <w:sz w:val="22"/>
          <w:szCs w:val="22"/>
          <w:u w:val="single" w:color="auto"/>
          <w:color w:val="auto"/>
        </w:rPr>
        <w:t>Section 7(n)</w:t>
      </w:r>
      <w:r>
        <w:rPr>
          <w:rFonts w:ascii="Arial" w:cs="Arial" w:eastAsia="Arial" w:hAnsi="Arial"/>
          <w:sz w:val="22"/>
          <w:szCs w:val="22"/>
          <w:color w:val="auto"/>
        </w:rPr>
        <w:t xml:space="preserve"> on or before the date on which such delivery of such opinion is required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65" w:lineRule="auto"/>
        <w:tabs>
          <w:tab w:leader="none" w:pos="1296"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Cowen Counsel Legal Opinion</w:t>
      </w:r>
      <w:r>
        <w:rPr>
          <w:rFonts w:ascii="Arial" w:cs="Arial" w:eastAsia="Arial" w:hAnsi="Arial"/>
          <w:sz w:val="21"/>
          <w:szCs w:val="21"/>
          <w:color w:val="auto"/>
        </w:rPr>
        <w:t xml:space="preserve">. Cowen shall have received from Cooley LLP, counsel for Cowen, such opinion or opinions, on or before the date on which the delivery of the Company Counsel legal opinion is required pursuant to </w:t>
      </w:r>
      <w:r>
        <w:rPr>
          <w:rFonts w:ascii="Arial" w:cs="Arial" w:eastAsia="Arial" w:hAnsi="Arial"/>
          <w:sz w:val="21"/>
          <w:szCs w:val="21"/>
          <w:u w:val="single" w:color="auto"/>
          <w:color w:val="auto"/>
        </w:rPr>
        <w:t>Section 7(n)</w:t>
      </w:r>
      <w:r>
        <w:rPr>
          <w:rFonts w:ascii="Arial" w:cs="Arial" w:eastAsia="Arial" w:hAnsi="Arial"/>
          <w:sz w:val="21"/>
          <w:szCs w:val="21"/>
          <w:color w:val="auto"/>
        </w:rPr>
        <w:t>, with respect to such matters as Cowen may reasonably require, and the Company shall have furnished to such counsel such documents as they request for enabling them to pass upon such matters.</w:t>
      </w:r>
    </w:p>
    <w:p>
      <w:pPr>
        <w:spacing w:after="0" w:line="175" w:lineRule="exact"/>
        <w:rPr>
          <w:rFonts w:ascii="Arial" w:cs="Arial" w:eastAsia="Arial" w:hAnsi="Arial"/>
          <w:sz w:val="21"/>
          <w:szCs w:val="21"/>
          <w:color w:val="auto"/>
        </w:rPr>
      </w:pPr>
    </w:p>
    <w:p>
      <w:pPr>
        <w:ind w:firstLine="656"/>
        <w:spacing w:after="0" w:line="287" w:lineRule="auto"/>
        <w:tabs>
          <w:tab w:leader="none" w:pos="1291"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Comfort Letter</w:t>
      </w:r>
      <w:r>
        <w:rPr>
          <w:rFonts w:ascii="Arial" w:cs="Arial" w:eastAsia="Arial" w:hAnsi="Arial"/>
          <w:sz w:val="21"/>
          <w:szCs w:val="21"/>
          <w:color w:val="auto"/>
        </w:rPr>
        <w:t xml:space="preserve">. Cowen shall have received the Comfort Letter required to be delivered pursuant to </w:t>
      </w:r>
      <w:r>
        <w:rPr>
          <w:rFonts w:ascii="Arial" w:cs="Arial" w:eastAsia="Arial" w:hAnsi="Arial"/>
          <w:sz w:val="21"/>
          <w:szCs w:val="21"/>
          <w:u w:val="single" w:color="auto"/>
          <w:color w:val="auto"/>
        </w:rPr>
        <w:t>Section 7(o)</w:t>
      </w:r>
      <w:r>
        <w:rPr>
          <w:rFonts w:ascii="Arial" w:cs="Arial" w:eastAsia="Arial" w:hAnsi="Arial"/>
          <w:sz w:val="21"/>
          <w:szCs w:val="21"/>
          <w:color w:val="auto"/>
        </w:rPr>
        <w:t xml:space="preserve"> on or before the date on which such delivery of such Comfort Letter is required pursuant to </w:t>
      </w:r>
      <w:r>
        <w:rPr>
          <w:rFonts w:ascii="Arial" w:cs="Arial" w:eastAsia="Arial" w:hAnsi="Arial"/>
          <w:sz w:val="21"/>
          <w:szCs w:val="21"/>
          <w:u w:val="single" w:color="auto"/>
          <w:color w:val="auto"/>
        </w:rPr>
        <w:t>Section 7(o)</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7" w:right="339" w:bottom="1440" w:gutter="0" w:footer="0" w:header="0"/>
        </w:sectPr>
      </w:pPr>
    </w:p>
    <w:bookmarkStart w:id="141" w:name="page142"/>
    <w:bookmarkEnd w:id="141"/>
    <w:p>
      <w:pPr>
        <w:ind w:firstLine="656"/>
        <w:spacing w:after="0" w:line="287" w:lineRule="auto"/>
        <w:tabs>
          <w:tab w:leader="none" w:pos="1291"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Representation Certificate</w:t>
      </w:r>
      <w:r>
        <w:rPr>
          <w:rFonts w:ascii="Arial" w:cs="Arial" w:eastAsia="Arial" w:hAnsi="Arial"/>
          <w:sz w:val="21"/>
          <w:szCs w:val="21"/>
          <w:color w:val="auto"/>
        </w:rPr>
        <w:t xml:space="preserve">. Cowen shall have received the certificate required to be delivered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firstLine="656"/>
        <w:spacing w:after="0" w:line="343" w:lineRule="auto"/>
        <w:tabs>
          <w:tab w:leader="none" w:pos="1284"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On or prior to the First Delivery Date, Cowen shall have received a certificate, signed on behalf of the Company by its corporate secretary, in form and substance satisfactory to Cowen and its counsel.</w:t>
      </w:r>
    </w:p>
    <w:p>
      <w:pPr>
        <w:spacing w:after="0" w:line="104" w:lineRule="exact"/>
        <w:rPr>
          <w:rFonts w:ascii="Arial" w:cs="Arial" w:eastAsia="Arial" w:hAnsi="Arial"/>
          <w:sz w:val="19"/>
          <w:szCs w:val="19"/>
          <w:color w:val="auto"/>
        </w:rPr>
      </w:pPr>
    </w:p>
    <w:p>
      <w:pPr>
        <w:ind w:left="1300" w:hanging="644"/>
        <w:spacing w:after="0"/>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No Suspension</w:t>
      </w:r>
      <w:r>
        <w:rPr>
          <w:rFonts w:ascii="Arial" w:cs="Arial" w:eastAsia="Arial" w:hAnsi="Arial"/>
          <w:sz w:val="22"/>
          <w:szCs w:val="22"/>
          <w:color w:val="auto"/>
        </w:rPr>
        <w:t>. Trading in the Common Stock shall not have been suspended on Nasdaq.</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28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Other Materials</w:t>
      </w:r>
      <w:r>
        <w:rPr>
          <w:rFonts w:ascii="Arial" w:cs="Arial" w:eastAsia="Arial" w:hAnsi="Arial"/>
          <w:sz w:val="22"/>
          <w:szCs w:val="22"/>
          <w:color w:val="auto"/>
        </w:rPr>
        <w:t xml:space="preserve">. On each date on which the Company is required to deliver a certificate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191" w:lineRule="exact"/>
        <w:rPr>
          <w:rFonts w:ascii="Arial" w:cs="Arial" w:eastAsia="Arial" w:hAnsi="Arial"/>
          <w:sz w:val="22"/>
          <w:szCs w:val="22"/>
          <w:color w:val="auto"/>
        </w:rPr>
      </w:pPr>
    </w:p>
    <w:p>
      <w:pPr>
        <w:jc w:val="both"/>
        <w:ind w:firstLine="656"/>
        <w:spacing w:after="0" w:line="253" w:lineRule="auto"/>
        <w:tabs>
          <w:tab w:leader="none" w:pos="128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Approval for Listing</w:t>
      </w:r>
      <w:r>
        <w:rPr>
          <w:rFonts w:ascii="Arial" w:cs="Arial" w:eastAsia="Arial" w:hAnsi="Arial"/>
          <w:sz w:val="22"/>
          <w:szCs w:val="22"/>
          <w:color w:val="auto"/>
        </w:rPr>
        <w:t>. To the extent required by the rules of Nasdaq,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85" w:lineRule="exact"/>
        <w:rPr>
          <w:rFonts w:ascii="Arial" w:cs="Arial" w:eastAsia="Arial" w:hAnsi="Arial"/>
          <w:sz w:val="22"/>
          <w:szCs w:val="22"/>
          <w:color w:val="auto"/>
        </w:rPr>
      </w:pPr>
    </w:p>
    <w:p>
      <w:pPr>
        <w:ind w:firstLine="656"/>
        <w:spacing w:after="0" w:line="263" w:lineRule="auto"/>
        <w:tabs>
          <w:tab w:leader="none" w:pos="129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Cowen to terminate this Agreement pursuant to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7" w:right="339" w:bottom="1440" w:gutter="0" w:footer="0" w:header="0"/>
        </w:sectPr>
      </w:pPr>
    </w:p>
    <w:bookmarkStart w:id="142" w:name="page143"/>
    <w:bookmarkEnd w:id="142"/>
    <w:p>
      <w:pPr>
        <w:ind w:left="1300" w:hanging="644"/>
        <w:spacing w:after="0"/>
        <w:tabs>
          <w:tab w:leader="none" w:pos="130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84" w:lineRule="auto"/>
        <w:tabs>
          <w:tab w:leader="none" w:pos="1293"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xml:space="preserve">.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indemnity agreement shall not apply to the extent that such loss, claim, liability, expense or damage arises from</w:t>
      </w:r>
      <w:r>
        <w:rPr>
          <w:rFonts w:ascii="Arial" w:cs="Arial" w:eastAsia="Arial" w:hAnsi="Arial"/>
          <w:sz w:val="19"/>
          <w:szCs w:val="19"/>
          <w:i w:val="1"/>
          <w:iCs w:val="1"/>
          <w:color w:val="auto"/>
        </w:rPr>
        <w:t xml:space="preserve"> </w:t>
      </w:r>
      <w:r>
        <w:rPr>
          <w:rFonts w:ascii="Arial" w:cs="Arial" w:eastAsia="Arial" w:hAnsi="Arial"/>
          <w:sz w:val="19"/>
          <w:szCs w:val="19"/>
          <w:color w:val="auto"/>
        </w:rPr>
        <w:t>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[tenth] paragraph under the caption “Plan of Distribution” in the Prospectus. This indemnity agreement will be in addition to any liability that the Company might otherwise have.</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656"/>
        <w:spacing w:after="0" w:line="260" w:lineRule="auto"/>
        <w:tabs>
          <w:tab w:leader="none" w:pos="1291"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Cowen Indemnification</w:t>
      </w:r>
      <w:r>
        <w:rPr>
          <w:rFonts w:ascii="Arial" w:cs="Arial" w:eastAsia="Arial" w:hAnsi="Arial"/>
          <w:sz w:val="21"/>
          <w:szCs w:val="21"/>
          <w:color w:val="auto"/>
        </w:rPr>
        <w:t xml:space="preserve">.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9(a)</w:t>
      </w:r>
      <w:r>
        <w:rPr>
          <w:rFonts w:ascii="Arial" w:cs="Arial" w:eastAsia="Arial" w:hAnsi="Arial"/>
          <w:sz w:val="21"/>
          <w:szCs w:val="21"/>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0" w:lineRule="exact"/>
        <w:rPr>
          <w:rFonts w:ascii="Arial" w:cs="Arial" w:eastAsia="Arial" w:hAnsi="Arial"/>
          <w:sz w:val="21"/>
          <w:szCs w:val="21"/>
          <w:color w:val="auto"/>
        </w:rPr>
      </w:pPr>
    </w:p>
    <w:p>
      <w:pPr>
        <w:jc w:val="both"/>
        <w:ind w:firstLine="656"/>
        <w:spacing w:after="0" w:line="265" w:lineRule="auto"/>
        <w:tabs>
          <w:tab w:leader="none" w:pos="1293"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Procedure</w:t>
      </w:r>
      <w:r>
        <w:rPr>
          <w:rFonts w:ascii="Arial" w:cs="Arial" w:eastAsia="Arial" w:hAnsi="Arial"/>
          <w:sz w:val="21"/>
          <w:szCs w:val="21"/>
          <w:color w:val="auto"/>
        </w:rPr>
        <w:t xml:space="preserve">. Any party that proposes to assert the right to be indemnified under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21"/>
          <w:szCs w:val="21"/>
          <w:u w:val="single" w:color="auto"/>
          <w:color w:val="auto"/>
        </w:rPr>
        <w:t>Section 9</w:t>
      </w:r>
      <w:r>
        <w:rPr>
          <w:rFonts w:ascii="Arial" w:cs="Arial" w:eastAsia="Arial" w:hAnsi="Arial"/>
          <w:sz w:val="21"/>
          <w:szCs w:val="21"/>
          <w:color w:val="auto"/>
        </w:rPr>
        <w:t>, notify each such indemnifying party of the commencement of such action, enclosing a copy of all papers served, but the omission so to notify such indemnifying party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7" w:right="339" w:bottom="1440" w:gutter="0" w:footer="0" w:header="0"/>
        </w:sectPr>
      </w:pPr>
    </w:p>
    <w:bookmarkStart w:id="143" w:name="page144"/>
    <w:bookmarkEnd w:id="143"/>
    <w:p>
      <w:pPr>
        <w:jc w:val="both"/>
        <w:spacing w:after="0" w:line="284" w:lineRule="auto"/>
        <w:rPr>
          <w:sz w:val="20"/>
          <w:szCs w:val="20"/>
          <w:color w:val="auto"/>
        </w:rPr>
      </w:pPr>
      <w:r>
        <w:rPr>
          <w:rFonts w:ascii="Arial" w:cs="Arial" w:eastAsia="Arial" w:hAnsi="Arial"/>
          <w:sz w:val="19"/>
          <w:szCs w:val="19"/>
          <w:color w:val="auto"/>
        </w:rPr>
        <w:t xml:space="preserve">not relieve the indemnifying party from (i) any liability that it might have to any indemnified party otherwise than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(ii) any liability that it may have to any indemnified party under the foregoing provision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200" w:lineRule="exact"/>
        <w:rPr>
          <w:sz w:val="20"/>
          <w:szCs w:val="20"/>
          <w:color w:val="auto"/>
        </w:rPr>
      </w:pPr>
    </w:p>
    <w:p>
      <w:pPr>
        <w:spacing w:after="0" w:line="217" w:lineRule="exact"/>
        <w:rPr>
          <w:sz w:val="20"/>
          <w:szCs w:val="20"/>
          <w:color w:val="auto"/>
        </w:rPr>
      </w:pPr>
    </w:p>
    <w:p>
      <w:pPr>
        <w:jc w:val="both"/>
        <w:ind w:firstLine="656"/>
        <w:spacing w:after="0" w:line="247" w:lineRule="auto"/>
        <w:tabs>
          <w:tab w:leader="none" w:pos="1291"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Contribution</w:t>
      </w:r>
      <w:r>
        <w:rPr>
          <w:rFonts w:ascii="Arial" w:cs="Arial" w:eastAsia="Arial" w:hAnsi="Arial"/>
          <w:sz w:val="22"/>
          <w:szCs w:val="22"/>
          <w:color w:val="auto"/>
        </w:rPr>
        <w:t xml:space="preserve">. In order to provide for just and equitable contribution in circumstances in which the indemnification provided for in the foregoing paragraphs of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is applicable in accordance with its terms but for any reason is held to be unavailable from the Company or Cowen, the Company and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7" w:right="339" w:bottom="1440" w:gutter="0" w:footer="0" w:header="0"/>
        </w:sectPr>
      </w:pPr>
    </w:p>
    <w:bookmarkStart w:id="144" w:name="page145"/>
    <w:bookmarkEnd w:id="144"/>
    <w:p>
      <w:pPr>
        <w:jc w:val="both"/>
        <w:spacing w:after="0" w:line="283" w:lineRule="auto"/>
        <w:rPr>
          <w:sz w:val="20"/>
          <w:szCs w:val="20"/>
          <w:color w:val="auto"/>
        </w:rPr>
      </w:pPr>
      <w:r>
        <w:rPr>
          <w:rFonts w:ascii="Arial" w:cs="Arial" w:eastAsia="Arial" w:hAnsi="Arial"/>
          <w:sz w:val="19"/>
          <w:szCs w:val="19"/>
          <w:color w:val="auto"/>
        </w:rPr>
        <w:t xml:space="preserve">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shall be deemed to include, for the purpose of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hereof. Notwithstanding the foregoing provisions of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any person who controls a party to this Agreement within the meaning of the Securities Act, and any officers, directors, partners, employees or agents of Cowen,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9(c)</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7" w:right="339" w:bottom="1440" w:gutter="0" w:footer="0" w:header="0"/>
        </w:sectPr>
      </w:pPr>
    </w:p>
    <w:bookmarkStart w:id="145" w:name="page146"/>
    <w:bookmarkEnd w:id="145"/>
    <w:p>
      <w:pPr>
        <w:jc w:val="both"/>
        <w:ind w:firstLine="656"/>
        <w:spacing w:after="0" w:line="297" w:lineRule="auto"/>
        <w:tabs>
          <w:tab w:leader="none" w:pos="1296"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Representations and Agreements to Survive Delivery</w:t>
      </w:r>
      <w:r>
        <w:rPr>
          <w:rFonts w:ascii="Arial" w:cs="Arial" w:eastAsia="Arial" w:hAnsi="Arial"/>
          <w:sz w:val="19"/>
          <w:szCs w:val="19"/>
          <w:color w:val="auto"/>
        </w:rPr>
        <w:t xml:space="preserve">. The indemnity and contribution agreements contained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20" w:lineRule="exact"/>
        <w:rPr>
          <w:sz w:val="20"/>
          <w:szCs w:val="20"/>
          <w:color w:val="auto"/>
        </w:rPr>
      </w:pPr>
    </w:p>
    <w:p>
      <w:pPr>
        <w:jc w:val="both"/>
        <w:ind w:firstLine="656"/>
        <w:spacing w:after="0" w:line="258" w:lineRule="auto"/>
        <w:tabs>
          <w:tab w:leader="none" w:pos="129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Cowen shall have the right by giving written notice as hereinafter specified at any time to terminate this Agreement if (i) any Material Adverse Change, or any development that could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or (iii) any other condition of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Arial" w:cs="Arial" w:eastAsia="Arial" w:hAnsi="Arial"/>
          <w:sz w:val="21"/>
          <w:szCs w:val="21"/>
          <w:u w:val="single" w:color="auto"/>
          <w:color w:val="auto"/>
        </w:rPr>
        <w:t>Section 7(g)</w:t>
      </w:r>
      <w:r>
        <w:rPr>
          <w:rFonts w:ascii="Arial" w:cs="Arial" w:eastAsia="Arial" w:hAnsi="Arial"/>
          <w:sz w:val="21"/>
          <w:szCs w:val="21"/>
          <w:color w:val="auto"/>
        </w:rPr>
        <w:t xml:space="preserve"> (Expenses),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(Indemnification and Contribution),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(Representations and Agreements to Survive Delivery),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(Applicable Law; Consent to Jurisdiction) and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(Waiver of Jury Trial) hereof shall remain in full force and effect notwithstanding such termination. If Cowen elects to terminate this Agreement as provided in this </w:t>
      </w:r>
      <w:r>
        <w:rPr>
          <w:rFonts w:ascii="Arial" w:cs="Arial" w:eastAsia="Arial" w:hAnsi="Arial"/>
          <w:sz w:val="21"/>
          <w:szCs w:val="21"/>
          <w:u w:val="single" w:color="auto"/>
          <w:color w:val="auto"/>
        </w:rPr>
        <w:t>Section 11(a)</w:t>
      </w:r>
      <w:r>
        <w:rPr>
          <w:rFonts w:ascii="Arial" w:cs="Arial" w:eastAsia="Arial" w:hAnsi="Arial"/>
          <w:sz w:val="21"/>
          <w:szCs w:val="21"/>
          <w:color w:val="auto"/>
        </w:rPr>
        <w:t xml:space="preserve">, Cowen shall provide the required written notice as specified in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(Notices).</w:t>
      </w:r>
    </w:p>
    <w:p>
      <w:pPr>
        <w:spacing w:after="0" w:line="182" w:lineRule="exact"/>
        <w:rPr>
          <w:sz w:val="20"/>
          <w:szCs w:val="20"/>
          <w:color w:val="auto"/>
        </w:rPr>
      </w:pPr>
    </w:p>
    <w:p>
      <w:pPr>
        <w:ind w:right="60" w:firstLine="212"/>
        <w:spacing w:after="0" w:line="250" w:lineRule="auto"/>
        <w:rPr>
          <w:sz w:val="20"/>
          <w:szCs w:val="20"/>
          <w:color w:val="auto"/>
        </w:rPr>
      </w:pPr>
      <w:r>
        <w:rPr>
          <w:rFonts w:ascii="Arial" w:cs="Arial" w:eastAsia="Arial" w:hAnsi="Arial"/>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215" w:lineRule="exact"/>
        <w:rPr>
          <w:sz w:val="20"/>
          <w:szCs w:val="20"/>
          <w:color w:val="auto"/>
        </w:rPr>
      </w:pPr>
    </w:p>
    <w:p>
      <w:pPr>
        <w:jc w:val="both"/>
        <w:ind w:firstLine="656"/>
        <w:spacing w:after="0" w:line="250" w:lineRule="auto"/>
        <w:tabs>
          <w:tab w:leader="none" w:pos="12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Unless earlier terminated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this Agreement shall automatically terminate upon the issuance and sale of all of the Placement Shares through Cowen on the terms and subject to the conditions set forth herein;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provisions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7(g)</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17</w:t>
      </w:r>
      <w:r>
        <w:rPr>
          <w:rFonts w:ascii="Arial" w:cs="Arial" w:eastAsia="Arial" w:hAnsi="Arial"/>
          <w:sz w:val="22"/>
          <w:szCs w:val="22"/>
          <w:i w:val="1"/>
          <w:iCs w:val="1"/>
          <w:color w:val="auto"/>
        </w:rPr>
        <w:t xml:space="preserve"> </w:t>
      </w:r>
      <w:r>
        <w:rPr>
          <w:rFonts w:ascii="Arial" w:cs="Arial" w:eastAsia="Arial" w:hAnsi="Arial"/>
          <w:sz w:val="22"/>
          <w:szCs w:val="22"/>
          <w:color w:val="auto"/>
        </w:rPr>
        <w:t>hereof shall remain in full force and</w:t>
      </w:r>
      <w:r>
        <w:rPr>
          <w:rFonts w:ascii="Arial" w:cs="Arial" w:eastAsia="Arial" w:hAnsi="Arial"/>
          <w:sz w:val="22"/>
          <w:szCs w:val="22"/>
          <w:i w:val="1"/>
          <w:iCs w:val="1"/>
          <w:color w:val="auto"/>
        </w:rPr>
        <w:t xml:space="preserve"> </w:t>
      </w:r>
      <w:r>
        <w:rPr>
          <w:rFonts w:ascii="Arial" w:cs="Arial" w:eastAsia="Arial" w:hAnsi="Arial"/>
          <w:sz w:val="22"/>
          <w:szCs w:val="22"/>
          <w:color w:val="auto"/>
        </w:rPr>
        <w:t>effect notwithstanding such termination.</w:t>
      </w:r>
    </w:p>
    <w:p>
      <w:pPr>
        <w:spacing w:after="0" w:line="187" w:lineRule="exact"/>
        <w:rPr>
          <w:rFonts w:ascii="Arial" w:cs="Arial" w:eastAsia="Arial" w:hAnsi="Arial"/>
          <w:sz w:val="22"/>
          <w:szCs w:val="22"/>
          <w:color w:val="auto"/>
        </w:rPr>
      </w:pPr>
    </w:p>
    <w:p>
      <w:pPr>
        <w:ind w:firstLine="656"/>
        <w:spacing w:after="0" w:line="263" w:lineRule="auto"/>
        <w:tabs>
          <w:tab w:leader="none" w:pos="12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This Agreement shall remain in full force and effect unless terminated pursuant to </w:t>
      </w:r>
      <w:r>
        <w:rPr>
          <w:rFonts w:ascii="Arial" w:cs="Arial" w:eastAsia="Arial" w:hAnsi="Arial"/>
          <w:sz w:val="22"/>
          <w:szCs w:val="22"/>
          <w:u w:val="single" w:color="auto"/>
          <w:color w:val="auto"/>
        </w:rPr>
        <w:t>Sections 11(a)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 or (d)</w:t>
      </w:r>
      <w:r>
        <w:rPr>
          <w:rFonts w:ascii="Arial" w:cs="Arial" w:eastAsia="Arial" w:hAnsi="Arial"/>
          <w:sz w:val="22"/>
          <w:szCs w:val="22"/>
          <w:color w:val="auto"/>
        </w:rPr>
        <w:t xml:space="preserve"> above or otherwise by mutual agreement of the parties; </w:t>
      </w:r>
      <w:r>
        <w:rPr>
          <w:rFonts w:ascii="Arial" w:cs="Arial" w:eastAsia="Arial" w:hAnsi="Arial"/>
          <w:sz w:val="22"/>
          <w:szCs w:val="22"/>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7" w:right="339" w:bottom="1440" w:gutter="0" w:footer="0" w:header="0"/>
        </w:sectPr>
      </w:pPr>
    </w:p>
    <w:bookmarkStart w:id="146" w:name="page147"/>
    <w:bookmarkEnd w:id="146"/>
    <w:p>
      <w:pPr>
        <w:spacing w:after="0" w:line="263" w:lineRule="auto"/>
        <w:rPr>
          <w:sz w:val="20"/>
          <w:szCs w:val="20"/>
          <w:color w:val="auto"/>
        </w:rPr>
      </w:pPr>
      <w:r>
        <w:rPr>
          <w:rFonts w:ascii="Arial" w:cs="Arial" w:eastAsia="Arial" w:hAnsi="Arial"/>
          <w:sz w:val="22"/>
          <w:szCs w:val="22"/>
          <w:i w:val="1"/>
          <w:iCs w:val="1"/>
          <w:color w:val="auto"/>
        </w:rPr>
        <w:t xml:space="preserve">however, </w:t>
      </w:r>
      <w:r>
        <w:rPr>
          <w:rFonts w:ascii="Arial" w:cs="Arial" w:eastAsia="Arial" w:hAnsi="Arial"/>
          <w:sz w:val="22"/>
          <w:szCs w:val="22"/>
          <w:color w:val="auto"/>
        </w:rPr>
        <w:t>that any such termination by mutual agreement shall in all cases be deemed to provide that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7(g)</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shall remain in full force and effect.</w:t>
      </w:r>
    </w:p>
    <w:p>
      <w:pPr>
        <w:spacing w:after="0" w:line="175" w:lineRule="exact"/>
        <w:rPr>
          <w:sz w:val="20"/>
          <w:szCs w:val="20"/>
          <w:color w:val="auto"/>
        </w:rPr>
      </w:pPr>
    </w:p>
    <w:p>
      <w:pPr>
        <w:ind w:right="20" w:firstLine="204"/>
        <w:spacing w:after="0" w:line="246" w:lineRule="auto"/>
        <w:rPr>
          <w:sz w:val="20"/>
          <w:szCs w:val="20"/>
          <w:color w:val="auto"/>
        </w:rPr>
      </w:pPr>
      <w:r>
        <w:rPr>
          <w:rFonts w:ascii="Arial" w:cs="Arial" w:eastAsia="Arial" w:hAnsi="Arial"/>
          <w:sz w:val="22"/>
          <w:szCs w:val="22"/>
          <w:color w:val="auto"/>
        </w:rPr>
        <w:t xml:space="preserve">Any termination of this Agreement shall be effective on the date specified in such notice of termination;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such termination shall not be effective until the close of business on the date of receipt of such notice by Cowen or the Company, as the case may be. If such termination shall occur prior to the Settlement Date for any sale of Placement Shares, such Placement Shares shall settle in accordance with the provisions of this Agreement. Upon termination of this Agreement, the Company shall not have liability to Cowen for any discount, commission or other compensation with respect to any Placement Shares not otherwise sold by Cowen under this Agreement, except with respect to reimbursement of expenses pursuant to Section 7(g)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Subject to the additional limitations set forth in Section 7 of this Agreement, in</w:t>
      </w:r>
    </w:p>
    <w:p>
      <w:pPr>
        <w:spacing w:after="0" w:line="21" w:lineRule="exact"/>
        <w:rPr>
          <w:sz w:val="20"/>
          <w:szCs w:val="20"/>
          <w:color w:val="auto"/>
        </w:rPr>
      </w:pPr>
    </w:p>
    <w:p>
      <w:pPr>
        <w:ind w:right="1160"/>
        <w:spacing w:after="0" w:line="246" w:lineRule="auto"/>
        <w:rPr>
          <w:sz w:val="20"/>
          <w:szCs w:val="20"/>
          <w:color w:val="auto"/>
        </w:rPr>
      </w:pPr>
      <w:r>
        <w:rPr>
          <w:rFonts w:ascii="Arial" w:cs="Arial" w:eastAsia="Arial" w:hAnsi="Arial"/>
          <w:sz w:val="22"/>
          <w:szCs w:val="22"/>
          <w:color w:val="auto"/>
        </w:rPr>
        <w:t>the event of termination of this Agreement prior to the sale of any Placement Shares. Cowen shall be entitled only to reimbursement of its out of pocket expenses actually incurred.</w:t>
      </w:r>
    </w:p>
    <w:p>
      <w:pPr>
        <w:spacing w:after="0" w:line="219" w:lineRule="exact"/>
        <w:rPr>
          <w:sz w:val="20"/>
          <w:szCs w:val="20"/>
          <w:color w:val="auto"/>
        </w:rPr>
      </w:pPr>
    </w:p>
    <w:p>
      <w:pPr>
        <w:jc w:val="both"/>
        <w:ind w:firstLine="656"/>
        <w:spacing w:after="0" w:line="286" w:lineRule="auto"/>
        <w:tabs>
          <w:tab w:leader="none" w:pos="1296"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NY 10022, fax no. 646-562-1130, Attention: General Counsel, email: Bradley.friedman@cowen.com, with a copy to Cooley LLP, fax no. 212-479-6275, attention: Daniel I. Goldberg; or if sent to the Company, shall be delivered to Arcutis Biotherapeutics, Inc., 2945 Townsgate Road, Suite 110, Westlake Village, CA 91361, attention: General Counsel , email: kklein@arcutis.com, with a copy to Latham &amp; Watkins LLP, attention: Brian Cuneo, email: brian.cuneo@lw.com.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on which the Nasdaq and commercial banks in the City of New York are open for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7" w:right="339" w:bottom="1440" w:gutter="0" w:footer="0" w:header="0"/>
        </w:sectPr>
      </w:pPr>
    </w:p>
    <w:bookmarkStart w:id="147" w:name="page148"/>
    <w:bookmarkEnd w:id="147"/>
    <w:p>
      <w:pPr>
        <w:jc w:val="both"/>
        <w:ind w:firstLine="656"/>
        <w:spacing w:after="0" w:line="290" w:lineRule="auto"/>
        <w:tabs>
          <w:tab w:leader="none" w:pos="129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inure to the benefit of and be binding upon the Company and Cowen and their respective successors and the affiliates, controlling persons, officers and directors referred to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Cowen may assign its rights and obligations hereunder to an affiliate of Cowen without obtaining the Company’s consent.</w:t>
      </w:r>
    </w:p>
    <w:p>
      <w:pPr>
        <w:spacing w:after="0" w:line="155"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Adjustments for Share Splits</w:t>
      </w:r>
      <w:r>
        <w:rPr>
          <w:rFonts w:ascii="Arial" w:cs="Arial" w:eastAsia="Arial" w:hAnsi="Arial"/>
          <w:sz w:val="22"/>
          <w:szCs w:val="22"/>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85" w:lineRule="exact"/>
        <w:rPr>
          <w:rFonts w:ascii="Arial" w:cs="Arial" w:eastAsia="Arial" w:hAnsi="Arial"/>
          <w:sz w:val="22"/>
          <w:szCs w:val="22"/>
          <w:color w:val="auto"/>
        </w:rPr>
      </w:pPr>
    </w:p>
    <w:p>
      <w:pPr>
        <w:jc w:val="both"/>
        <w:ind w:firstLine="656"/>
        <w:spacing w:after="0" w:line="288" w:lineRule="auto"/>
        <w:tabs>
          <w:tab w:leader="none" w:pos="129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 Severability</w:t>
      </w:r>
      <w:r>
        <w:rPr>
          <w:rFonts w:ascii="Arial" w:cs="Arial" w:eastAsia="Arial" w:hAnsi="Arial"/>
          <w:sz w:val="19"/>
          <w:szCs w:val="19"/>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59" w:lineRule="exact"/>
        <w:rPr>
          <w:rFonts w:ascii="Arial" w:cs="Arial" w:eastAsia="Arial" w:hAnsi="Arial"/>
          <w:sz w:val="19"/>
          <w:szCs w:val="19"/>
          <w:color w:val="auto"/>
        </w:rPr>
      </w:pPr>
    </w:p>
    <w:p>
      <w:pPr>
        <w:jc w:val="both"/>
        <w:ind w:firstLine="656"/>
        <w:spacing w:after="0" w:line="288" w:lineRule="auto"/>
        <w:tabs>
          <w:tab w:leader="none" w:pos="129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Applicable Law; Consent to Jurisdiction</w:t>
      </w:r>
      <w:r>
        <w:rPr>
          <w:rFonts w:ascii="Arial" w:cs="Arial" w:eastAsia="Arial" w:hAnsi="Arial"/>
          <w:sz w:val="19"/>
          <w:szCs w:val="19"/>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7" w:right="339" w:bottom="1440" w:gutter="0" w:footer="0" w:header="0"/>
        </w:sectPr>
      </w:pPr>
    </w:p>
    <w:bookmarkStart w:id="148" w:name="page149"/>
    <w:bookmarkEnd w:id="148"/>
    <w:p>
      <w:pPr>
        <w:ind w:right="20" w:firstLine="656"/>
        <w:spacing w:after="0" w:line="287" w:lineRule="auto"/>
        <w:tabs>
          <w:tab w:leader="none" w:pos="1296"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The Company and Cowen each hereby irrevocably waives any right it may have to a trial by jury in respect of any claim based upon or arising out of this Agreement or any transaction contemplated hereby.</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acknowledges and agrees that:</w:t>
      </w:r>
    </w:p>
    <w:p>
      <w:pPr>
        <w:spacing w:after="0" w:line="220" w:lineRule="exact"/>
        <w:rPr>
          <w:sz w:val="20"/>
          <w:szCs w:val="20"/>
          <w:color w:val="auto"/>
        </w:rPr>
      </w:pPr>
    </w:p>
    <w:p>
      <w:pPr>
        <w:jc w:val="both"/>
        <w:ind w:firstLine="656"/>
        <w:spacing w:after="0" w:line="250" w:lineRule="auto"/>
        <w:tabs>
          <w:tab w:leader="none" w:pos="129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Cowen has been retained solely to act as an arm’s length contractual counterparty to the Company in connection with the sale of the Placement Shares contemplated hereby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187" w:lineRule="exact"/>
        <w:rPr>
          <w:rFonts w:ascii="Arial" w:cs="Arial" w:eastAsia="Arial" w:hAnsi="Arial"/>
          <w:sz w:val="22"/>
          <w:szCs w:val="22"/>
          <w:color w:val="auto"/>
        </w:rPr>
      </w:pPr>
    </w:p>
    <w:p>
      <w:pPr>
        <w:ind w:firstLine="656"/>
        <w:spacing w:after="0" w:line="263" w:lineRule="auto"/>
        <w:tabs>
          <w:tab w:leader="none" w:pos="129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Company is capable of evaluating and understanding and understands and accepts the terms, risks and conditions of the transactions contemplated by this Agreement;</w:t>
      </w:r>
    </w:p>
    <w:p>
      <w:pPr>
        <w:spacing w:after="0" w:line="174" w:lineRule="exact"/>
        <w:rPr>
          <w:rFonts w:ascii="Arial" w:cs="Arial" w:eastAsia="Arial" w:hAnsi="Arial"/>
          <w:sz w:val="22"/>
          <w:szCs w:val="22"/>
          <w:color w:val="auto"/>
        </w:rPr>
      </w:pPr>
    </w:p>
    <w:p>
      <w:pPr>
        <w:jc w:val="both"/>
        <w:ind w:firstLine="656"/>
        <w:spacing w:after="0" w:line="271" w:lineRule="auto"/>
        <w:tabs>
          <w:tab w:leader="none" w:pos="1293"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167" w:lineRule="exact"/>
        <w:rPr>
          <w:rFonts w:ascii="Arial" w:cs="Arial" w:eastAsia="Arial" w:hAnsi="Arial"/>
          <w:sz w:val="21"/>
          <w:szCs w:val="21"/>
          <w:color w:val="auto"/>
        </w:rPr>
      </w:pPr>
    </w:p>
    <w:p>
      <w:pPr>
        <w:jc w:val="both"/>
        <w:ind w:firstLine="656"/>
        <w:spacing w:after="0" w:line="265" w:lineRule="auto"/>
        <w:tabs>
          <w:tab w:leader="none" w:pos="1291"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75" w:lineRule="exact"/>
        <w:rPr>
          <w:sz w:val="20"/>
          <w:szCs w:val="20"/>
          <w:color w:val="auto"/>
        </w:rPr>
      </w:pPr>
    </w:p>
    <w:p>
      <w:pPr>
        <w:jc w:val="both"/>
        <w:ind w:firstLine="656"/>
        <w:spacing w:after="0" w:line="263" w:lineRule="auto"/>
        <w:tabs>
          <w:tab w:leader="none" w:pos="1296"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7" w:right="339" w:bottom="1440" w:gutter="0" w:footer="0" w:header="0"/>
        </w:sectPr>
      </w:pPr>
    </w:p>
    <w:bookmarkStart w:id="149" w:name="page150"/>
    <w:bookmarkEnd w:id="149"/>
    <w:p>
      <w:pPr>
        <w:ind w:firstLine="648"/>
        <w:spacing w:after="0" w:line="343" w:lineRule="auto"/>
        <w:rPr>
          <w:sz w:val="20"/>
          <w:szCs w:val="20"/>
          <w:color w:val="auto"/>
        </w:rPr>
      </w:pPr>
      <w:r>
        <w:rPr>
          <w:rFonts w:ascii="Arial" w:cs="Arial" w:eastAsia="Arial" w:hAnsi="Arial"/>
          <w:sz w:val="19"/>
          <w:szCs w:val="19"/>
          <w:color w:val="auto"/>
        </w:rPr>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41"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COWEN AND COMPANY, LLC</w:t>
      </w:r>
    </w:p>
    <w:p>
      <w:pPr>
        <w:spacing w:after="0" w:line="200" w:lineRule="exact"/>
        <w:rPr>
          <w:sz w:val="20"/>
          <w:szCs w:val="20"/>
          <w:color w:val="auto"/>
        </w:rPr>
      </w:pPr>
    </w:p>
    <w:p>
      <w:pPr>
        <w:spacing w:after="0" w:line="35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Murphy</w:t>
      </w:r>
    </w:p>
    <w:p>
      <w:pPr>
        <w:spacing w:after="0" w:line="5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ACCEPTED as of the date</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first-above written:</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ARCUTIS BIOTHERAPEUTICS, INC.</w:t>
      </w:r>
    </w:p>
    <w:p>
      <w:pPr>
        <w:spacing w:after="0" w:line="200" w:lineRule="exact"/>
        <w:rPr>
          <w:sz w:val="20"/>
          <w:szCs w:val="20"/>
          <w:color w:val="auto"/>
        </w:rPr>
      </w:pPr>
    </w:p>
    <w:p>
      <w:pPr>
        <w:spacing w:after="0" w:line="35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Scott L. Burrows</w:t>
      </w:r>
    </w:p>
    <w:p>
      <w:pPr>
        <w:spacing w:after="0" w:line="5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Chief Financial</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7"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u w:val="single" w:color="auto"/>
          <w:color w:val="auto"/>
        </w:rPr>
        <w:t>SCHEDULE 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0" w:type="dxa"/>
            <w:vAlign w:val="bottom"/>
            <w:gridSpan w:val="2"/>
          </w:tcPr>
          <w:p>
            <w:pPr>
              <w:ind w:left="3040"/>
              <w:spacing w:after="0"/>
              <w:rPr>
                <w:sz w:val="20"/>
                <w:szCs w:val="20"/>
                <w:color w:val="auto"/>
              </w:rPr>
            </w:pPr>
            <w:r>
              <w:rPr>
                <w:rFonts w:ascii="Arial" w:cs="Arial" w:eastAsia="Arial" w:hAnsi="Arial"/>
                <w:sz w:val="22"/>
                <w:szCs w:val="22"/>
                <w:b w:val="1"/>
                <w:bCs w:val="1"/>
                <w:color w:val="auto"/>
              </w:rPr>
              <w:t>FORM OF PLACEMENT NOTICE</w:t>
            </w:r>
          </w:p>
        </w:tc>
      </w:tr>
      <w:tr>
        <w:trPr>
          <w:trHeight w:val="944"/>
        </w:trPr>
        <w:tc>
          <w:tcPr>
            <w:tcW w:w="540" w:type="dxa"/>
            <w:vAlign w:val="bottom"/>
          </w:tcPr>
          <w:p>
            <w:pPr>
              <w:spacing w:after="0"/>
              <w:rPr>
                <w:sz w:val="20"/>
                <w:szCs w:val="20"/>
                <w:color w:val="auto"/>
              </w:rPr>
            </w:pPr>
            <w:r>
              <w:rPr>
                <w:rFonts w:ascii="Arial" w:cs="Arial" w:eastAsia="Arial" w:hAnsi="Arial"/>
                <w:sz w:val="22"/>
                <w:szCs w:val="22"/>
                <w:color w:val="auto"/>
                <w:w w:val="90"/>
              </w:rPr>
              <w:t>From:</w:t>
            </w: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3040" w:type="dxa"/>
            <w:vAlign w:val="bottom"/>
          </w:tcPr>
          <w:p>
            <w:pPr>
              <w:jc w:val="right"/>
              <w:ind w:right="1092"/>
              <w:spacing w:after="0"/>
              <w:rPr>
                <w:sz w:val="20"/>
                <w:szCs w:val="20"/>
                <w:color w:val="auto"/>
              </w:rPr>
            </w:pPr>
            <w:r>
              <w:rPr>
                <w:rFonts w:ascii="Arial" w:cs="Arial" w:eastAsia="Arial" w:hAnsi="Arial"/>
                <w:sz w:val="22"/>
                <w:szCs w:val="22"/>
                <w:color w:val="auto"/>
              </w:rPr>
              <w:t>]</w:t>
            </w:r>
          </w:p>
        </w:tc>
        <w:tc>
          <w:tcPr>
            <w:tcW w:w="3360" w:type="dxa"/>
            <w:vAlign w:val="bottom"/>
            <w:tcBorders>
              <w:top w:val="single" w:sz="8" w:color="auto"/>
            </w:tcBorders>
          </w:tcPr>
          <w:p>
            <w:pPr>
              <w:spacing w:after="0"/>
              <w:rPr>
                <w:sz w:val="24"/>
                <w:szCs w:val="24"/>
                <w:color w:val="auto"/>
              </w:rPr>
            </w:pPr>
          </w:p>
        </w:tc>
      </w:tr>
      <w:tr>
        <w:trPr>
          <w:trHeight w:val="256"/>
        </w:trPr>
        <w:tc>
          <w:tcPr>
            <w:tcW w:w="900" w:type="dxa"/>
            <w:vAlign w:val="bottom"/>
            <w:gridSpan w:val="2"/>
          </w:tcPr>
          <w:p>
            <w:pPr>
              <w:spacing w:after="0"/>
              <w:rPr>
                <w:sz w:val="20"/>
                <w:szCs w:val="20"/>
                <w:color w:val="auto"/>
              </w:rPr>
            </w:pPr>
            <w:r>
              <w:rPr>
                <w:rFonts w:ascii="Arial" w:cs="Arial" w:eastAsia="Arial" w:hAnsi="Arial"/>
                <w:sz w:val="22"/>
                <w:szCs w:val="22"/>
                <w:color w:val="auto"/>
              </w:rPr>
              <w:t>Cc:  [</w:t>
            </w:r>
          </w:p>
        </w:tc>
        <w:tc>
          <w:tcPr>
            <w:tcW w:w="3040" w:type="dxa"/>
            <w:vAlign w:val="bottom"/>
          </w:tcPr>
          <w:p>
            <w:pPr>
              <w:jc w:val="right"/>
              <w:ind w:right="1332"/>
              <w:spacing w:after="0"/>
              <w:rPr>
                <w:sz w:val="20"/>
                <w:szCs w:val="20"/>
                <w:color w:val="auto"/>
              </w:rPr>
            </w:pPr>
            <w:r>
              <w:rPr>
                <w:rFonts w:ascii="Arial" w:cs="Arial" w:eastAsia="Arial" w:hAnsi="Arial"/>
                <w:sz w:val="22"/>
                <w:szCs w:val="22"/>
                <w:color w:val="auto"/>
              </w:rPr>
              <w:t>]</w:t>
            </w:r>
          </w:p>
        </w:tc>
        <w:tc>
          <w:tcPr>
            <w:tcW w:w="336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Arial" w:cs="Arial" w:eastAsia="Arial" w:hAnsi="Arial"/>
                <w:sz w:val="22"/>
                <w:szCs w:val="22"/>
                <w:color w:val="auto"/>
              </w:rPr>
              <w:t>To:</w:t>
            </w:r>
          </w:p>
        </w:tc>
        <w:tc>
          <w:tcPr>
            <w:tcW w:w="3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3040" w:type="dxa"/>
            <w:vAlign w:val="bottom"/>
          </w:tcPr>
          <w:p>
            <w:pPr>
              <w:jc w:val="right"/>
              <w:ind w:right="2432"/>
              <w:spacing w:after="0"/>
              <w:rPr>
                <w:sz w:val="20"/>
                <w:szCs w:val="20"/>
                <w:color w:val="auto"/>
              </w:rPr>
            </w:pPr>
            <w:r>
              <w:rPr>
                <w:rFonts w:ascii="Arial" w:cs="Arial" w:eastAsia="Arial" w:hAnsi="Arial"/>
                <w:sz w:val="22"/>
                <w:szCs w:val="22"/>
                <w:color w:val="auto"/>
              </w:rPr>
              <w:t>]</w:t>
            </w:r>
          </w:p>
        </w:tc>
        <w:tc>
          <w:tcPr>
            <w:tcW w:w="3360" w:type="dxa"/>
            <w:vAlign w:val="bottom"/>
          </w:tcPr>
          <w:p>
            <w:pPr>
              <w:spacing w:after="0"/>
              <w:rPr>
                <w:sz w:val="22"/>
                <w:szCs w:val="22"/>
                <w:color w:val="auto"/>
              </w:rPr>
            </w:pPr>
          </w:p>
        </w:tc>
      </w:tr>
      <w:tr>
        <w:trPr>
          <w:trHeight w:val="274"/>
        </w:trPr>
        <w:tc>
          <w:tcPr>
            <w:tcW w:w="900" w:type="dxa"/>
            <w:vAlign w:val="bottom"/>
            <w:gridSpan w:val="2"/>
          </w:tcPr>
          <w:p>
            <w:pPr>
              <w:spacing w:after="0"/>
              <w:rPr>
                <w:sz w:val="20"/>
                <w:szCs w:val="20"/>
                <w:color w:val="auto"/>
              </w:rPr>
            </w:pPr>
            <w:r>
              <w:rPr>
                <w:rFonts w:ascii="Arial" w:cs="Arial" w:eastAsia="Arial" w:hAnsi="Arial"/>
                <w:sz w:val="22"/>
                <w:szCs w:val="22"/>
                <w:color w:val="auto"/>
              </w:rPr>
              <w:t>Subject:</w:t>
            </w:r>
          </w:p>
        </w:tc>
        <w:tc>
          <w:tcPr>
            <w:tcW w:w="6400" w:type="dxa"/>
            <w:vAlign w:val="bottom"/>
            <w:gridSpan w:val="2"/>
          </w:tcPr>
          <w:p>
            <w:pPr>
              <w:ind w:left="80"/>
              <w:spacing w:after="0"/>
              <w:rPr>
                <w:sz w:val="20"/>
                <w:szCs w:val="20"/>
                <w:color w:val="auto"/>
              </w:rPr>
            </w:pPr>
            <w:r>
              <w:rPr>
                <w:rFonts w:ascii="Arial" w:cs="Arial" w:eastAsia="Arial" w:hAnsi="Arial"/>
                <w:sz w:val="22"/>
                <w:szCs w:val="22"/>
                <w:color w:val="auto"/>
              </w:rPr>
              <w:t>Cowen At the Market Offering—Placement Notice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Pursuant to the terms and subject to the conditions contained in the Sales Agreement between Arcutis Biotherapeutics,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Cowen and Company, LLC (“</w:t>
      </w:r>
      <w:r>
        <w:rPr>
          <w:rFonts w:ascii="Arial" w:cs="Arial" w:eastAsia="Arial" w:hAnsi="Arial"/>
          <w:sz w:val="19"/>
          <w:szCs w:val="19"/>
          <w:u w:val="single" w:color="auto"/>
          <w:color w:val="auto"/>
        </w:rPr>
        <w:t>Cowen</w:t>
      </w:r>
      <w:r>
        <w:rPr>
          <w:rFonts w:ascii="Arial" w:cs="Arial" w:eastAsia="Arial" w:hAnsi="Arial"/>
          <w:sz w:val="19"/>
          <w:szCs w:val="19"/>
          <w:color w:val="auto"/>
        </w:rPr>
        <w:t>”) dated May 6, 2021 (the “</w:t>
      </w:r>
      <w:r>
        <w:rPr>
          <w:rFonts w:ascii="Arial" w:cs="Arial" w:eastAsia="Arial" w:hAnsi="Arial"/>
          <w:sz w:val="19"/>
          <w:szCs w:val="19"/>
          <w:u w:val="single" w:color="auto"/>
          <w:color w:val="auto"/>
        </w:rPr>
        <w:t>Agreement</w:t>
      </w:r>
      <w:r>
        <w:rPr>
          <w:rFonts w:ascii="Arial" w:cs="Arial" w:eastAsia="Arial" w:hAnsi="Arial"/>
          <w:sz w:val="19"/>
          <w:szCs w:val="19"/>
          <w:color w:val="auto"/>
        </w:rPr>
        <w:t>”), I hereby request on behalf of the Company that Cowen sell up to [ ] shares of the Company’s common stock, par value $0.0001 per share, at a minimum market price of $_______ per share. Sales should begin on the date of this Notice and shall continue until [DATE] [all shares are sold].</w:t>
      </w:r>
    </w:p>
    <w:p>
      <w:pPr>
        <w:sectPr>
          <w:pgSz w:w="11900" w:h="16838" w:orient="portrait"/>
          <w:cols w:equalWidth="0" w:num="1">
            <w:col w:w="11240"/>
          </w:cols>
          <w:pgMar w:left="320" w:top="14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22"/>
                <w:szCs w:val="22"/>
                <w:b w:val="1"/>
                <w:bCs w:val="1"/>
                <w:color w:val="auto"/>
              </w:rPr>
              <w:t>Notice Parties</w:t>
            </w:r>
          </w:p>
        </w:tc>
      </w:tr>
      <w:tr>
        <w:trPr>
          <w:trHeight w:val="453"/>
        </w:trPr>
        <w:tc>
          <w:tcPr>
            <w:tcW w:w="3180" w:type="dxa"/>
            <w:vAlign w:val="bottom"/>
            <w:gridSpan w:val="2"/>
          </w:tcPr>
          <w:p>
            <w:pPr>
              <w:spacing w:after="0"/>
              <w:rPr>
                <w:sz w:val="20"/>
                <w:szCs w:val="20"/>
                <w:color w:val="auto"/>
              </w:rPr>
            </w:pPr>
            <w:r>
              <w:rPr>
                <w:rFonts w:ascii="Arial" w:cs="Arial" w:eastAsia="Arial" w:hAnsi="Arial"/>
                <w:sz w:val="22"/>
                <w:szCs w:val="22"/>
                <w:b w:val="1"/>
                <w:bCs w:val="1"/>
                <w:color w:val="auto"/>
              </w:rPr>
              <w:t>Company</w:t>
            </w:r>
          </w:p>
        </w:tc>
        <w:tc>
          <w:tcPr>
            <w:tcW w:w="18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r>
      <w:tr>
        <w:trPr>
          <w:trHeight w:val="557"/>
        </w:trPr>
        <w:tc>
          <w:tcPr>
            <w:tcW w:w="3180" w:type="dxa"/>
            <w:vAlign w:val="bottom"/>
            <w:gridSpan w:val="2"/>
          </w:tcPr>
          <w:p>
            <w:pPr>
              <w:ind w:left="20"/>
              <w:spacing w:after="0"/>
              <w:rPr>
                <w:sz w:val="20"/>
                <w:szCs w:val="20"/>
                <w:color w:val="auto"/>
              </w:rPr>
            </w:pPr>
            <w:r>
              <w:rPr>
                <w:rFonts w:ascii="Arial" w:cs="Arial" w:eastAsia="Arial" w:hAnsi="Arial"/>
                <w:sz w:val="22"/>
                <w:szCs w:val="22"/>
                <w:color w:val="auto"/>
              </w:rPr>
              <w:t>Todd Franklin Watanabe</w:t>
            </w:r>
          </w:p>
        </w:tc>
        <w:tc>
          <w:tcPr>
            <w:tcW w:w="4320" w:type="dxa"/>
            <w:vAlign w:val="bottom"/>
            <w:gridSpan w:val="3"/>
          </w:tcPr>
          <w:p>
            <w:pPr>
              <w:ind w:left="1020"/>
              <w:spacing w:after="0"/>
              <w:rPr>
                <w:sz w:val="20"/>
                <w:szCs w:val="20"/>
                <w:color w:val="auto"/>
              </w:rPr>
            </w:pPr>
            <w:r>
              <w:rPr>
                <w:rFonts w:ascii="Arial" w:cs="Arial" w:eastAsia="Arial" w:hAnsi="Arial"/>
                <w:sz w:val="22"/>
                <w:szCs w:val="22"/>
                <w:color w:val="auto"/>
                <w:w w:val="89"/>
              </w:rPr>
              <w:t>President and Chief Executive Officer</w:t>
            </w:r>
          </w:p>
        </w:tc>
      </w:tr>
      <w:tr>
        <w:trPr>
          <w:trHeight w:val="581"/>
        </w:trPr>
        <w:tc>
          <w:tcPr>
            <w:tcW w:w="3180" w:type="dxa"/>
            <w:vAlign w:val="bottom"/>
            <w:gridSpan w:val="2"/>
          </w:tcPr>
          <w:p>
            <w:pPr>
              <w:ind w:left="20"/>
              <w:spacing w:after="0"/>
              <w:rPr>
                <w:sz w:val="20"/>
                <w:szCs w:val="20"/>
                <w:color w:val="auto"/>
              </w:rPr>
            </w:pPr>
            <w:r>
              <w:rPr>
                <w:rFonts w:ascii="Arial" w:cs="Arial" w:eastAsia="Arial" w:hAnsi="Arial"/>
                <w:sz w:val="22"/>
                <w:szCs w:val="22"/>
                <w:color w:val="auto"/>
              </w:rPr>
              <w:t>Scott L. Burrows</w:t>
            </w:r>
          </w:p>
        </w:tc>
        <w:tc>
          <w:tcPr>
            <w:tcW w:w="4320" w:type="dxa"/>
            <w:vAlign w:val="bottom"/>
            <w:gridSpan w:val="3"/>
          </w:tcPr>
          <w:p>
            <w:pPr>
              <w:ind w:left="1020"/>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80" w:type="dxa"/>
            <w:vAlign w:val="bottom"/>
            <w:gridSpan w:val="2"/>
          </w:tcPr>
          <w:p>
            <w:pPr>
              <w:spacing w:after="0"/>
              <w:rPr>
                <w:sz w:val="20"/>
                <w:szCs w:val="20"/>
                <w:color w:val="auto"/>
              </w:rPr>
            </w:pPr>
            <w:r>
              <w:rPr>
                <w:rFonts w:ascii="Arial" w:cs="Arial" w:eastAsia="Arial" w:hAnsi="Arial"/>
                <w:sz w:val="22"/>
                <w:szCs w:val="22"/>
                <w:b w:val="1"/>
                <w:bCs w:val="1"/>
                <w:color w:val="auto"/>
              </w:rPr>
              <w:t>Cowen</w:t>
            </w:r>
          </w:p>
        </w:tc>
        <w:tc>
          <w:tcPr>
            <w:tcW w:w="1840" w:type="dxa"/>
            <w:vAlign w:val="bottom"/>
          </w:tcPr>
          <w:p>
            <w:pPr>
              <w:spacing w:after="0"/>
              <w:rPr>
                <w:sz w:val="21"/>
                <w:szCs w:val="2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503"/>
        </w:trPr>
        <w:tc>
          <w:tcPr>
            <w:tcW w:w="1680" w:type="dxa"/>
            <w:vAlign w:val="bottom"/>
            <w:gridSpan w:val="2"/>
          </w:tcPr>
          <w:p>
            <w:pPr>
              <w:spacing w:after="0"/>
              <w:rPr>
                <w:sz w:val="20"/>
                <w:szCs w:val="20"/>
                <w:color w:val="auto"/>
              </w:rPr>
            </w:pPr>
            <w:r>
              <w:rPr>
                <w:rFonts w:ascii="Arial" w:cs="Arial" w:eastAsia="Arial" w:hAnsi="Arial"/>
                <w:sz w:val="22"/>
                <w:szCs w:val="22"/>
                <w:color w:val="auto"/>
                <w:w w:val="92"/>
              </w:rPr>
              <w:t>Michael J. Murphy</w:t>
            </w:r>
          </w:p>
        </w:tc>
        <w:tc>
          <w:tcPr>
            <w:tcW w:w="1840" w:type="dxa"/>
            <w:vAlign w:val="bottom"/>
          </w:tcPr>
          <w:p>
            <w:pPr>
              <w:ind w:left="200"/>
              <w:spacing w:after="0"/>
              <w:rPr>
                <w:sz w:val="20"/>
                <w:szCs w:val="20"/>
                <w:color w:val="auto"/>
              </w:rPr>
            </w:pPr>
            <w:r>
              <w:rPr>
                <w:rFonts w:ascii="Arial" w:cs="Arial" w:eastAsia="Arial" w:hAnsi="Arial"/>
                <w:sz w:val="22"/>
                <w:szCs w:val="22"/>
                <w:color w:val="auto"/>
                <w:w w:val="90"/>
              </w:rPr>
              <w:t>Managing Director</w:t>
            </w:r>
          </w:p>
        </w:tc>
      </w:tr>
      <w:tr>
        <w:trPr>
          <w:trHeight w:val="473"/>
        </w:trPr>
        <w:tc>
          <w:tcPr>
            <w:tcW w:w="1680" w:type="dxa"/>
            <w:vAlign w:val="bottom"/>
            <w:gridSpan w:val="2"/>
          </w:tcPr>
          <w:p>
            <w:pPr>
              <w:spacing w:after="0"/>
              <w:rPr>
                <w:sz w:val="20"/>
                <w:szCs w:val="20"/>
                <w:color w:val="auto"/>
              </w:rPr>
            </w:pPr>
            <w:r>
              <w:rPr>
                <w:rFonts w:ascii="Arial" w:cs="Arial" w:eastAsia="Arial" w:hAnsi="Arial"/>
                <w:sz w:val="22"/>
                <w:szCs w:val="22"/>
                <w:color w:val="auto"/>
              </w:rPr>
              <w:t>William Follis</w:t>
            </w:r>
          </w:p>
        </w:tc>
        <w:tc>
          <w:tcPr>
            <w:tcW w:w="1840" w:type="dxa"/>
            <w:vAlign w:val="bottom"/>
          </w:tcPr>
          <w:p>
            <w:pPr>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11240"/>
          </w:cols>
          <w:pgMar w:left="320" w:top="14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u w:val="single" w:color="auto"/>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26"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Cowen shall be paid compensation equal to 3.0% of the gross proceeds from the sales of Common Stock pursuant to the terms of this Agreement.</w:t>
      </w:r>
    </w:p>
    <w:p>
      <w:pPr>
        <w:sectPr>
          <w:pgSz w:w="11900" w:h="16838" w:orient="portrait"/>
          <w:cols w:equalWidth="0" w:num="1">
            <w:col w:w="11240"/>
          </w:cols>
          <w:pgMar w:left="320" w:top="1422" w:right="339" w:bottom="1440" w:gutter="0" w:footer="0" w:header="0"/>
        </w:sectPr>
      </w:pPr>
    </w:p>
    <w:bookmarkStart w:id="153" w:name="page154"/>
    <w:bookmarkEnd w:id="153"/>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7(m)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 CERTIFICATE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the duly qualified and elected _______________________, of Arcutis Biotherapeutics, Inc.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w:t>
      </w:r>
    </w:p>
    <w:p>
      <w:pPr>
        <w:spacing w:after="0" w:line="62"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 xml:space="preserve">Delaware corporation, does hereby certify in such capacity and on behalf of the Company,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of the Sales Agreement dated May 6</w:t>
      </w:r>
      <w:r>
        <w:rPr>
          <w:rFonts w:ascii="Arial" w:cs="Arial" w:eastAsia="Arial" w:hAnsi="Arial"/>
          <w:sz w:val="22"/>
          <w:szCs w:val="22"/>
          <w:u w:val="single" w:color="auto"/>
          <w:color w:val="auto"/>
        </w:rPr>
        <w:t>,</w:t>
      </w:r>
      <w:r>
        <w:rPr>
          <w:rFonts w:ascii="Arial" w:cs="Arial" w:eastAsia="Arial" w:hAnsi="Arial"/>
          <w:sz w:val="22"/>
          <w:szCs w:val="22"/>
          <w:color w:val="auto"/>
        </w:rPr>
        <w:t xml:space="preserve"> 2021 (the “</w:t>
      </w:r>
      <w:r>
        <w:rPr>
          <w:rFonts w:ascii="Arial" w:cs="Arial" w:eastAsia="Arial" w:hAnsi="Arial"/>
          <w:sz w:val="22"/>
          <w:szCs w:val="22"/>
          <w:b w:val="1"/>
          <w:bCs w:val="1"/>
          <w:u w:val="single" w:color="auto"/>
          <w:color w:val="auto"/>
        </w:rPr>
        <w:t>Sales Agreement</w:t>
      </w:r>
      <w:r>
        <w:rPr>
          <w:rFonts w:ascii="Arial" w:cs="Arial" w:eastAsia="Arial" w:hAnsi="Arial"/>
          <w:sz w:val="22"/>
          <w:szCs w:val="22"/>
          <w:color w:val="auto"/>
        </w:rPr>
        <w:t>”) between the Company and Cowen and Company, LLC, that to the best of the knowledge of the undersigned.</w:t>
      </w:r>
    </w:p>
    <w:p>
      <w:pPr>
        <w:spacing w:after="0" w:line="220" w:lineRule="exact"/>
        <w:rPr>
          <w:sz w:val="20"/>
          <w:szCs w:val="20"/>
          <w:color w:val="auto"/>
        </w:rPr>
      </w:pPr>
    </w:p>
    <w:p>
      <w:pPr>
        <w:jc w:val="both"/>
        <w:ind w:firstLine="656"/>
        <w:spacing w:after="0" w:line="290" w:lineRule="auto"/>
        <w:tabs>
          <w:tab w:leader="none" w:pos="117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Company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55" w:lineRule="exact"/>
        <w:rPr>
          <w:rFonts w:ascii="Arial" w:cs="Arial" w:eastAsia="Arial" w:hAnsi="Arial"/>
          <w:sz w:val="19"/>
          <w:szCs w:val="19"/>
          <w:color w:val="auto"/>
        </w:rPr>
      </w:pPr>
    </w:p>
    <w:p>
      <w:pPr>
        <w:ind w:firstLine="656"/>
        <w:spacing w:after="0" w:line="263" w:lineRule="auto"/>
        <w:tabs>
          <w:tab w:leader="none" w:pos="116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Company has complied with all agreements and satisfied all conditions on its part to be performed or satisfied pursuant to the Sales Agreement at or prior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8229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5486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Todd Franklin Watanabe, certify that:</w:t>
      </w:r>
    </w:p>
    <w:p>
      <w:pPr>
        <w:spacing w:after="0" w:line="252"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660" w:hanging="332"/>
        <w:spacing w:after="0" w:line="277"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2"/>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7" w:val="left"/>
        </w:tabs>
        <w:numPr>
          <w:ilvl w:val="2"/>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1300" w:right="240" w:hanging="320"/>
        <w:spacing w:after="0" w:line="263" w:lineRule="auto"/>
        <w:tabs>
          <w:tab w:leader="none" w:pos="1294" w:val="left"/>
        </w:tabs>
        <w:numPr>
          <w:ilvl w:val="2"/>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4660" w:val="left"/>
          <w:tab w:leader="none" w:pos="62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29146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93"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Scott L. Burrows, certify that:</w:t>
      </w:r>
    </w:p>
    <w:p>
      <w:pPr>
        <w:spacing w:after="0" w:line="252"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Arcutis Biotherapeutics, Inc.;</w:t>
      </w:r>
    </w:p>
    <w:p>
      <w:pPr>
        <w:spacing w:after="0" w:line="15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340" w:right="660" w:hanging="332"/>
        <w:spacing w:after="0" w:line="277"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100" w:hanging="320"/>
        <w:spacing w:after="0" w:line="263" w:lineRule="auto"/>
        <w:tabs>
          <w:tab w:leader="none" w:pos="1297" w:val="left"/>
        </w:tabs>
        <w:numPr>
          <w:ilvl w:val="2"/>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300" w:right="240" w:hanging="320"/>
        <w:spacing w:after="0" w:line="263" w:lineRule="auto"/>
        <w:tabs>
          <w:tab w:leader="none" w:pos="1297" w:val="left"/>
        </w:tabs>
        <w:numPr>
          <w:ilvl w:val="2"/>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1300" w:right="240" w:hanging="320"/>
        <w:spacing w:after="0" w:line="263" w:lineRule="auto"/>
        <w:tabs>
          <w:tab w:leader="none" w:pos="1294" w:val="left"/>
        </w:tabs>
        <w:numPr>
          <w:ilvl w:val="2"/>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2"/>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300" w:right="160" w:hanging="320"/>
        <w:spacing w:after="0" w:line="277" w:lineRule="auto"/>
        <w:tabs>
          <w:tab w:leader="none" w:pos="1294"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4660" w:val="left"/>
          <w:tab w:leader="none" w:pos="65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29146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Scott L. Burrows</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1093" w:right="339" w:bottom="1440" w:gutter="0" w:footer="0" w:header="0"/>
        </w:sectPr>
      </w:pPr>
    </w:p>
    <w:bookmarkStart w:id="156" w:name="page157"/>
    <w:bookmarkEnd w:id="156"/>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Quarterly Report of Arcutis Biotherapeutics, Inc. (the “Company”) on Form 10-Q for the period ended March 31, 2021, as filed with the Securities and Exchange Commission on the date hereof (the “Report”), Todd Franklin Watanabe, Chief Executive Officer of the Company, and Scott L. Burrows, Chief Financial Officer of the Company, respectively, do each hereby certify, pursuant to 18 U.S.C. Section 1350, as adopted pursuant to Section 906 of the Sarbanes-Oxley Act of 2002, that:</w:t>
      </w:r>
    </w:p>
    <w:p>
      <w:pPr>
        <w:spacing w:after="0" w:line="187" w:lineRule="exact"/>
        <w:rPr>
          <w:sz w:val="20"/>
          <w:szCs w:val="20"/>
          <w:color w:val="auto"/>
        </w:rPr>
      </w:pPr>
    </w:p>
    <w:p>
      <w:pPr>
        <w:ind w:left="1300" w:hanging="320"/>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80" w:firstLine="320"/>
        <w:spacing w:after="0" w:line="277" w:lineRule="auto"/>
        <w:tabs>
          <w:tab w:leader="none" w:pos="130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5420" w:val="left"/>
          <w:tab w:leader="none" w:pos="736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31750</wp:posOffset>
            </wp:positionV>
            <wp:extent cx="33604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3"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Todd Franklin Watanabe</w:t>
      </w:r>
    </w:p>
    <w:p>
      <w:pPr>
        <w:spacing w:after="0" w:line="27"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(Principal Executive Officer)</w:t>
      </w:r>
    </w:p>
    <w:p>
      <w:pPr>
        <w:spacing w:after="0" w:line="49" w:lineRule="exact"/>
        <w:rPr>
          <w:sz w:val="20"/>
          <w:szCs w:val="20"/>
          <w:color w:val="auto"/>
        </w:rPr>
      </w:pPr>
    </w:p>
    <w:p>
      <w:pPr>
        <w:ind w:left="20"/>
        <w:spacing w:after="0"/>
        <w:tabs>
          <w:tab w:leader="none" w:pos="5420" w:val="left"/>
          <w:tab w:leader="none" w:pos="76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31750</wp:posOffset>
            </wp:positionV>
            <wp:extent cx="33604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3"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Scott L. Burrows</w:t>
      </w:r>
    </w:p>
    <w:p>
      <w:pPr>
        <w:spacing w:after="0" w:line="27"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(Principal Accounting and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1)"/>
      <w:numFmt w:val="decimal"/>
      <w:start w:val="19"/>
    </w:lvl>
  </w:abstractNum>
  <w:abstractNum w:abstractNumId="5">
    <w:nsid w:val="2F305DEF"/>
    <w:multiLevelType w:val="hybridMultilevel"/>
    <w:lvl w:ilvl="0">
      <w:lvlJc w:val="left"/>
      <w:lvlText w:val="(%1)"/>
      <w:numFmt w:val="decimal"/>
      <w:start w:val="1"/>
    </w:lvl>
  </w:abstractNum>
  <w:abstractNum w:abstractNumId="6">
    <w:nsid w:val="25A70BF7"/>
    <w:multiLevelType w:val="hybridMultilevel"/>
    <w:lvl w:ilvl="0">
      <w:lvlJc w:val="left"/>
      <w:lvlText w:val="(%1)"/>
      <w:numFmt w:val="decimal"/>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1)"/>
      <w:numFmt w:val="decimal"/>
      <w:start w:val="1"/>
    </w:lvl>
  </w:abstractNum>
  <w:abstractNum w:abstractNumId="9">
    <w:nsid w:val="1F48EAA1"/>
    <w:multiLevelType w:val="hybridMultilevel"/>
    <w:lvl w:ilvl="0">
      <w:lvlJc w:val="left"/>
      <w:lvlText w:val="(%1)"/>
      <w:numFmt w:val="lowerRoman"/>
      <w:start w:val="5"/>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1"/>
      <w:numFmt w:val="decimal"/>
      <w:start w:val="104"/>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2"/>
    </w:lvl>
  </w:abstractNum>
  <w:abstractNum w:abstractNumId="45">
    <w:nsid w:val="6EB5BD4"/>
    <w:multiLevelType w:val="hybridMultilevel"/>
    <w:lvl w:ilvl="0">
      <w:lvlJc w:val="left"/>
      <w:lvlText w:val="%1."/>
      <w:numFmt w:val="upperLetter"/>
      <w:start w:val="2"/>
    </w:lvl>
  </w:abstractNum>
  <w:abstractNum w:abstractNumId="46">
    <w:nsid w:val="6F6DD9AC"/>
    <w:multiLevelType w:val="hybridMultilevel"/>
    <w:lvl w:ilvl="0">
      <w:lvlJc w:val="left"/>
      <w:lvlText w:val="%1."/>
      <w:numFmt w:val="upperLetter"/>
      <w:start w:val="1"/>
    </w:lvl>
  </w:abstractNum>
  <w:abstractNum w:abstractNumId="47">
    <w:nsid w:val="94211F2"/>
    <w:multiLevelType w:val="hybridMultilevel"/>
    <w:lvl w:ilvl="0">
      <w:lvlJc w:val="left"/>
      <w:lvlText w:val="%1."/>
      <w:numFmt w:val="upperLetter"/>
      <w:start w:val="2"/>
    </w:lvl>
  </w:abstractNum>
  <w:abstractNum w:abstractNumId="48">
    <w:nsid w:val="885E1B"/>
    <w:multiLevelType w:val="hybridMultilevel"/>
    <w:lvl w:ilvl="0">
      <w:lvlJc w:val="left"/>
      <w:lvlText w:val="%1."/>
      <w:numFmt w:val="upperLetter"/>
      <w:start w:val="1"/>
    </w:lvl>
  </w:abstractNum>
  <w:abstractNum w:abstractNumId="49">
    <w:nsid w:val="76272110"/>
    <w:multiLevelType w:val="hybridMultilevel"/>
    <w:lvl w:ilvl="0">
      <w:lvlJc w:val="left"/>
      <w:lvlText w:val="%1."/>
      <w:numFmt w:val="upperLetter"/>
      <w:start w:val="2"/>
    </w:lvl>
    <w:lvl w:ilvl="1">
      <w:lvlJc w:val="left"/>
      <w:lvlText w:val="(%2)"/>
      <w:numFmt w:val="lowerRoman"/>
      <w:start w:val="1"/>
    </w:lvl>
  </w:abstractNum>
  <w:abstractNum w:abstractNumId="50">
    <w:nsid w:val="4C04A8AF"/>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4"/>
    </w:lvl>
    <w:lvl w:ilvl="3">
      <w:lvlJc w:val="left"/>
      <w:lvlText w:val="%4."/>
      <w:numFmt w:val="upperLetter"/>
      <w:start w:val="2"/>
    </w:lvl>
  </w:abstractNum>
  <w:abstractNum w:abstractNumId="51">
    <w:nsid w:val="1716703B"/>
    <w:multiLevelType w:val="hybridMultilevel"/>
    <w:lvl w:ilvl="0">
      <w:lvlJc w:val="left"/>
      <w:lvlText w:val="%1."/>
      <w:numFmt w:val="upperLetter"/>
      <w:start w:val="1"/>
    </w:lvl>
    <w:lvl w:ilvl="1">
      <w:lvlJc w:val="left"/>
      <w:lvlText w:val="%2."/>
      <w:numFmt w:val="upperLetter"/>
      <w:start w:val="3"/>
    </w:lvl>
  </w:abstractNum>
  <w:abstractNum w:abstractNumId="52">
    <w:nsid w:val="14E17E33"/>
    <w:multiLevelType w:val="hybridMultilevel"/>
    <w:lvl w:ilvl="0">
      <w:lvlJc w:val="left"/>
      <w:lvlText w:val="%1."/>
      <w:numFmt w:val="upperLetter"/>
      <w:start w:val="4"/>
    </w:lvl>
  </w:abstractNum>
  <w:abstractNum w:abstractNumId="53">
    <w:nsid w:val="3222E7CD"/>
    <w:multiLevelType w:val="hybridMultilevel"/>
    <w:lvl w:ilvl="0">
      <w:lvlJc w:val="left"/>
      <w:lvlText w:val="%1."/>
      <w:numFmt w:val="upperLetter"/>
      <w:start w:val="1"/>
    </w:lvl>
  </w:abstractNum>
  <w:abstractNum w:abstractNumId="54">
    <w:nsid w:val="74DE0EE3"/>
    <w:multiLevelType w:val="hybridMultilevel"/>
    <w:lvl w:ilvl="0">
      <w:lvlJc w:val="left"/>
      <w:lvlText w:val="(%1)"/>
      <w:numFmt w:val="upperLetter"/>
      <w:start w:val="2"/>
    </w:lvl>
  </w:abstractNum>
  <w:abstractNum w:abstractNumId="55">
    <w:nsid w:val="68EBC550"/>
    <w:multiLevelType w:val="hybridMultilevel"/>
    <w:lvl w:ilvl="0">
      <w:lvlJc w:val="left"/>
      <w:lvlText w:val="%1."/>
      <w:numFmt w:val="decimal"/>
      <w:start w:val="1"/>
    </w:lvl>
  </w:abstractNum>
  <w:abstractNum w:abstractNumId="56">
    <w:nsid w:val="2DF6D648"/>
    <w:multiLevelType w:val="hybridMultilevel"/>
    <w:lvl w:ilvl="0">
      <w:lvlJc w:val="left"/>
      <w:lvlText w:val="%1."/>
      <w:numFmt w:val="decimal"/>
      <w:start w:val="2"/>
    </w:lvl>
  </w:abstractNum>
  <w:abstractNum w:abstractNumId="57">
    <w:nsid w:val="46B7D447"/>
    <w:multiLevelType w:val="hybridMultilevel"/>
    <w:lvl w:ilvl="0">
      <w:lvlJc w:val="left"/>
      <w:lvlText w:val="(%1)"/>
      <w:numFmt w:val="lowerLetter"/>
      <w:start w:val="1"/>
    </w:lvl>
    <w:lvl w:ilvl="1">
      <w:lvlJc w:val="left"/>
      <w:lvlText w:val="(%2)"/>
      <w:numFmt w:val="lowerRoman"/>
      <w:start w:val="1"/>
    </w:lvl>
  </w:abstractNum>
  <w:abstractNum w:abstractNumId="58">
    <w:nsid w:val="4A2AC315"/>
    <w:multiLevelType w:val="hybridMultilevel"/>
    <w:lvl w:ilvl="0">
      <w:lvlJc w:val="left"/>
      <w:lvlText w:val="(%1)"/>
      <w:numFmt w:val="lowerLetter"/>
      <w:start w:val="2"/>
    </w:lvl>
    <w:lvl w:ilvl="1">
      <w:lvlJc w:val="left"/>
      <w:lvlText w:val="%2."/>
      <w:numFmt w:val="lowerRoman"/>
      <w:start w:val="1"/>
    </w:lvl>
  </w:abstractNum>
  <w:abstractNum w:abstractNumId="59">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0">
    <w:nsid w:val="57FC4FB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1">
    <w:nsid w:val="CC1016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2">
    <w:nsid w:val="43F18422"/>
    <w:multiLevelType w:val="hybridMultilevel"/>
    <w:lvl w:ilvl="0">
      <w:lvlJc w:val="left"/>
      <w:lvlText w:val="%1"/>
      <w:numFmt w:val="lowerLetter"/>
      <w:start w:val="1"/>
    </w:lvl>
    <w:lvl w:ilvl="1">
      <w:lvlJc w:val="left"/>
      <w:lvlText w:val="(%2)"/>
      <w:numFmt w:val="lowerLetter"/>
      <w:start w:val="2"/>
    </w:lvl>
  </w:abstractNum>
  <w:abstractNum w:abstractNumId="63">
    <w:nsid w:val="60EF0119"/>
    <w:multiLevelType w:val="hybridMultilevel"/>
    <w:lvl w:ilvl="0">
      <w:lvlJc w:val="left"/>
      <w:lvlText w:val="(%1)"/>
      <w:numFmt w:val="lowerLetter"/>
      <w:start w:val="35"/>
    </w:lvl>
    <w:lvl w:ilvl="1">
      <w:lvlJc w:val="left"/>
      <w:lvlText w:val="%2"/>
      <w:numFmt w:val="lowerLetter"/>
      <w:start w:val="1"/>
    </w:lvl>
  </w:abstractNum>
  <w:abstractNum w:abstractNumId="64">
    <w:nsid w:val="26F324BA"/>
    <w:multiLevelType w:val="hybridMultilevel"/>
    <w:lvl w:ilvl="0">
      <w:lvlJc w:val="left"/>
      <w:lvlText w:val="(%1)"/>
      <w:numFmt w:val="lowerLetter"/>
      <w:start w:val="3"/>
    </w:lvl>
  </w:abstractNum>
  <w:abstractNum w:abstractNumId="65">
    <w:nsid w:val="7F01579B"/>
    <w:multiLevelType w:val="hybridMultilevel"/>
    <w:lvl w:ilvl="0">
      <w:lvlJc w:val="left"/>
      <w:lvlText w:val="(%1)"/>
      <w:numFmt w:val="lowerLetter"/>
      <w:start w:val="8"/>
    </w:lvl>
  </w:abstractNum>
  <w:abstractNum w:abstractNumId="66">
    <w:nsid w:val="49DA307D"/>
    <w:multiLevelType w:val="hybridMultilevel"/>
    <w:lvl w:ilvl="0">
      <w:lvlJc w:val="left"/>
      <w:lvlText w:val="(%1)"/>
      <w:numFmt w:val="lowerLetter"/>
      <w:start w:val="8"/>
    </w:lvl>
  </w:abstractNum>
  <w:abstractNum w:abstractNumId="67">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68">
    <w:nsid w:val="5FB8370B"/>
    <w:multiLevelType w:val="hybridMultilevel"/>
    <w:lvl w:ilvl="0">
      <w:lvlJc w:val="left"/>
      <w:lvlText w:val="%1."/>
      <w:numFmt w:val="decimal"/>
      <w:start w:val="5"/>
    </w:lvl>
    <w:lvl w:ilvl="1">
      <w:lvlJc w:val="left"/>
      <w:lvlText w:val="(%2)"/>
      <w:numFmt w:val="lowerLetter"/>
      <w:start w:val="34"/>
    </w:lvl>
    <w:lvl w:ilvl="2">
      <w:lvlJc w:val="left"/>
      <w:lvlText w:val="(%3)"/>
      <w:numFmt w:val="lowerLetter"/>
      <w:start w:val="1"/>
    </w:lvl>
  </w:abstractNum>
  <w:abstractNum w:abstractNumId="69">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0">
    <w:nsid w:val="488AC1A"/>
    <w:multiLevelType w:val="hybridMultilevel"/>
    <w:lvl w:ilvl="0">
      <w:lvlJc w:val="left"/>
      <w:lvlText w:val="%1."/>
      <w:numFmt w:val="decimal"/>
      <w:start w:val="7"/>
    </w:lvl>
    <w:lvl w:ilvl="1">
      <w:lvlJc w:val="left"/>
      <w:lvlText w:val="(%2)"/>
      <w:numFmt w:val="lowerLetter"/>
      <w:start w:val="35"/>
    </w:lvl>
    <w:lvl w:ilvl="2">
      <w:lvlJc w:val="left"/>
      <w:lvlText w:val="%3"/>
      <w:numFmt w:val="lowerLetter"/>
      <w:start w:val="1"/>
    </w:lvl>
  </w:abstractNum>
  <w:abstractNum w:abstractNumId="71">
    <w:nsid w:val="5FB8011C"/>
    <w:multiLevelType w:val="hybridMultilevel"/>
    <w:lvl w:ilvl="0">
      <w:lvlJc w:val="left"/>
      <w:lvlText w:val="(%1)"/>
      <w:numFmt w:val="lowerLetter"/>
      <w:start w:val="2"/>
    </w:lvl>
  </w:abstractNum>
  <w:abstractNum w:abstractNumId="72">
    <w:nsid w:val="6AA78F7F"/>
    <w:multiLevelType w:val="hybridMultilevel"/>
    <w:lvl w:ilvl="0">
      <w:lvlJc w:val="left"/>
      <w:lvlText w:val="(%1)"/>
      <w:numFmt w:val="lowerLetter"/>
      <w:start w:val="4"/>
    </w:lvl>
  </w:abstractNum>
  <w:abstractNum w:abstractNumId="73">
    <w:nsid w:val="7672BD23"/>
    <w:multiLevelType w:val="hybridMultilevel"/>
    <w:lvl w:ilvl="0">
      <w:lvlJc w:val="left"/>
      <w:lvlText w:val="(%1)"/>
      <w:numFmt w:val="lowerLetter"/>
      <w:start w:val="6"/>
    </w:lvl>
  </w:abstractNum>
  <w:abstractNum w:abstractNumId="74">
    <w:nsid w:val="6FC75AF8"/>
    <w:multiLevelType w:val="hybridMultilevel"/>
    <w:lvl w:ilvl="0">
      <w:lvlJc w:val="left"/>
      <w:lvlText w:val="%1."/>
      <w:numFmt w:val="decimal"/>
      <w:start w:val="1"/>
    </w:lvl>
  </w:abstractNum>
  <w:abstractNum w:abstractNumId="75">
    <w:nsid w:val="6A5F7029"/>
    <w:multiLevelType w:val="hybridMultilevel"/>
    <w:lvl w:ilvl="0">
      <w:lvlJc w:val="left"/>
      <w:lvlText w:val="%1."/>
      <w:numFmt w:val="decimal"/>
      <w:start w:val="2"/>
    </w:lvl>
  </w:abstractNum>
  <w:abstractNum w:abstractNumId="76">
    <w:nsid w:val="7D5E18F8"/>
    <w:multiLevelType w:val="hybridMultilevel"/>
    <w:lvl w:ilvl="0">
      <w:lvlJc w:val="left"/>
      <w:lvlText w:val="%1."/>
      <w:numFmt w:val="decimal"/>
      <w:start w:val="3"/>
    </w:lvl>
  </w:abstractNum>
  <w:abstractNum w:abstractNumId="77">
    <w:nsid w:val="5F3534A4"/>
    <w:multiLevelType w:val="hybridMultilevel"/>
    <w:lvl w:ilvl="0">
      <w:lvlJc w:val="left"/>
      <w:lvlText w:val="%1."/>
      <w:numFmt w:val="decimal"/>
      <w:start w:val="4"/>
    </w:lvl>
  </w:abstractNum>
  <w:abstractNum w:abstractNumId="78">
    <w:nsid w:val="73A1821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9">
    <w:nsid w:val="7DE6771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80">
    <w:nsid w:val="555C55B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81">
    <w:nsid w:val="3FA62ACA"/>
    <w:multiLevelType w:val="hybridMultilevel"/>
    <w:lvl w:ilvl="0">
      <w:lvlJc w:val="left"/>
      <w:lvlText w:val="%1."/>
      <w:numFmt w:val="decimal"/>
      <w:start w:val="5"/>
    </w:lvl>
  </w:abstractNum>
  <w:abstractNum w:abstractNumId="82">
    <w:nsid w:val="14FCE74E"/>
    <w:multiLevelType w:val="hybridMultilevel"/>
    <w:lvl w:ilvl="0">
      <w:lvlJc w:val="left"/>
      <w:lvlText w:val="(%1)"/>
      <w:numFmt w:val="lowerLetter"/>
      <w:start w:val="1"/>
    </w:lvl>
  </w:abstractNum>
  <w:abstractNum w:abstractNumId="83">
    <w:nsid w:val="6A3DD3E8"/>
    <w:multiLevelType w:val="hybridMultilevel"/>
    <w:lvl w:ilvl="0">
      <w:lvlJc w:val="left"/>
      <w:lvlText w:val="%1."/>
      <w:numFmt w:val="decimal"/>
      <w:start w:val="6"/>
    </w:lvl>
  </w:abstractNum>
  <w:abstractNum w:abstractNumId="84">
    <w:nsid w:val="71C91298"/>
    <w:multiLevelType w:val="hybridMultilevel"/>
    <w:lvl w:ilvl="0">
      <w:lvlJc w:val="left"/>
      <w:lvlText w:val="(%1)"/>
      <w:numFmt w:val="lowerLetter"/>
      <w:start w:val="1"/>
    </w:lvl>
  </w:abstractNum>
  <w:abstractNum w:abstractNumId="85">
    <w:nsid w:val="9DAF632"/>
    <w:multiLevelType w:val="hybridMultilevel"/>
    <w:lvl w:ilvl="0">
      <w:lvlJc w:val="left"/>
      <w:lvlText w:val="(%1)"/>
      <w:numFmt w:val="lowerLetter"/>
      <w:start w:val="2"/>
    </w:lvl>
  </w:abstractNum>
  <w:abstractNum w:abstractNumId="86">
    <w:nsid w:val="53299938"/>
    <w:multiLevelType w:val="hybridMultilevel"/>
    <w:lvl w:ilvl="0">
      <w:lvlJc w:val="left"/>
      <w:lvlText w:val="(%1)"/>
      <w:numFmt w:val="lowerLetter"/>
      <w:start w:val="5"/>
    </w:lvl>
  </w:abstractNum>
  <w:abstractNum w:abstractNumId="87">
    <w:nsid w:val="1FBFE8E0"/>
    <w:multiLevelType w:val="hybridMultilevel"/>
    <w:lvl w:ilvl="0">
      <w:lvlJc w:val="left"/>
      <w:lvlText w:val="%1"/>
      <w:numFmt w:val="upperLetter"/>
      <w:start w:val="1"/>
    </w:lvl>
    <w:lvl w:ilvl="1">
      <w:lvlJc w:val="left"/>
      <w:lvlText w:val="(%2)"/>
      <w:numFmt w:val="lowerLetter"/>
      <w:start w:val="8"/>
    </w:lvl>
  </w:abstractNum>
  <w:abstractNum w:abstractNumId="88">
    <w:nsid w:val="5092CA79"/>
    <w:multiLevelType w:val="hybridMultilevel"/>
    <w:lvl w:ilvl="0">
      <w:lvlJc w:val="left"/>
      <w:lvlText w:val="(%1)"/>
      <w:numFmt w:val="upperLetter"/>
      <w:start w:val="3"/>
    </w:lvl>
    <w:lvl w:ilvl="1">
      <w:lvlJc w:val="left"/>
      <w:lvlText w:val="(%2)"/>
      <w:numFmt w:val="lowerLetter"/>
      <w:start w:val="11"/>
    </w:lvl>
  </w:abstractNum>
  <w:abstractNum w:abstractNumId="89">
    <w:nsid w:val="1D545C4D"/>
    <w:multiLevelType w:val="hybridMultilevel"/>
    <w:lvl w:ilvl="0">
      <w:lvlJc w:val="left"/>
      <w:lvlText w:val="(%1)"/>
      <w:numFmt w:val="lowerLetter"/>
      <w:start w:val="12"/>
    </w:lvl>
  </w:abstractNum>
  <w:abstractNum w:abstractNumId="90">
    <w:nsid w:val="59ADEA3D"/>
    <w:multiLevelType w:val="hybridMultilevel"/>
    <w:lvl w:ilvl="0">
      <w:lvlJc w:val="left"/>
      <w:lvlText w:val="%1"/>
      <w:numFmt w:val="upperLetter"/>
      <w:start w:val="1"/>
    </w:lvl>
    <w:lvl w:ilvl="1">
      <w:lvlJc w:val="left"/>
      <w:lvlText w:val="(%2)"/>
      <w:numFmt w:val="lowerLetter"/>
      <w:start w:val="18"/>
    </w:lvl>
  </w:abstractNum>
  <w:abstractNum w:abstractNumId="91">
    <w:nsid w:val="288F1A34"/>
    <w:multiLevelType w:val="hybridMultilevel"/>
    <w:lvl w:ilvl="0">
      <w:lvlJc w:val="left"/>
      <w:lvlText w:val="(%1)"/>
      <w:numFmt w:val="upperLetter"/>
      <w:start w:val="1"/>
    </w:lvl>
    <w:lvl w:ilvl="1">
      <w:lvlJc w:val="left"/>
      <w:lvlText w:val="(%2)"/>
      <w:numFmt w:val="lowerLetter"/>
      <w:start w:val="19"/>
    </w:lvl>
  </w:abstractNum>
  <w:abstractNum w:abstractNumId="92">
    <w:nsid w:val="2A155DBC"/>
    <w:multiLevelType w:val="hybridMultilevel"/>
    <w:lvl w:ilvl="0">
      <w:lvlJc w:val="left"/>
      <w:lvlText w:val="%1"/>
      <w:numFmt w:val="lowerLetter"/>
      <w:start w:val="1"/>
    </w:lvl>
    <w:lvl w:ilvl="1">
      <w:lvlJc w:val="left"/>
      <w:lvlText w:val="(%2)"/>
      <w:numFmt w:val="lowerLetter"/>
      <w:start w:val="23"/>
    </w:lvl>
  </w:abstractNum>
  <w:abstractNum w:abstractNumId="93">
    <w:nsid w:val="1D9F6E5F"/>
    <w:multiLevelType w:val="hybridMultilevel"/>
    <w:lvl w:ilvl="0">
      <w:lvlJc w:val="left"/>
      <w:lvlText w:val="(%1)"/>
      <w:numFmt w:val="lowerLetter"/>
      <w:start w:val="61"/>
    </w:lvl>
    <w:lvl w:ilvl="1">
      <w:lvlJc w:val="left"/>
      <w:lvlText w:val="%2"/>
      <w:numFmt w:val="lowerLetter"/>
      <w:start w:val="1"/>
    </w:lvl>
  </w:abstractNum>
  <w:abstractNum w:abstractNumId="94">
    <w:nsid w:val="97E1B4E"/>
    <w:multiLevelType w:val="hybridMultilevel"/>
    <w:lvl w:ilvl="0">
      <w:lvlJc w:val="left"/>
      <w:lvlText w:val="(%1)"/>
      <w:numFmt w:val="lowerLetter"/>
      <w:start w:val="25"/>
    </w:lvl>
  </w:abstractNum>
  <w:abstractNum w:abstractNumId="95">
    <w:nsid w:val="51088277"/>
    <w:multiLevelType w:val="hybridMultilevel"/>
    <w:lvl w:ilvl="0">
      <w:lvlJc w:val="left"/>
      <w:lvlText w:val="(%1)"/>
      <w:numFmt w:val="lowerLetter"/>
      <w:start w:val="27"/>
    </w:lvl>
  </w:abstractNum>
  <w:abstractNum w:abstractNumId="96">
    <w:nsid w:val="1CA0C5FA"/>
    <w:multiLevelType w:val="hybridMultilevel"/>
    <w:lvl w:ilvl="0">
      <w:lvlJc w:val="left"/>
      <w:lvlText w:val="(%1)"/>
      <w:numFmt w:val="lowerRoman"/>
      <w:start w:val="2"/>
    </w:lvl>
  </w:abstractNum>
  <w:abstractNum w:abstractNumId="97">
    <w:nsid w:val="53584BCB"/>
    <w:multiLevelType w:val="hybridMultilevel"/>
    <w:lvl w:ilvl="0">
      <w:lvlJc w:val="left"/>
      <w:lvlText w:val="%1."/>
      <w:numFmt w:val="decimal"/>
      <w:start w:val="7"/>
    </w:lvl>
  </w:abstractNum>
  <w:abstractNum w:abstractNumId="98">
    <w:nsid w:val="415E286C"/>
    <w:multiLevelType w:val="hybridMultilevel"/>
    <w:lvl w:ilvl="0">
      <w:lvlJc w:val="left"/>
      <w:lvlText w:val="(%1)"/>
      <w:numFmt w:val="lowerLetter"/>
      <w:start w:val="1"/>
    </w:lvl>
  </w:abstractNum>
  <w:abstractNum w:abstractNumId="99">
    <w:nsid w:val="7C58FD05"/>
    <w:multiLevelType w:val="hybridMultilevel"/>
    <w:lvl w:ilvl="0">
      <w:lvlJc w:val="left"/>
      <w:lvlText w:val="(%1)"/>
      <w:numFmt w:val="lowerLetter"/>
      <w:start w:val="2"/>
    </w:lvl>
  </w:abstractNum>
  <w:abstractNum w:abstractNumId="100">
    <w:nsid w:val="23D86AAC"/>
    <w:multiLevelType w:val="hybridMultilevel"/>
    <w:lvl w:ilvl="0">
      <w:lvlJc w:val="left"/>
      <w:lvlText w:val="(%1)"/>
      <w:numFmt w:val="lowerLetter"/>
      <w:start w:val="6"/>
    </w:lvl>
  </w:abstractNum>
  <w:abstractNum w:abstractNumId="101">
    <w:nsid w:val="45E6D486"/>
    <w:multiLevelType w:val="hybridMultilevel"/>
    <w:lvl w:ilvl="0">
      <w:lvlJc w:val="left"/>
      <w:lvlText w:val="(%1)"/>
      <w:numFmt w:val="lowerLetter"/>
      <w:start w:val="10"/>
    </w:lvl>
  </w:abstractNum>
  <w:abstractNum w:abstractNumId="102">
    <w:nsid w:val="5C10FE21"/>
    <w:multiLevelType w:val="hybridMultilevel"/>
    <w:lvl w:ilvl="0">
      <w:lvlJc w:val="left"/>
      <w:lvlText w:val="(%1)"/>
      <w:numFmt w:val="lowerLetter"/>
      <w:start w:val="14"/>
    </w:lvl>
  </w:abstractNum>
  <w:abstractNum w:abstractNumId="103">
    <w:nsid w:val="E7FFA2B"/>
    <w:multiLevelType w:val="hybridMultilevel"/>
    <w:lvl w:ilvl="0">
      <w:lvlJc w:val="left"/>
      <w:lvlText w:val="(%1)"/>
      <w:numFmt w:val="lowerLetter"/>
      <w:start w:val="16"/>
    </w:lvl>
  </w:abstractNum>
  <w:abstractNum w:abstractNumId="104">
    <w:nsid w:val="3C5991AA"/>
    <w:multiLevelType w:val="hybridMultilevel"/>
    <w:lvl w:ilvl="0">
      <w:lvlJc w:val="left"/>
      <w:lvlText w:val="(%1)"/>
      <w:numFmt w:val="lowerLetter"/>
      <w:start w:val="23"/>
    </w:lvl>
  </w:abstractNum>
  <w:abstractNum w:abstractNumId="105">
    <w:nsid w:val="4BD8591A"/>
    <w:multiLevelType w:val="hybridMultilevel"/>
    <w:lvl w:ilvl="0">
      <w:lvlJc w:val="left"/>
      <w:lvlText w:val="%1."/>
      <w:numFmt w:val="decimal"/>
      <w:start w:val="8"/>
    </w:lvl>
  </w:abstractNum>
  <w:abstractNum w:abstractNumId="106">
    <w:nsid w:val="78DF6A55"/>
    <w:multiLevelType w:val="hybridMultilevel"/>
    <w:lvl w:ilvl="0">
      <w:lvlJc w:val="left"/>
      <w:lvlText w:val="(%1)"/>
      <w:numFmt w:val="lowerLetter"/>
      <w:start w:val="1"/>
    </w:lvl>
  </w:abstractNum>
  <w:abstractNum w:abstractNumId="107">
    <w:nsid w:val="39B7AAA2"/>
    <w:multiLevelType w:val="hybridMultilevel"/>
    <w:lvl w:ilvl="0">
      <w:lvlJc w:val="left"/>
      <w:lvlText w:val="(%1)"/>
      <w:numFmt w:val="lowerLetter"/>
      <w:start w:val="3"/>
    </w:lvl>
  </w:abstractNum>
  <w:abstractNum w:abstractNumId="108">
    <w:nsid w:val="2B0D8DBE"/>
    <w:multiLevelType w:val="hybridMultilevel"/>
    <w:lvl w:ilvl="0">
      <w:lvlJc w:val="left"/>
      <w:lvlText w:val="(%1)"/>
      <w:numFmt w:val="lowerLetter"/>
      <w:start w:val="8"/>
    </w:lvl>
  </w:abstractNum>
  <w:abstractNum w:abstractNumId="109">
    <w:nsid w:val="6C80EC70"/>
    <w:multiLevelType w:val="hybridMultilevel"/>
    <w:lvl w:ilvl="0">
      <w:lvlJc w:val="left"/>
      <w:lvlText w:val="%1."/>
      <w:numFmt w:val="decimal"/>
      <w:start w:val="9"/>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lowerLetter"/>
      <w:start w:val="4"/>
    </w:lvl>
  </w:abstractNum>
  <w:abstractNum w:abstractNumId="112">
    <w:nsid w:val="2C27173B"/>
    <w:multiLevelType w:val="hybridMultilevel"/>
    <w:lvl w:ilvl="0">
      <w:lvlJc w:val="left"/>
      <w:lvlText w:val="%1."/>
      <w:numFmt w:val="decimal"/>
      <w:start w:val="10"/>
    </w:lvl>
  </w:abstractNum>
  <w:abstractNum w:abstractNumId="113">
    <w:nsid w:val="4C9B0904"/>
    <w:multiLevelType w:val="hybridMultilevel"/>
    <w:lvl w:ilvl="0">
      <w:lvlJc w:val="left"/>
      <w:lvlText w:val="(%1)"/>
      <w:numFmt w:val="lowerLetter"/>
      <w:start w:val="1"/>
    </w:lvl>
  </w:abstractNum>
  <w:abstractNum w:abstractNumId="114">
    <w:nsid w:val="6AA7B75C"/>
    <w:multiLevelType w:val="hybridMultilevel"/>
    <w:lvl w:ilvl="0">
      <w:lvlJc w:val="left"/>
      <w:lvlText w:val="(%1)"/>
      <w:numFmt w:val="lowerLetter"/>
      <w:start w:val="2"/>
    </w:lvl>
  </w:abstractNum>
  <w:abstractNum w:abstractNumId="115">
    <w:nsid w:val="1DF029D3"/>
    <w:multiLevelType w:val="hybridMultilevel"/>
    <w:lvl w:ilvl="0">
      <w:lvlJc w:val="left"/>
      <w:lvlText w:val="%1."/>
      <w:numFmt w:val="decimal"/>
      <w:start w:val="12"/>
    </w:lvl>
  </w:abstractNum>
  <w:abstractNum w:abstractNumId="116">
    <w:nsid w:val="5675FF36"/>
    <w:multiLevelType w:val="hybridMultilevel"/>
    <w:lvl w:ilvl="0">
      <w:lvlJc w:val="left"/>
      <w:lvlText w:val="%1."/>
      <w:numFmt w:val="decimal"/>
      <w:start w:val="13"/>
    </w:lvl>
  </w:abstractNum>
  <w:abstractNum w:abstractNumId="117">
    <w:nsid w:val="3DD15094"/>
    <w:multiLevelType w:val="hybridMultilevel"/>
    <w:lvl w:ilvl="0">
      <w:lvlJc w:val="left"/>
      <w:lvlText w:val="%1."/>
      <w:numFmt w:val="decimal"/>
      <w:start w:val="17"/>
    </w:lvl>
  </w:abstractNum>
  <w:abstractNum w:abstractNumId="118">
    <w:nsid w:val="3DB012B3"/>
    <w:multiLevelType w:val="hybridMultilevel"/>
    <w:lvl w:ilvl="0">
      <w:lvlJc w:val="left"/>
      <w:lvlText w:val="(%1)"/>
      <w:numFmt w:val="lowerLetter"/>
      <w:start w:val="1"/>
    </w:lvl>
  </w:abstractNum>
  <w:abstractNum w:abstractNumId="119">
    <w:nsid w:val="2708C9AF"/>
    <w:multiLevelType w:val="hybridMultilevel"/>
    <w:lvl w:ilvl="0">
      <w:lvlJc w:val="left"/>
      <w:lvlText w:val="%1."/>
      <w:numFmt w:val="decimal"/>
      <w:start w:val="19"/>
    </w:lvl>
  </w:abstractNum>
  <w:abstractNum w:abstractNumId="120">
    <w:nsid w:val="5B25ACE2"/>
    <w:multiLevelType w:val="hybridMultilevel"/>
    <w:lvl w:ilvl="0">
      <w:lvlJc w:val="left"/>
      <w:lvlText w:val="(%1)"/>
      <w:numFmt w:val="lowerRoman"/>
      <w:start w:val="1"/>
    </w:lvl>
  </w:abstractNum>
  <w:abstractNum w:abstractNumId="121">
    <w:nsid w:val="175DFCF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22">
    <w:nsid w:val="4F97E3E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jpeg"/><Relationship Id="rId108" Type="http://schemas.openxmlformats.org/officeDocument/2006/relationships/image" Target="media/image96.jpe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97" Type="http://schemas.openxmlformats.org/officeDocument/2006/relationships/hyperlink" Target="http://www.sec.gov/Archives/edgar/data/1787306/000178730620000010/exhibit31postipocertif.htm" TargetMode="External"/><Relationship Id="rId98" Type="http://schemas.openxmlformats.org/officeDocument/2006/relationships/hyperlink" Target="http://www.sec.gov/Archives/edgar/data/1787306/000178730620000010/exhibit32postipobylaws.htm" TargetMode="External"/><Relationship Id="rId99" Type="http://schemas.openxmlformats.org/officeDocument/2006/relationships/hyperlink" Target="http://www.sec.gov/Archives/edgar/data/1787306/000119312520010664/d784371dex41.htm" TargetMode="External"/><Relationship Id="rId100" Type="http://schemas.openxmlformats.org/officeDocument/2006/relationships/hyperlink" Target="http://www.sec.gov/Archives/edgar/data/1787306/000119312520001990/d784371dex42.htm" TargetMode="External"/><Relationship Id="rId103" Type="http://schemas.openxmlformats.org/officeDocument/2006/relationships/hyperlink" Target="http://www.sec.gov/Archives/edgar/data/1787306/000178730620000005/ex43descriptionofregi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2021-05-06T15:41:32Z</dcterms:created>
  <dcterms:modified xsi:type="dcterms:W3CDTF">2021-05-06T15:41:32Z</dcterms:modified>
</cp:coreProperties>
</file>