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4"/>
          <w:szCs w:val="24"/>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228600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253365</wp:posOffset>
            </wp:positionV>
            <wp:extent cx="680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382" w:lineRule="exact"/>
        <w:rPr>
          <w:sz w:val="24"/>
          <w:szCs w:val="24"/>
          <w:color w:val="auto"/>
        </w:rPr>
      </w:pPr>
    </w:p>
    <w:p>
      <w:pPr>
        <w:jc w:val="center"/>
        <w:ind w:left="1780"/>
        <w:spacing w:after="0"/>
        <w:rPr>
          <w:sz w:val="20"/>
          <w:szCs w:val="20"/>
          <w:color w:val="auto"/>
        </w:rPr>
      </w:pPr>
      <w:r>
        <w:rPr>
          <w:rFonts w:ascii="Arial" w:cs="Arial" w:eastAsia="Arial" w:hAnsi="Arial"/>
          <w:sz w:val="27"/>
          <w:szCs w:val="27"/>
          <w:b w:val="1"/>
          <w:bCs w:val="1"/>
          <w:color w:val="auto"/>
        </w:rPr>
        <w:t>UNITED STATES</w:t>
      </w:r>
    </w:p>
    <w:p>
      <w:pPr>
        <w:spacing w:after="0" w:line="17" w:lineRule="exact"/>
        <w:rPr>
          <w:sz w:val="24"/>
          <w:szCs w:val="24"/>
          <w:color w:val="auto"/>
        </w:rPr>
      </w:pPr>
    </w:p>
    <w:p>
      <w:pPr>
        <w:jc w:val="center"/>
        <w:ind w:left="1780"/>
        <w:spacing w:after="0"/>
        <w:rPr>
          <w:sz w:val="20"/>
          <w:szCs w:val="20"/>
          <w:color w:val="auto"/>
        </w:rPr>
      </w:pPr>
      <w:r>
        <w:rPr>
          <w:rFonts w:ascii="Arial" w:cs="Arial" w:eastAsia="Arial" w:hAnsi="Arial"/>
          <w:sz w:val="27"/>
          <w:szCs w:val="27"/>
          <w:b w:val="1"/>
          <w:bCs w:val="1"/>
          <w:color w:val="auto"/>
        </w:rPr>
        <w:t>SECURITIES AND EXCHANGE COMMISSION</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2381250</wp:posOffset>
            </wp:positionH>
            <wp:positionV relativeFrom="paragraph">
              <wp:posOffset>18415</wp:posOffset>
            </wp:positionV>
            <wp:extent cx="2379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9345"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-193675</wp:posOffset>
            </wp:positionV>
            <wp:extent cx="23793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9345" cy="8255"/>
                    </a:xfrm>
                    <a:prstGeom prst="rect">
                      <a:avLst/>
                    </a:prstGeom>
                    <a:noFill/>
                  </pic:spPr>
                </pic:pic>
              </a:graphicData>
            </a:graphic>
          </wp:anchor>
        </w:drawing>
      </w:r>
    </w:p>
    <w:p>
      <w:pPr>
        <w:spacing w:after="0" w:line="7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(Mark One)</w:t>
      </w:r>
    </w:p>
    <w:p>
      <w:pPr>
        <w:ind w:left="1360" w:hanging="194"/>
        <w:spacing w:after="0"/>
        <w:tabs>
          <w:tab w:leader="none" w:pos="13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ind w:left="4160"/>
        <w:spacing w:after="0" w:line="222" w:lineRule="auto"/>
        <w:rPr>
          <w:rFonts w:ascii="MS PGothic" w:cs="MS PGothic" w:eastAsia="MS PGothic" w:hAnsi="MS PGothic"/>
          <w:sz w:val="17"/>
          <w:szCs w:val="17"/>
          <w:color w:val="auto"/>
        </w:rPr>
      </w:pPr>
      <w:r>
        <w:rPr>
          <w:rFonts w:ascii="Arial" w:cs="Arial" w:eastAsia="Arial" w:hAnsi="Arial"/>
          <w:sz w:val="16"/>
          <w:szCs w:val="16"/>
          <w:b w:val="1"/>
          <w:bCs w:val="1"/>
          <w:color w:val="auto"/>
        </w:rPr>
        <w:t>For the fiscal year ended December 31, 2021</w:t>
      </w:r>
    </w:p>
    <w:p>
      <w:pPr>
        <w:jc w:val="center"/>
        <w:spacing w:after="0"/>
        <w:rPr>
          <w:sz w:val="20"/>
          <w:szCs w:val="20"/>
          <w:color w:val="auto"/>
        </w:rPr>
      </w:pPr>
      <w:r>
        <w:rPr>
          <w:rFonts w:ascii="Arial" w:cs="Arial" w:eastAsia="Arial" w:hAnsi="Arial"/>
          <w:sz w:val="14"/>
          <w:szCs w:val="14"/>
          <w:b w:val="1"/>
          <w:bCs w:val="1"/>
          <w:color w:val="auto"/>
        </w:rPr>
        <w:t>OR</w:t>
      </w:r>
    </w:p>
    <w:p>
      <w:pPr>
        <w:spacing w:after="0" w:line="14" w:lineRule="exact"/>
        <w:rPr>
          <w:sz w:val="24"/>
          <w:szCs w:val="24"/>
          <w:color w:val="auto"/>
        </w:rPr>
      </w:pPr>
    </w:p>
    <w:p>
      <w:pPr>
        <w:ind w:left="1420" w:hanging="214"/>
        <w:spacing w:after="0"/>
        <w:tabs>
          <w:tab w:leader="none" w:pos="14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jc w:val="center"/>
        <w:ind w:right="300"/>
        <w:spacing w:after="0" w:line="238" w:lineRule="auto"/>
        <w:rPr>
          <w:sz w:val="20"/>
          <w:szCs w:val="20"/>
          <w:color w:val="auto"/>
        </w:rPr>
      </w:pPr>
      <w:r>
        <w:rPr>
          <w:rFonts w:ascii="Arial" w:cs="Arial" w:eastAsia="Arial" w:hAnsi="Arial"/>
          <w:sz w:val="16"/>
          <w:szCs w:val="16"/>
          <w:b w:val="1"/>
          <w:bCs w:val="1"/>
          <w:color w:val="auto"/>
        </w:rPr>
        <w:t>For transition period from to</w:t>
      </w:r>
    </w:p>
    <w:p>
      <w:pPr>
        <w:jc w:val="center"/>
        <w:ind w:right="300"/>
        <w:spacing w:after="0"/>
        <w:rPr>
          <w:sz w:val="20"/>
          <w:szCs w:val="20"/>
          <w:color w:val="auto"/>
        </w:rPr>
      </w:pPr>
      <w:r>
        <w:rPr>
          <w:rFonts w:ascii="Arial" w:cs="Arial" w:eastAsia="Arial" w:hAnsi="Arial"/>
          <w:sz w:val="16"/>
          <w:szCs w:val="16"/>
          <w:b w:val="1"/>
          <w:bCs w:val="1"/>
          <w:color w:val="auto"/>
        </w:rPr>
        <w:t>Commission File Number: 001-39186</w:t>
      </w:r>
    </w:p>
    <w:p>
      <w:pPr>
        <w:spacing w:after="0" w:line="64" w:lineRule="exact"/>
        <w:rPr>
          <w:sz w:val="24"/>
          <w:szCs w:val="24"/>
          <w:color w:val="auto"/>
        </w:rPr>
      </w:pPr>
    </w:p>
    <w:p>
      <w:pPr>
        <w:jc w:val="center"/>
        <w:ind w:right="300"/>
        <w:spacing w:after="0"/>
        <w:rPr>
          <w:sz w:val="20"/>
          <w:szCs w:val="20"/>
          <w:color w:val="auto"/>
        </w:rPr>
      </w:pPr>
      <w:r>
        <w:rPr>
          <w:rFonts w:ascii="Arial" w:cs="Arial" w:eastAsia="Arial" w:hAnsi="Arial"/>
          <w:sz w:val="28"/>
          <w:szCs w:val="28"/>
          <w:b w:val="1"/>
          <w:bCs w:val="1"/>
          <w:color w:val="auto"/>
        </w:rPr>
        <w:t>ARCUTIS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2414270</wp:posOffset>
            </wp:positionH>
            <wp:positionV relativeFrom="paragraph">
              <wp:posOffset>-200025</wp:posOffset>
            </wp:positionV>
            <wp:extent cx="2313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jc w:val="center"/>
        <w:ind w:right="30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2414270</wp:posOffset>
            </wp:positionH>
            <wp:positionV relativeFrom="paragraph">
              <wp:posOffset>12065</wp:posOffset>
            </wp:positionV>
            <wp:extent cx="2313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138" w:lineRule="exact"/>
        <w:rPr>
          <w:sz w:val="24"/>
          <w:szCs w:val="24"/>
          <w:color w:val="auto"/>
        </w:rPr>
      </w:pPr>
    </w:p>
    <w:tbl>
      <w:tblPr>
        <w:tblLayout w:type="fixed"/>
        <w:tblInd w:w="680" w:type="dxa"/>
        <w:tblCellMar>
          <w:top w:w="0" w:type="dxa"/>
          <w:left w:w="0" w:type="dxa"/>
          <w:bottom w:w="0" w:type="dxa"/>
          <w:right w:w="0" w:type="dxa"/>
        </w:tblCellMar>
      </w:tblPr>
      <w:tr>
        <w:trPr>
          <w:trHeight w:val="184"/>
        </w:trPr>
        <w:tc>
          <w:tcPr>
            <w:tcW w:w="5260" w:type="dxa"/>
            <w:vAlign w:val="bottom"/>
          </w:tcPr>
          <w:p>
            <w:pPr>
              <w:jc w:val="center"/>
              <w:ind w:right="1082"/>
              <w:spacing w:after="0"/>
              <w:rPr>
                <w:sz w:val="20"/>
                <w:szCs w:val="20"/>
                <w:color w:val="auto"/>
              </w:rPr>
            </w:pPr>
            <w:r>
              <w:rPr>
                <w:rFonts w:ascii="Arial" w:cs="Arial" w:eastAsia="Arial" w:hAnsi="Arial"/>
                <w:sz w:val="16"/>
                <w:szCs w:val="16"/>
                <w:b w:val="1"/>
                <w:bCs w:val="1"/>
                <w:color w:val="auto"/>
                <w:w w:val="88"/>
              </w:rPr>
              <w:t>Delaware</w:t>
            </w:r>
          </w:p>
        </w:tc>
        <w:tc>
          <w:tcPr>
            <w:tcW w:w="3840" w:type="dxa"/>
            <w:vAlign w:val="bottom"/>
          </w:tcPr>
          <w:p>
            <w:pPr>
              <w:jc w:val="right"/>
              <w:ind w:right="1122"/>
              <w:spacing w:after="0"/>
              <w:rPr>
                <w:sz w:val="20"/>
                <w:szCs w:val="20"/>
                <w:color w:val="auto"/>
              </w:rPr>
            </w:pPr>
            <w:r>
              <w:rPr>
                <w:rFonts w:ascii="Arial" w:cs="Arial" w:eastAsia="Arial" w:hAnsi="Arial"/>
                <w:sz w:val="16"/>
                <w:szCs w:val="16"/>
                <w:b w:val="1"/>
                <w:bCs w:val="1"/>
                <w:color w:val="auto"/>
              </w:rPr>
              <w:t>81-2974255</w:t>
            </w:r>
          </w:p>
        </w:tc>
      </w:tr>
      <w:tr>
        <w:trPr>
          <w:trHeight w:val="202"/>
        </w:trPr>
        <w:tc>
          <w:tcPr>
            <w:tcW w:w="5260" w:type="dxa"/>
            <w:vAlign w:val="bottom"/>
          </w:tcPr>
          <w:p>
            <w:pPr>
              <w:jc w:val="center"/>
              <w:ind w:right="1062"/>
              <w:spacing w:after="0"/>
              <w:rPr>
                <w:sz w:val="20"/>
                <w:szCs w:val="20"/>
                <w:color w:val="auto"/>
              </w:rPr>
            </w:pPr>
            <w:r>
              <w:rPr>
                <w:rFonts w:ascii="Arial" w:cs="Arial" w:eastAsia="Arial" w:hAnsi="Arial"/>
                <w:sz w:val="16"/>
                <w:szCs w:val="16"/>
                <w:b w:val="1"/>
                <w:bCs w:val="1"/>
                <w:color w:val="auto"/>
                <w:w w:val="89"/>
              </w:rPr>
              <w:t>(State or Other Jurisdiction of Incorporation or Organization)</w:t>
            </w:r>
          </w:p>
        </w:tc>
        <w:tc>
          <w:tcPr>
            <w:tcW w:w="3840" w:type="dxa"/>
            <w:vAlign w:val="bottom"/>
          </w:tcPr>
          <w:p>
            <w:pPr>
              <w:ind w:left="1140"/>
              <w:spacing w:after="0"/>
              <w:rPr>
                <w:sz w:val="20"/>
                <w:szCs w:val="20"/>
                <w:color w:val="auto"/>
              </w:rPr>
            </w:pPr>
            <w:r>
              <w:rPr>
                <w:rFonts w:ascii="Arial" w:cs="Arial" w:eastAsia="Arial" w:hAnsi="Arial"/>
                <w:sz w:val="16"/>
                <w:szCs w:val="16"/>
                <w:b w:val="1"/>
                <w:bCs w:val="1"/>
                <w:color w:val="auto"/>
                <w:w w:val="90"/>
              </w:rPr>
              <w:t>(I.R.S. Employer Identification Number)</w:t>
            </w:r>
          </w:p>
        </w:tc>
      </w:tr>
      <w:tr>
        <w:trPr>
          <w:trHeight w:val="173"/>
        </w:trPr>
        <w:tc>
          <w:tcPr>
            <w:tcW w:w="5260" w:type="dxa"/>
            <w:vAlign w:val="bottom"/>
          </w:tcPr>
          <w:p>
            <w:pPr>
              <w:ind w:left="1160"/>
              <w:spacing w:after="0" w:line="173" w:lineRule="exact"/>
              <w:rPr>
                <w:sz w:val="20"/>
                <w:szCs w:val="20"/>
                <w:color w:val="auto"/>
              </w:rPr>
            </w:pPr>
            <w:r>
              <w:rPr>
                <w:rFonts w:ascii="Arial" w:cs="Arial" w:eastAsia="Arial" w:hAnsi="Arial"/>
                <w:sz w:val="16"/>
                <w:szCs w:val="16"/>
                <w:b w:val="1"/>
                <w:bCs w:val="1"/>
                <w:color w:val="auto"/>
              </w:rPr>
              <w:t>3027 Townsgate Road Suite 300</w:t>
            </w:r>
          </w:p>
        </w:tc>
        <w:tc>
          <w:tcPr>
            <w:tcW w:w="3840" w:type="dxa"/>
            <w:vAlign w:val="bottom"/>
          </w:tcPr>
          <w:p>
            <w:pPr>
              <w:jc w:val="right"/>
              <w:ind w:right="1302"/>
              <w:spacing w:after="0" w:line="173" w:lineRule="exact"/>
              <w:rPr>
                <w:sz w:val="20"/>
                <w:szCs w:val="20"/>
                <w:color w:val="auto"/>
              </w:rPr>
            </w:pPr>
            <w:r>
              <w:rPr>
                <w:rFonts w:ascii="Arial" w:cs="Arial" w:eastAsia="Arial" w:hAnsi="Arial"/>
                <w:sz w:val="16"/>
                <w:szCs w:val="16"/>
                <w:b w:val="1"/>
                <w:bCs w:val="1"/>
                <w:color w:val="auto"/>
              </w:rPr>
              <w:t>91361</w:t>
            </w:r>
          </w:p>
        </w:tc>
      </w:tr>
      <w:tr>
        <w:trPr>
          <w:trHeight w:val="198"/>
        </w:trPr>
        <w:tc>
          <w:tcPr>
            <w:tcW w:w="5260" w:type="dxa"/>
            <w:vAlign w:val="bottom"/>
          </w:tcPr>
          <w:p>
            <w:pPr>
              <w:jc w:val="center"/>
              <w:ind w:right="1082"/>
              <w:spacing w:after="0"/>
              <w:rPr>
                <w:sz w:val="20"/>
                <w:szCs w:val="20"/>
                <w:color w:val="auto"/>
              </w:rPr>
            </w:pPr>
            <w:r>
              <w:rPr>
                <w:rFonts w:ascii="Arial" w:cs="Arial" w:eastAsia="Arial" w:hAnsi="Arial"/>
                <w:sz w:val="16"/>
                <w:szCs w:val="16"/>
                <w:b w:val="1"/>
                <w:bCs w:val="1"/>
                <w:color w:val="auto"/>
                <w:w w:val="89"/>
              </w:rPr>
              <w:t>Westlake Village, California</w:t>
            </w:r>
          </w:p>
        </w:tc>
        <w:tc>
          <w:tcPr>
            <w:tcW w:w="3840" w:type="dxa"/>
            <w:vAlign w:val="bottom"/>
          </w:tcPr>
          <w:p>
            <w:pPr>
              <w:ind w:left="1900"/>
              <w:spacing w:after="0"/>
              <w:rPr>
                <w:sz w:val="20"/>
                <w:szCs w:val="20"/>
                <w:color w:val="auto"/>
              </w:rPr>
            </w:pPr>
            <w:r>
              <w:rPr>
                <w:rFonts w:ascii="Arial" w:cs="Arial" w:eastAsia="Arial" w:hAnsi="Arial"/>
                <w:sz w:val="16"/>
                <w:szCs w:val="16"/>
                <w:b w:val="1"/>
                <w:bCs w:val="1"/>
                <w:color w:val="auto"/>
              </w:rPr>
              <w:t>(Zip Code)</w:t>
            </w:r>
          </w:p>
        </w:tc>
      </w:tr>
    </w:tbl>
    <w:p>
      <w:pPr>
        <w:ind w:left="142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(805) 418-5006</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8"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52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84"/>
              </w:rPr>
              <w:t>Title of each class</w:t>
            </w:r>
          </w:p>
        </w:tc>
        <w:tc>
          <w:tcPr>
            <w:tcW w:w="34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0"/>
              </w:rPr>
              <w:t>Trading Symbol</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39"/>
        </w:trPr>
        <w:tc>
          <w:tcPr>
            <w:tcW w:w="314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w w:val="87"/>
              </w:rPr>
              <w:t>Common Stock, par value $0.0001</w:t>
            </w:r>
          </w:p>
        </w:tc>
        <w:tc>
          <w:tcPr>
            <w:tcW w:w="880" w:type="dxa"/>
            <w:vAlign w:val="bottom"/>
          </w:tcPr>
          <w:p>
            <w:pPr>
              <w:spacing w:after="0"/>
              <w:rPr>
                <w:sz w:val="20"/>
                <w:szCs w:val="20"/>
                <w:color w:val="auto"/>
              </w:rPr>
            </w:pPr>
          </w:p>
        </w:tc>
        <w:tc>
          <w:tcPr>
            <w:tcW w:w="2580" w:type="dxa"/>
            <w:vAlign w:val="bottom"/>
            <w:gridSpan w:val="2"/>
          </w:tcPr>
          <w:p>
            <w:pPr>
              <w:jc w:val="center"/>
              <w:ind w:right="1640"/>
              <w:spacing w:after="0"/>
              <w:rPr>
                <w:sz w:val="20"/>
                <w:szCs w:val="20"/>
                <w:color w:val="auto"/>
              </w:rPr>
            </w:pPr>
            <w:r>
              <w:rPr>
                <w:rFonts w:ascii="Arial" w:cs="Arial" w:eastAsia="Arial" w:hAnsi="Arial"/>
                <w:sz w:val="17"/>
                <w:szCs w:val="17"/>
                <w:b w:val="1"/>
                <w:bCs w:val="1"/>
                <w:color w:val="auto"/>
              </w:rPr>
              <w:t>ARQT</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89"/>
              </w:rPr>
              <w:t>The Nasdaq Global Select Market</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57" w:lineRule="exact"/>
        <w:rPr>
          <w:sz w:val="24"/>
          <w:szCs w:val="24"/>
          <w:color w:val="auto"/>
        </w:rPr>
      </w:pPr>
    </w:p>
    <w:p>
      <w:pPr>
        <w:ind w:right="2880"/>
        <w:spacing w:after="0" w:line="271" w:lineRule="exact"/>
        <w:rPr>
          <w:sz w:val="20"/>
          <w:szCs w:val="20"/>
          <w:color w:val="auto"/>
        </w:rPr>
      </w:pPr>
      <w:r>
        <w:rPr>
          <w:rFonts w:ascii="Arial" w:cs="Arial" w:eastAsia="Arial" w:hAnsi="Arial"/>
          <w:sz w:val="14"/>
          <w:szCs w:val="14"/>
          <w:color w:val="auto"/>
        </w:rPr>
        <w:t xml:space="preserve">Indicate by a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39" w:lineRule="exact"/>
        <w:rPr>
          <w:sz w:val="24"/>
          <w:szCs w:val="24"/>
          <w:color w:val="auto"/>
        </w:rPr>
      </w:pPr>
    </w:p>
    <w:p>
      <w:pPr>
        <w:ind w:right="240"/>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52" w:lineRule="exact"/>
        <w:rPr>
          <w:sz w:val="24"/>
          <w:szCs w:val="24"/>
          <w:color w:val="auto"/>
        </w:rPr>
      </w:pPr>
    </w:p>
    <w:p>
      <w:pPr>
        <w:ind w:right="16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19"/>
        </w:trPr>
        <w:tc>
          <w:tcPr>
            <w:tcW w:w="2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20" w:type="dxa"/>
            <w:vAlign w:val="bottom"/>
          </w:tcPr>
          <w:p>
            <w:pPr>
              <w:ind w:left="1020"/>
              <w:spacing w:after="0" w:line="171" w:lineRule="exact"/>
              <w:rPr>
                <w:sz w:val="20"/>
                <w:szCs w:val="20"/>
                <w:color w:val="auto"/>
              </w:rPr>
            </w:pPr>
            <w:r>
              <w:rPr>
                <w:rFonts w:ascii="MS PGothic" w:cs="MS PGothic" w:eastAsia="MS PGothic" w:hAnsi="MS PGothic"/>
                <w:sz w:val="17"/>
                <w:szCs w:val="17"/>
                <w:color w:val="auto"/>
              </w:rPr>
              <w:t>☒</w:t>
            </w:r>
          </w:p>
        </w:tc>
        <w:tc>
          <w:tcPr>
            <w:tcW w:w="3740" w:type="dxa"/>
            <w:vAlign w:val="bottom"/>
          </w:tcPr>
          <w:p>
            <w:pPr>
              <w:ind w:left="14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0"/>
        </w:trPr>
        <w:tc>
          <w:tcPr>
            <w:tcW w:w="2720" w:type="dxa"/>
            <w:vAlign w:val="bottom"/>
          </w:tcPr>
          <w:p>
            <w:pPr>
              <w:spacing w:after="0"/>
              <w:rPr>
                <w:sz w:val="20"/>
                <w:szCs w:val="20"/>
                <w:color w:val="auto"/>
              </w:rPr>
            </w:pPr>
            <w:r>
              <w:rPr>
                <w:rFonts w:ascii="Arial" w:cs="Arial" w:eastAsia="Arial" w:hAnsi="Arial"/>
                <w:sz w:val="16"/>
                <w:szCs w:val="16"/>
                <w:color w:val="auto"/>
              </w:rPr>
              <w:t>Non-accelerated filer</w:t>
            </w:r>
          </w:p>
        </w:tc>
        <w:tc>
          <w:tcPr>
            <w:tcW w:w="2620" w:type="dxa"/>
            <w:vAlign w:val="bottom"/>
          </w:tcPr>
          <w:p>
            <w:pPr>
              <w:ind w:left="1020"/>
              <w:spacing w:after="0" w:line="171" w:lineRule="exact"/>
              <w:rPr>
                <w:sz w:val="20"/>
                <w:szCs w:val="20"/>
                <w:color w:val="auto"/>
              </w:rPr>
            </w:pPr>
            <w:r>
              <w:rPr>
                <w:rFonts w:ascii="MS PGothic" w:cs="MS PGothic" w:eastAsia="MS PGothic" w:hAnsi="MS PGothic"/>
                <w:sz w:val="17"/>
                <w:szCs w:val="17"/>
                <w:color w:val="auto"/>
              </w:rPr>
              <w:t>☐</w:t>
            </w:r>
          </w:p>
        </w:tc>
        <w:tc>
          <w:tcPr>
            <w:tcW w:w="3740" w:type="dxa"/>
            <w:vAlign w:val="bottom"/>
          </w:tcPr>
          <w:p>
            <w:pPr>
              <w:ind w:left="14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0"/>
        </w:trPr>
        <w:tc>
          <w:tcPr>
            <w:tcW w:w="27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620" w:type="dxa"/>
            <w:vAlign w:val="bottom"/>
          </w:tcPr>
          <w:p>
            <w:pPr>
              <w:ind w:left="1020"/>
              <w:spacing w:after="0" w:line="171" w:lineRule="exact"/>
              <w:rPr>
                <w:sz w:val="20"/>
                <w:szCs w:val="20"/>
                <w:color w:val="auto"/>
              </w:rPr>
            </w:pPr>
            <w:r>
              <w:rPr>
                <w:rFonts w:ascii="MS PGothic" w:cs="MS PGothic" w:eastAsia="MS PGothic" w:hAnsi="MS PGothic"/>
                <w:sz w:val="17"/>
                <w:szCs w:val="17"/>
                <w:color w:val="auto"/>
              </w:rPr>
              <w:t>☐</w:t>
            </w:r>
          </w:p>
        </w:tc>
        <w:tc>
          <w:tcPr>
            <w:tcW w:w="3740" w:type="dxa"/>
            <w:vAlign w:val="bottom"/>
          </w:tcPr>
          <w:p>
            <w:pPr>
              <w:spacing w:after="0"/>
              <w:rPr>
                <w:sz w:val="23"/>
                <w:szCs w:val="23"/>
                <w:color w:val="auto"/>
              </w:rPr>
            </w:pPr>
          </w:p>
        </w:tc>
        <w:tc>
          <w:tcPr>
            <w:tcW w:w="740" w:type="dxa"/>
            <w:vAlign w:val="bottom"/>
          </w:tcPr>
          <w:p>
            <w:pPr>
              <w:spacing w:after="0"/>
              <w:rPr>
                <w:sz w:val="23"/>
                <w:szCs w:val="23"/>
                <w:color w:val="auto"/>
              </w:rPr>
            </w:pPr>
          </w:p>
        </w:tc>
      </w:tr>
    </w:tbl>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 w:lineRule="exact"/>
        <w:rPr>
          <w:sz w:val="24"/>
          <w:szCs w:val="24"/>
          <w:color w:val="auto"/>
        </w:rPr>
      </w:pPr>
    </w:p>
    <w:p>
      <w:pPr>
        <w:ind w:right="8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50" w:lineRule="exact"/>
        <w:rPr>
          <w:sz w:val="24"/>
          <w:szCs w:val="24"/>
          <w:color w:val="auto"/>
        </w:rPr>
      </w:pPr>
    </w:p>
    <w:p>
      <w:pPr>
        <w:ind w:right="80"/>
        <w:spacing w:after="0" w:line="243" w:lineRule="auto"/>
        <w:rPr>
          <w:sz w:val="20"/>
          <w:szCs w:val="20"/>
          <w:color w:val="auto"/>
        </w:rPr>
      </w:pPr>
      <w:r>
        <w:rPr>
          <w:rFonts w:ascii="Arial" w:cs="Arial" w:eastAsia="Arial" w:hAnsi="Arial"/>
          <w:sz w:val="16"/>
          <w:szCs w:val="16"/>
          <w:color w:val="auto"/>
        </w:rPr>
        <w:t>As of June 30, 2021, the last business day of the registrant's most recently completed second fiscal quarter, the aggregate market value of the voting and non-voting common equity held by non-affiliates of the registrant was approximately $1,082,483,639, based on the closing price of the registrant's common stock as reported on The Nasdaq Global Select Market.</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February 16, 2022 was 50,380,254.</w:t>
      </w:r>
    </w:p>
    <w:p>
      <w:pPr>
        <w:spacing w:after="0" w:line="30"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9" w:lineRule="exact"/>
        <w:rPr>
          <w:sz w:val="24"/>
          <w:szCs w:val="24"/>
          <w:color w:val="auto"/>
        </w:rPr>
      </w:pPr>
    </w:p>
    <w:p>
      <w:pPr>
        <w:ind w:left="20" w:right="320"/>
        <w:spacing w:after="0" w:line="229" w:lineRule="auto"/>
        <w:rPr>
          <w:sz w:val="20"/>
          <w:szCs w:val="20"/>
          <w:color w:val="auto"/>
        </w:rPr>
      </w:pPr>
      <w:r>
        <w:rPr>
          <w:rFonts w:ascii="Arial" w:cs="Arial" w:eastAsia="Arial" w:hAnsi="Arial"/>
          <w:sz w:val="16"/>
          <w:szCs w:val="16"/>
          <w:color w:val="auto"/>
        </w:rPr>
        <w:t>Portions of the registrant’s Proxy Statement for the registrant’s 2022 Annual Meeting of Stockholders are incorporated by reference into Part III of this Form 10-K to the extent stated herein. The Proxy Statement will be filed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146685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60" w:type="dxa"/>
            <w:vAlign w:val="bottom"/>
            <w:gridSpan w:val="9"/>
          </w:tcPr>
          <w:p>
            <w:pPr>
              <w:ind w:left="440"/>
              <w:spacing w:after="0"/>
              <w:rPr>
                <w:sz w:val="20"/>
                <w:szCs w:val="20"/>
                <w:color w:val="auto"/>
              </w:rPr>
            </w:pPr>
            <w:r>
              <w:rPr>
                <w:rFonts w:ascii="Arial" w:cs="Arial" w:eastAsia="Arial" w:hAnsi="Arial"/>
                <w:sz w:val="17"/>
                <w:szCs w:val="17"/>
                <w:b w:val="1"/>
                <w:bCs w:val="1"/>
                <w:color w:val="auto"/>
              </w:rPr>
              <w:t>INDEX</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60" w:type="dxa"/>
            <w:vAlign w:val="bottom"/>
            <w:tcBorders>
              <w:bottom w:val="single" w:sz="8" w:color="0000FF"/>
            </w:tcBorders>
            <w:gridSpan w:val="2"/>
          </w:tcPr>
          <w:p>
            <w:pPr>
              <w:spacing w:after="0"/>
              <w:rPr>
                <w:rFonts w:ascii="Arial" w:cs="Arial" w:eastAsia="Arial" w:hAnsi="Arial"/>
                <w:sz w:val="17"/>
                <w:szCs w:val="17"/>
                <w:color w:val="0000FF"/>
                <w:w w:val="98"/>
              </w:rPr>
            </w:pPr>
            <w:hyperlink w:anchor="page6">
              <w:r>
                <w:rPr>
                  <w:rFonts w:ascii="Arial" w:cs="Arial" w:eastAsia="Arial" w:hAnsi="Arial"/>
                  <w:sz w:val="17"/>
                  <w:szCs w:val="17"/>
                  <w:color w:val="0000FF"/>
                  <w:w w:val="98"/>
                </w:rPr>
                <w:t>PART I</w:t>
              </w:r>
            </w:hyperlink>
          </w:p>
        </w:tc>
        <w:tc>
          <w:tcPr>
            <w:tcW w:w="76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471"/>
        </w:trPr>
        <w:tc>
          <w:tcPr>
            <w:tcW w:w="40" w:type="dxa"/>
            <w:vAlign w:val="bottom"/>
          </w:tcPr>
          <w:p>
            <w:pPr>
              <w:spacing w:after="0"/>
              <w:rPr>
                <w:sz w:val="24"/>
                <w:szCs w:val="24"/>
                <w:color w:val="auto"/>
              </w:rPr>
            </w:pPr>
          </w:p>
        </w:tc>
        <w:tc>
          <w:tcPr>
            <w:tcW w:w="1320" w:type="dxa"/>
            <w:vAlign w:val="bottom"/>
            <w:gridSpan w:val="6"/>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Item 1</w:t>
              </w:r>
            </w:hyperlink>
            <w:r>
              <w:rPr>
                <w:rFonts w:ascii="Arial" w:cs="Arial" w:eastAsia="Arial" w:hAnsi="Arial"/>
                <w:sz w:val="17"/>
                <w:szCs w:val="17"/>
                <w:color w:val="000000"/>
              </w:rPr>
              <w:t>.</w:t>
            </w:r>
          </w:p>
        </w:tc>
        <w:tc>
          <w:tcPr>
            <w:tcW w:w="700" w:type="dxa"/>
            <w:vAlign w:val="bottom"/>
            <w:tcBorders>
              <w:bottom w:val="single" w:sz="8" w:color="0000FF"/>
            </w:tcBorders>
          </w:tcPr>
          <w:p>
            <w:pPr>
              <w:spacing w:after="0"/>
              <w:rPr>
                <w:rFonts w:ascii="Arial" w:cs="Arial" w:eastAsia="Arial" w:hAnsi="Arial"/>
                <w:sz w:val="17"/>
                <w:szCs w:val="17"/>
                <w:color w:val="0000FF"/>
                <w:w w:val="98"/>
              </w:rPr>
            </w:pPr>
            <w:hyperlink w:anchor="page6">
              <w:r>
                <w:rPr>
                  <w:rFonts w:ascii="Arial" w:cs="Arial" w:eastAsia="Arial" w:hAnsi="Arial"/>
                  <w:sz w:val="17"/>
                  <w:szCs w:val="17"/>
                  <w:color w:val="0000FF"/>
                  <w:w w:val="98"/>
                </w:rPr>
                <w:t>Business</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3"/>
            <w:vMerge w:val="restart"/>
          </w:tcPr>
          <w:p>
            <w:pPr>
              <w:spacing w:after="0"/>
              <w:rPr>
                <w:rFonts w:ascii="Arial" w:cs="Arial" w:eastAsia="Arial" w:hAnsi="Arial"/>
                <w:sz w:val="17"/>
                <w:szCs w:val="17"/>
                <w:color w:val="0000FF"/>
                <w:w w:val="99"/>
              </w:rPr>
            </w:pPr>
            <w:hyperlink w:anchor="page40">
              <w:r>
                <w:rPr>
                  <w:rFonts w:ascii="Arial" w:cs="Arial" w:eastAsia="Arial" w:hAnsi="Arial"/>
                  <w:sz w:val="17"/>
                  <w:szCs w:val="17"/>
                  <w:color w:val="0000FF"/>
                  <w:w w:val="99"/>
                </w:rPr>
                <w:t>Risk Factors</w:t>
              </w:r>
            </w:hyperlink>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320" w:type="dxa"/>
            <w:vAlign w:val="bottom"/>
            <w:gridSpan w:val="6"/>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Item 1A.</w:t>
              </w:r>
            </w:hyperlink>
          </w:p>
        </w:tc>
        <w:tc>
          <w:tcPr>
            <w:tcW w:w="960" w:type="dxa"/>
            <w:vAlign w:val="bottom"/>
            <w:tcBorders>
              <w:bottom w:val="single" w:sz="8" w:color="0000FF"/>
            </w:tcBorders>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rFonts w:ascii="Arial" w:cs="Arial" w:eastAsia="Arial" w:hAnsi="Arial"/>
                <w:sz w:val="17"/>
                <w:szCs w:val="17"/>
                <w:color w:val="0000FF"/>
              </w:rPr>
            </w:pPr>
            <w:hyperlink w:anchor="page40">
              <w:r>
                <w:rPr>
                  <w:rFonts w:ascii="Arial" w:cs="Arial" w:eastAsia="Arial" w:hAnsi="Arial"/>
                  <w:sz w:val="17"/>
                  <w:szCs w:val="17"/>
                  <w:color w:val="0000FF"/>
                </w:rPr>
                <w:t>38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gridSpan w:val="9"/>
            <w:vMerge w:val="restart"/>
          </w:tcPr>
          <w:p>
            <w:pPr>
              <w:spacing w:after="0"/>
              <w:rPr>
                <w:rFonts w:ascii="Arial" w:cs="Arial" w:eastAsia="Arial" w:hAnsi="Arial"/>
                <w:sz w:val="17"/>
                <w:szCs w:val="17"/>
                <w:color w:val="0000FF"/>
              </w:rPr>
            </w:pPr>
            <w:hyperlink w:anchor="page88">
              <w:r>
                <w:rPr>
                  <w:rFonts w:ascii="Arial" w:cs="Arial" w:eastAsia="Arial" w:hAnsi="Arial"/>
                  <w:sz w:val="17"/>
                  <w:szCs w:val="17"/>
                  <w:color w:val="0000FF"/>
                </w:rPr>
                <w:t>Unresolved Staff Comments</w:t>
              </w:r>
            </w:hyperlink>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320" w:type="dxa"/>
            <w:vAlign w:val="bottom"/>
            <w:gridSpan w:val="6"/>
          </w:tcPr>
          <w:p>
            <w:pPr>
              <w:spacing w:after="0"/>
              <w:rPr>
                <w:rFonts w:ascii="Arial" w:cs="Arial" w:eastAsia="Arial" w:hAnsi="Arial"/>
                <w:sz w:val="17"/>
                <w:szCs w:val="17"/>
                <w:color w:val="0000FF"/>
              </w:rPr>
            </w:pPr>
            <w:hyperlink w:anchor="page88">
              <w:r>
                <w:rPr>
                  <w:rFonts w:ascii="Arial" w:cs="Arial" w:eastAsia="Arial" w:hAnsi="Arial"/>
                  <w:sz w:val="17"/>
                  <w:szCs w:val="17"/>
                  <w:color w:val="0000FF"/>
                </w:rPr>
                <w:t>Item 1B.</w:t>
              </w:r>
            </w:hyperlink>
          </w:p>
        </w:tc>
        <w:tc>
          <w:tcPr>
            <w:tcW w:w="2160" w:type="dxa"/>
            <w:vAlign w:val="bottom"/>
            <w:tcBorders>
              <w:bottom w:val="single" w:sz="8" w:color="0000FF"/>
            </w:tcBorders>
            <w:gridSpan w:val="9"/>
            <w:vMerge w:val="continue"/>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rFonts w:ascii="Arial" w:cs="Arial" w:eastAsia="Arial" w:hAnsi="Arial"/>
                <w:sz w:val="17"/>
                <w:szCs w:val="17"/>
                <w:color w:val="0000FF"/>
              </w:rPr>
            </w:pPr>
            <w:hyperlink w:anchor="page88">
              <w:r>
                <w:rPr>
                  <w:rFonts w:ascii="Arial" w:cs="Arial" w:eastAsia="Arial" w:hAnsi="Arial"/>
                  <w:sz w:val="17"/>
                  <w:szCs w:val="17"/>
                  <w:color w:val="0000FF"/>
                </w:rPr>
                <w:t>86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Pr>
          <w:p>
            <w:pPr>
              <w:spacing w:after="0"/>
              <w:rPr>
                <w:sz w:val="16"/>
                <w:szCs w:val="16"/>
                <w:color w:val="auto"/>
              </w:rPr>
            </w:pPr>
          </w:p>
        </w:tc>
        <w:tc>
          <w:tcPr>
            <w:tcW w:w="540" w:type="dxa"/>
            <w:vAlign w:val="bottom"/>
          </w:tcPr>
          <w:p>
            <w:pPr>
              <w:spacing w:after="0" w:line="185" w:lineRule="exact"/>
              <w:rPr>
                <w:rFonts w:ascii="Arial" w:cs="Arial" w:eastAsia="Arial" w:hAnsi="Arial"/>
                <w:sz w:val="17"/>
                <w:szCs w:val="17"/>
                <w:color w:val="0000FF"/>
                <w:w w:val="96"/>
              </w:rPr>
            </w:pPr>
            <w:hyperlink w:anchor="page88">
              <w:r>
                <w:rPr>
                  <w:rFonts w:ascii="Arial" w:cs="Arial" w:eastAsia="Arial" w:hAnsi="Arial"/>
                  <w:sz w:val="17"/>
                  <w:szCs w:val="17"/>
                  <w:color w:val="0000FF"/>
                  <w:w w:val="96"/>
                </w:rPr>
                <w:t>Item 2.</w:t>
              </w:r>
            </w:hyperlink>
          </w:p>
        </w:tc>
        <w:tc>
          <w:tcPr>
            <w:tcW w:w="780" w:type="dxa"/>
            <w:vAlign w:val="bottom"/>
            <w:gridSpan w:val="5"/>
          </w:tcPr>
          <w:p>
            <w:pPr>
              <w:spacing w:after="0"/>
              <w:rPr>
                <w:sz w:val="16"/>
                <w:szCs w:val="16"/>
                <w:color w:val="auto"/>
              </w:rPr>
            </w:pPr>
          </w:p>
        </w:tc>
        <w:tc>
          <w:tcPr>
            <w:tcW w:w="9020" w:type="dxa"/>
            <w:vAlign w:val="bottom"/>
            <w:gridSpan w:val="21"/>
          </w:tcPr>
          <w:p>
            <w:pPr>
              <w:spacing w:after="0" w:line="185" w:lineRule="exact"/>
              <w:rPr>
                <w:rFonts w:ascii="Arial" w:cs="Arial" w:eastAsia="Arial" w:hAnsi="Arial"/>
                <w:sz w:val="17"/>
                <w:szCs w:val="17"/>
                <w:color w:val="0000FF"/>
              </w:rPr>
            </w:pPr>
            <w:hyperlink w:anchor="page88">
              <w:r>
                <w:rPr>
                  <w:rFonts w:ascii="Arial" w:cs="Arial" w:eastAsia="Arial" w:hAnsi="Arial"/>
                  <w:sz w:val="17"/>
                  <w:szCs w:val="17"/>
                  <w:color w:val="0000FF"/>
                </w:rPr>
                <w:t>Properties</w:t>
              </w:r>
            </w:hyperlink>
          </w:p>
        </w:tc>
        <w:tc>
          <w:tcPr>
            <w:tcW w:w="860" w:type="dxa"/>
            <w:vAlign w:val="bottom"/>
          </w:tcPr>
          <w:p>
            <w:pPr>
              <w:jc w:val="right"/>
              <w:spacing w:after="0" w:line="185" w:lineRule="exact"/>
              <w:rPr>
                <w:rFonts w:ascii="Arial" w:cs="Arial" w:eastAsia="Arial" w:hAnsi="Arial"/>
                <w:sz w:val="17"/>
                <w:szCs w:val="17"/>
                <w:color w:val="0000FF"/>
              </w:rPr>
            </w:pPr>
            <w:hyperlink w:anchor="page88">
              <w:r>
                <w:rPr>
                  <w:rFonts w:ascii="Arial" w:cs="Arial" w:eastAsia="Arial" w:hAnsi="Arial"/>
                  <w:sz w:val="17"/>
                  <w:szCs w:val="17"/>
                  <w:color w:val="0000FF"/>
                </w:rPr>
                <w:t>86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540" w:type="dxa"/>
            <w:vAlign w:val="bottom"/>
            <w:tcBorders>
              <w:bottom w:val="single" w:sz="8" w:color="0000FF"/>
            </w:tcBorders>
          </w:tcPr>
          <w:p>
            <w:pPr>
              <w:spacing w:after="0"/>
              <w:rPr>
                <w:rFonts w:ascii="Arial" w:cs="Arial" w:eastAsia="Arial" w:hAnsi="Arial"/>
                <w:sz w:val="17"/>
                <w:szCs w:val="17"/>
                <w:color w:val="0000FF"/>
                <w:w w:val="96"/>
              </w:rPr>
            </w:pPr>
            <w:hyperlink w:anchor="page88">
              <w:r>
                <w:rPr>
                  <w:rFonts w:ascii="Arial" w:cs="Arial" w:eastAsia="Arial" w:hAnsi="Arial"/>
                  <w:sz w:val="17"/>
                  <w:szCs w:val="17"/>
                  <w:color w:val="0000FF"/>
                  <w:w w:val="96"/>
                </w:rPr>
                <w:t>Item 3.</w:t>
              </w:r>
            </w:hyperlink>
          </w:p>
        </w:tc>
        <w:tc>
          <w:tcPr>
            <w:tcW w:w="780" w:type="dxa"/>
            <w:vAlign w:val="bottom"/>
            <w:gridSpan w:val="5"/>
          </w:tcPr>
          <w:p>
            <w:pPr>
              <w:spacing w:after="0"/>
              <w:rPr>
                <w:sz w:val="17"/>
                <w:szCs w:val="17"/>
                <w:color w:val="auto"/>
              </w:rPr>
            </w:pPr>
          </w:p>
        </w:tc>
        <w:tc>
          <w:tcPr>
            <w:tcW w:w="1440" w:type="dxa"/>
            <w:vAlign w:val="bottom"/>
            <w:tcBorders>
              <w:bottom w:val="single" w:sz="8" w:color="0000FF"/>
            </w:tcBorders>
            <w:gridSpan w:val="5"/>
          </w:tcPr>
          <w:p>
            <w:pPr>
              <w:spacing w:after="0"/>
              <w:rPr>
                <w:rFonts w:ascii="Arial" w:cs="Arial" w:eastAsia="Arial" w:hAnsi="Arial"/>
                <w:sz w:val="17"/>
                <w:szCs w:val="17"/>
                <w:color w:val="0000FF"/>
              </w:rPr>
            </w:pPr>
            <w:hyperlink w:anchor="page88">
              <w:r>
                <w:rPr>
                  <w:rFonts w:ascii="Arial" w:cs="Arial" w:eastAsia="Arial" w:hAnsi="Arial"/>
                  <w:sz w:val="17"/>
                  <w:szCs w:val="17"/>
                  <w:color w:val="0000FF"/>
                </w:rPr>
                <w:t>Legal Proceedings</w:t>
              </w:r>
            </w:hyperlink>
          </w:p>
        </w:tc>
        <w:tc>
          <w:tcPr>
            <w:tcW w:w="7580" w:type="dxa"/>
            <w:vAlign w:val="bottom"/>
            <w:gridSpan w:val="16"/>
          </w:tcPr>
          <w:p>
            <w:pPr>
              <w:spacing w:after="0"/>
              <w:rPr>
                <w:sz w:val="17"/>
                <w:szCs w:val="17"/>
                <w:color w:val="auto"/>
              </w:rPr>
            </w:pPr>
          </w:p>
        </w:tc>
        <w:tc>
          <w:tcPr>
            <w:tcW w:w="860" w:type="dxa"/>
            <w:vAlign w:val="bottom"/>
          </w:tcPr>
          <w:p>
            <w:pPr>
              <w:jc w:val="right"/>
              <w:spacing w:after="0"/>
              <w:rPr>
                <w:rFonts w:ascii="Arial" w:cs="Arial" w:eastAsia="Arial" w:hAnsi="Arial"/>
                <w:sz w:val="17"/>
                <w:szCs w:val="17"/>
                <w:color w:val="0000FF"/>
              </w:rPr>
            </w:pPr>
            <w:hyperlink w:anchor="page88">
              <w:r>
                <w:rPr>
                  <w:rFonts w:ascii="Arial" w:cs="Arial" w:eastAsia="Arial" w:hAnsi="Arial"/>
                  <w:sz w:val="17"/>
                  <w:szCs w:val="17"/>
                  <w:color w:val="0000FF"/>
                </w:rPr>
                <w:t>86</w:t>
              </w:r>
            </w:hyperlink>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540" w:type="dxa"/>
            <w:vAlign w:val="bottom"/>
            <w:tcBorders>
              <w:bottom w:val="single" w:sz="8" w:color="0000FF"/>
            </w:tcBorders>
          </w:tcPr>
          <w:p>
            <w:pPr>
              <w:spacing w:after="0"/>
              <w:rPr>
                <w:rFonts w:ascii="Arial" w:cs="Arial" w:eastAsia="Arial" w:hAnsi="Arial"/>
                <w:sz w:val="17"/>
                <w:szCs w:val="17"/>
                <w:color w:val="0000FF"/>
                <w:w w:val="96"/>
              </w:rPr>
            </w:pPr>
            <w:hyperlink w:anchor="page88">
              <w:r>
                <w:rPr>
                  <w:rFonts w:ascii="Arial" w:cs="Arial" w:eastAsia="Arial" w:hAnsi="Arial"/>
                  <w:sz w:val="17"/>
                  <w:szCs w:val="17"/>
                  <w:color w:val="0000FF"/>
                  <w:w w:val="96"/>
                </w:rPr>
                <w:t>Item 4.</w:t>
              </w:r>
            </w:hyperlink>
          </w:p>
        </w:tc>
        <w:tc>
          <w:tcPr>
            <w:tcW w:w="780" w:type="dxa"/>
            <w:vAlign w:val="bottom"/>
            <w:gridSpan w:val="5"/>
          </w:tcPr>
          <w:p>
            <w:pPr>
              <w:spacing w:after="0"/>
              <w:rPr>
                <w:sz w:val="17"/>
                <w:szCs w:val="17"/>
                <w:color w:val="auto"/>
              </w:rPr>
            </w:pPr>
          </w:p>
        </w:tc>
        <w:tc>
          <w:tcPr>
            <w:tcW w:w="1860" w:type="dxa"/>
            <w:vAlign w:val="bottom"/>
            <w:tcBorders>
              <w:bottom w:val="single" w:sz="8" w:color="0000FF"/>
            </w:tcBorders>
            <w:gridSpan w:val="7"/>
          </w:tcPr>
          <w:p>
            <w:pPr>
              <w:spacing w:after="0"/>
              <w:rPr>
                <w:rFonts w:ascii="Arial" w:cs="Arial" w:eastAsia="Arial" w:hAnsi="Arial"/>
                <w:sz w:val="17"/>
                <w:szCs w:val="17"/>
                <w:color w:val="0000FF"/>
              </w:rPr>
            </w:pPr>
            <w:hyperlink w:anchor="page88">
              <w:r>
                <w:rPr>
                  <w:rFonts w:ascii="Arial" w:cs="Arial" w:eastAsia="Arial" w:hAnsi="Arial"/>
                  <w:sz w:val="17"/>
                  <w:szCs w:val="17"/>
                  <w:color w:val="0000FF"/>
                </w:rPr>
                <w:t>Mine Safety Disclosures</w:t>
              </w:r>
            </w:hyperlink>
          </w:p>
        </w:tc>
        <w:tc>
          <w:tcPr>
            <w:tcW w:w="7160" w:type="dxa"/>
            <w:vAlign w:val="bottom"/>
            <w:gridSpan w:val="14"/>
          </w:tcPr>
          <w:p>
            <w:pPr>
              <w:spacing w:after="0"/>
              <w:rPr>
                <w:sz w:val="17"/>
                <w:szCs w:val="17"/>
                <w:color w:val="auto"/>
              </w:rPr>
            </w:pPr>
          </w:p>
        </w:tc>
        <w:tc>
          <w:tcPr>
            <w:tcW w:w="860" w:type="dxa"/>
            <w:vAlign w:val="bottom"/>
          </w:tcPr>
          <w:p>
            <w:pPr>
              <w:jc w:val="right"/>
              <w:spacing w:after="0"/>
              <w:rPr>
                <w:rFonts w:ascii="Arial" w:cs="Arial" w:eastAsia="Arial" w:hAnsi="Arial"/>
                <w:sz w:val="17"/>
                <w:szCs w:val="17"/>
                <w:color w:val="0000FF"/>
              </w:rPr>
            </w:pPr>
            <w:hyperlink w:anchor="page88">
              <w:r>
                <w:rPr>
                  <w:rFonts w:ascii="Arial" w:cs="Arial" w:eastAsia="Arial" w:hAnsi="Arial"/>
                  <w:sz w:val="17"/>
                  <w:szCs w:val="17"/>
                  <w:color w:val="0000FF"/>
                </w:rPr>
                <w:t>86</w:t>
              </w:r>
            </w:hyperlink>
          </w:p>
        </w:tc>
        <w:tc>
          <w:tcPr>
            <w:tcW w:w="0" w:type="dxa"/>
            <w:vAlign w:val="bottom"/>
          </w:tcPr>
          <w:p>
            <w:pPr>
              <w:spacing w:after="0"/>
              <w:rPr>
                <w:sz w:val="1"/>
                <w:szCs w:val="1"/>
                <w:color w:val="auto"/>
              </w:rPr>
            </w:pPr>
          </w:p>
        </w:tc>
      </w:tr>
      <w:tr>
        <w:trPr>
          <w:trHeight w:val="458"/>
        </w:trPr>
        <w:tc>
          <w:tcPr>
            <w:tcW w:w="40" w:type="dxa"/>
            <w:vAlign w:val="bottom"/>
          </w:tcPr>
          <w:p>
            <w:pPr>
              <w:spacing w:after="0"/>
              <w:rPr>
                <w:sz w:val="24"/>
                <w:szCs w:val="24"/>
                <w:color w:val="auto"/>
              </w:rPr>
            </w:pPr>
          </w:p>
        </w:tc>
        <w:tc>
          <w:tcPr>
            <w:tcW w:w="620" w:type="dxa"/>
            <w:vAlign w:val="bottom"/>
            <w:tcBorders>
              <w:bottom w:val="single" w:sz="8" w:color="0000FF"/>
            </w:tcBorders>
            <w:gridSpan w:val="3"/>
          </w:tcPr>
          <w:p>
            <w:pPr>
              <w:spacing w:after="0"/>
              <w:rPr>
                <w:rFonts w:ascii="Arial" w:cs="Arial" w:eastAsia="Arial" w:hAnsi="Arial"/>
                <w:sz w:val="17"/>
                <w:szCs w:val="17"/>
                <w:color w:val="0000FF"/>
                <w:w w:val="97"/>
              </w:rPr>
            </w:pPr>
            <w:hyperlink w:anchor="page88">
              <w:r>
                <w:rPr>
                  <w:rFonts w:ascii="Arial" w:cs="Arial" w:eastAsia="Arial" w:hAnsi="Arial"/>
                  <w:sz w:val="17"/>
                  <w:szCs w:val="17"/>
                  <w:color w:val="0000FF"/>
                  <w:w w:val="97"/>
                </w:rPr>
                <w:t>PART II</w:t>
              </w:r>
            </w:hyperlink>
          </w:p>
        </w:tc>
        <w:tc>
          <w:tcPr>
            <w:tcW w:w="70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7"/>
                <w:szCs w:val="17"/>
                <w:color w:val="0000FF"/>
                <w:w w:val="96"/>
              </w:rPr>
            </w:pPr>
            <w:hyperlink w:anchor="page88">
              <w:r>
                <w:rPr>
                  <w:rFonts w:ascii="Arial" w:cs="Arial" w:eastAsia="Arial" w:hAnsi="Arial"/>
                  <w:sz w:val="17"/>
                  <w:szCs w:val="17"/>
                  <w:color w:val="0000FF"/>
                  <w:w w:val="96"/>
                </w:rPr>
                <w:t>Item 5.</w:t>
              </w:r>
            </w:hyperlink>
          </w:p>
        </w:tc>
        <w:tc>
          <w:tcPr>
            <w:tcW w:w="780" w:type="dxa"/>
            <w:vAlign w:val="bottom"/>
            <w:gridSpan w:val="5"/>
          </w:tcPr>
          <w:p>
            <w:pPr>
              <w:spacing w:after="0"/>
              <w:rPr>
                <w:sz w:val="24"/>
                <w:szCs w:val="24"/>
                <w:color w:val="auto"/>
              </w:rPr>
            </w:pPr>
          </w:p>
        </w:tc>
        <w:tc>
          <w:tcPr>
            <w:tcW w:w="9020" w:type="dxa"/>
            <w:vAlign w:val="bottom"/>
            <w:gridSpan w:val="21"/>
          </w:tcPr>
          <w:p>
            <w:pPr>
              <w:spacing w:after="0"/>
              <w:rPr>
                <w:rFonts w:ascii="Arial" w:cs="Arial" w:eastAsia="Arial" w:hAnsi="Arial"/>
                <w:sz w:val="17"/>
                <w:szCs w:val="17"/>
                <w:color w:val="0000FF"/>
              </w:rPr>
            </w:pPr>
            <w:hyperlink w:anchor="page88">
              <w:r>
                <w:rPr>
                  <w:rFonts w:ascii="Arial" w:cs="Arial" w:eastAsia="Arial" w:hAnsi="Arial"/>
                  <w:sz w:val="17"/>
                  <w:szCs w:val="17"/>
                  <w:color w:val="0000FF"/>
                </w:rPr>
                <w:t>Market For Registrant's Common Equity, Related Stockholder Matters And Issuer Purchases Of Equity Securities</w:t>
              </w:r>
            </w:hyperlink>
          </w:p>
        </w:tc>
        <w:tc>
          <w:tcPr>
            <w:tcW w:w="860" w:type="dxa"/>
            <w:vAlign w:val="bottom"/>
          </w:tcPr>
          <w:p>
            <w:pPr>
              <w:jc w:val="right"/>
              <w:spacing w:after="0"/>
              <w:rPr>
                <w:rFonts w:ascii="Arial" w:cs="Arial" w:eastAsia="Arial" w:hAnsi="Arial"/>
                <w:sz w:val="17"/>
                <w:szCs w:val="17"/>
                <w:color w:val="0000FF"/>
              </w:rPr>
            </w:pPr>
            <w:hyperlink w:anchor="page88">
              <w:r>
                <w:rPr>
                  <w:rFonts w:ascii="Arial" w:cs="Arial" w:eastAsia="Arial" w:hAnsi="Arial"/>
                  <w:sz w:val="17"/>
                  <w:szCs w:val="17"/>
                  <w:color w:val="0000FF"/>
                </w:rPr>
                <w:t>87</w:t>
              </w:r>
            </w:hyperlink>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40" w:type="dxa"/>
            <w:vAlign w:val="bottom"/>
            <w:tcBorders>
              <w:top w:val="single" w:sz="8" w:color="0000FF"/>
              <w:bottom w:val="single" w:sz="8" w:color="0000FF"/>
            </w:tcBorders>
          </w:tcPr>
          <w:p>
            <w:pPr>
              <w:spacing w:after="0"/>
              <w:rPr>
                <w:rFonts w:ascii="Arial" w:cs="Arial" w:eastAsia="Arial" w:hAnsi="Arial"/>
                <w:sz w:val="17"/>
                <w:szCs w:val="17"/>
                <w:color w:val="0000FF"/>
                <w:w w:val="96"/>
              </w:rPr>
            </w:pPr>
            <w:hyperlink w:anchor="page90">
              <w:r>
                <w:rPr>
                  <w:rFonts w:ascii="Arial" w:cs="Arial" w:eastAsia="Arial" w:hAnsi="Arial"/>
                  <w:sz w:val="17"/>
                  <w:szCs w:val="17"/>
                  <w:color w:val="0000FF"/>
                  <w:w w:val="96"/>
                </w:rPr>
                <w:t>Item 6.</w:t>
              </w:r>
            </w:hyperlink>
          </w:p>
        </w:tc>
        <w:tc>
          <w:tcPr>
            <w:tcW w:w="780" w:type="dxa"/>
            <w:vAlign w:val="bottom"/>
            <w:gridSpan w:val="5"/>
          </w:tcPr>
          <w:p>
            <w:pPr>
              <w:spacing w:after="0"/>
              <w:rPr>
                <w:sz w:val="18"/>
                <w:szCs w:val="18"/>
                <w:color w:val="auto"/>
              </w:rPr>
            </w:pPr>
          </w:p>
        </w:tc>
        <w:tc>
          <w:tcPr>
            <w:tcW w:w="1820" w:type="dxa"/>
            <w:vAlign w:val="bottom"/>
            <w:tcBorders>
              <w:top w:val="single" w:sz="8" w:color="0000FF"/>
              <w:bottom w:val="single" w:sz="8" w:color="0000FF"/>
            </w:tcBorders>
            <w:gridSpan w:val="6"/>
          </w:tcPr>
          <w:p>
            <w:pPr>
              <w:spacing w:after="0"/>
              <w:rPr>
                <w:rFonts w:ascii="Arial" w:cs="Arial" w:eastAsia="Arial" w:hAnsi="Arial"/>
                <w:sz w:val="17"/>
                <w:szCs w:val="17"/>
                <w:color w:val="0000FF"/>
              </w:rPr>
            </w:pPr>
            <w:hyperlink w:anchor="page90">
              <w:r>
                <w:rPr>
                  <w:rFonts w:ascii="Arial" w:cs="Arial" w:eastAsia="Arial" w:hAnsi="Arial"/>
                  <w:sz w:val="17"/>
                  <w:szCs w:val="17"/>
                  <w:color w:val="0000FF"/>
                </w:rPr>
                <w:t>Selected Financial Data</w:t>
              </w:r>
            </w:hyperlink>
          </w:p>
        </w:tc>
        <w:tc>
          <w:tcPr>
            <w:tcW w:w="80" w:type="dxa"/>
            <w:vAlign w:val="bottom"/>
            <w:tcBorders>
              <w:top w:val="single" w:sz="8" w:color="0000FF"/>
              <w:bottom w:val="single" w:sz="8" w:color="0000FF"/>
            </w:tcBorders>
            <w:gridSpan w:val="2"/>
          </w:tcPr>
          <w:p>
            <w:pPr>
              <w:spacing w:after="0"/>
              <w:rPr>
                <w:sz w:val="18"/>
                <w:szCs w:val="18"/>
                <w:color w:val="auto"/>
              </w:rPr>
            </w:pPr>
          </w:p>
        </w:tc>
        <w:tc>
          <w:tcPr>
            <w:tcW w:w="1140" w:type="dxa"/>
            <w:vAlign w:val="bottom"/>
            <w:tcBorders>
              <w:top w:val="single" w:sz="8" w:color="0000FF"/>
              <w:bottom w:val="single" w:sz="8" w:color="0000FF"/>
            </w:tcBorders>
            <w:gridSpan w:val="2"/>
          </w:tcPr>
          <w:p>
            <w:pPr>
              <w:spacing w:after="0"/>
              <w:rPr>
                <w:sz w:val="18"/>
                <w:szCs w:val="18"/>
                <w:color w:val="auto"/>
              </w:rPr>
            </w:pPr>
          </w:p>
        </w:tc>
        <w:tc>
          <w:tcPr>
            <w:tcW w:w="40" w:type="dxa"/>
            <w:vAlign w:val="bottom"/>
            <w:tcBorders>
              <w:top w:val="single" w:sz="8" w:color="0000FF"/>
              <w:bottom w:val="single" w:sz="8" w:color="0000FF"/>
            </w:tcBorders>
          </w:tcPr>
          <w:p>
            <w:pPr>
              <w:spacing w:after="0"/>
              <w:rPr>
                <w:sz w:val="18"/>
                <w:szCs w:val="18"/>
                <w:color w:val="auto"/>
              </w:rPr>
            </w:pPr>
          </w:p>
        </w:tc>
        <w:tc>
          <w:tcPr>
            <w:tcW w:w="480" w:type="dxa"/>
            <w:vAlign w:val="bottom"/>
            <w:tcBorders>
              <w:top w:val="single" w:sz="8" w:color="0000FF"/>
              <w:bottom w:val="single" w:sz="8" w:color="0000FF"/>
            </w:tcBorders>
          </w:tcPr>
          <w:p>
            <w:pPr>
              <w:spacing w:after="0"/>
              <w:rPr>
                <w:sz w:val="18"/>
                <w:szCs w:val="18"/>
                <w:color w:val="auto"/>
              </w:rPr>
            </w:pPr>
          </w:p>
        </w:tc>
        <w:tc>
          <w:tcPr>
            <w:tcW w:w="740" w:type="dxa"/>
            <w:vAlign w:val="bottom"/>
            <w:tcBorders>
              <w:top w:val="single" w:sz="8" w:color="0000FF"/>
              <w:bottom w:val="single" w:sz="8" w:color="0000FF"/>
            </w:tcBorders>
          </w:tcPr>
          <w:p>
            <w:pPr>
              <w:spacing w:after="0"/>
              <w:rPr>
                <w:sz w:val="18"/>
                <w:szCs w:val="18"/>
                <w:color w:val="auto"/>
              </w:rPr>
            </w:pPr>
          </w:p>
        </w:tc>
        <w:tc>
          <w:tcPr>
            <w:tcW w:w="200" w:type="dxa"/>
            <w:vAlign w:val="bottom"/>
            <w:tcBorders>
              <w:top w:val="single" w:sz="8" w:color="0000FF"/>
              <w:bottom w:val="single" w:sz="8" w:color="0000FF"/>
            </w:tcBorders>
          </w:tcPr>
          <w:p>
            <w:pPr>
              <w:spacing w:after="0"/>
              <w:rPr>
                <w:sz w:val="18"/>
                <w:szCs w:val="18"/>
                <w:color w:val="auto"/>
              </w:rPr>
            </w:pPr>
          </w:p>
        </w:tc>
        <w:tc>
          <w:tcPr>
            <w:tcW w:w="740" w:type="dxa"/>
            <w:vAlign w:val="bottom"/>
            <w:tcBorders>
              <w:top w:val="single" w:sz="8" w:color="0000FF"/>
              <w:bottom w:val="single" w:sz="8" w:color="0000FF"/>
            </w:tcBorders>
          </w:tcPr>
          <w:p>
            <w:pPr>
              <w:spacing w:after="0"/>
              <w:rPr>
                <w:sz w:val="18"/>
                <w:szCs w:val="18"/>
                <w:color w:val="auto"/>
              </w:rPr>
            </w:pPr>
          </w:p>
        </w:tc>
        <w:tc>
          <w:tcPr>
            <w:tcW w:w="580" w:type="dxa"/>
            <w:vAlign w:val="bottom"/>
            <w:tcBorders>
              <w:top w:val="single" w:sz="8" w:color="0000FF"/>
              <w:bottom w:val="single" w:sz="8" w:color="0000FF"/>
            </w:tcBorders>
          </w:tcPr>
          <w:p>
            <w:pPr>
              <w:spacing w:after="0"/>
              <w:rPr>
                <w:sz w:val="18"/>
                <w:szCs w:val="18"/>
                <w:color w:val="auto"/>
              </w:rPr>
            </w:pPr>
          </w:p>
        </w:tc>
        <w:tc>
          <w:tcPr>
            <w:tcW w:w="960" w:type="dxa"/>
            <w:vAlign w:val="bottom"/>
            <w:tcBorders>
              <w:top w:val="single" w:sz="8" w:color="0000FF"/>
              <w:bottom w:val="single" w:sz="8" w:color="0000FF"/>
            </w:tcBorders>
          </w:tcPr>
          <w:p>
            <w:pPr>
              <w:spacing w:after="0"/>
              <w:rPr>
                <w:sz w:val="18"/>
                <w:szCs w:val="18"/>
                <w:color w:val="auto"/>
              </w:rPr>
            </w:pPr>
          </w:p>
        </w:tc>
        <w:tc>
          <w:tcPr>
            <w:tcW w:w="40" w:type="dxa"/>
            <w:vAlign w:val="bottom"/>
            <w:tcBorders>
              <w:top w:val="single" w:sz="8" w:color="0000FF"/>
              <w:bottom w:val="single" w:sz="8" w:color="0000FF"/>
            </w:tcBorders>
          </w:tcPr>
          <w:p>
            <w:pPr>
              <w:spacing w:after="0"/>
              <w:rPr>
                <w:sz w:val="18"/>
                <w:szCs w:val="18"/>
                <w:color w:val="auto"/>
              </w:rPr>
            </w:pPr>
          </w:p>
        </w:tc>
        <w:tc>
          <w:tcPr>
            <w:tcW w:w="860" w:type="dxa"/>
            <w:vAlign w:val="bottom"/>
            <w:tcBorders>
              <w:top w:val="single" w:sz="8" w:color="0000FF"/>
              <w:bottom w:val="single" w:sz="8" w:color="0000FF"/>
            </w:tcBorders>
          </w:tcPr>
          <w:p>
            <w:pPr>
              <w:spacing w:after="0"/>
              <w:rPr>
                <w:sz w:val="18"/>
                <w:szCs w:val="18"/>
                <w:color w:val="auto"/>
              </w:rPr>
            </w:pPr>
          </w:p>
        </w:tc>
        <w:tc>
          <w:tcPr>
            <w:tcW w:w="920" w:type="dxa"/>
            <w:vAlign w:val="bottom"/>
            <w:tcBorders>
              <w:top w:val="single" w:sz="8" w:color="0000FF"/>
              <w:bottom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rFonts w:ascii="Arial" w:cs="Arial" w:eastAsia="Arial" w:hAnsi="Arial"/>
                <w:sz w:val="17"/>
                <w:szCs w:val="17"/>
                <w:color w:val="0000FF"/>
              </w:rPr>
            </w:pPr>
            <w:hyperlink w:anchor="page90">
              <w:r>
                <w:rPr>
                  <w:rFonts w:ascii="Arial" w:cs="Arial" w:eastAsia="Arial" w:hAnsi="Arial"/>
                  <w:sz w:val="17"/>
                  <w:szCs w:val="17"/>
                  <w:color w:val="0000FF"/>
                </w:rPr>
                <w:t>88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780" w:type="dxa"/>
            <w:vAlign w:val="bottom"/>
            <w:gridSpan w:val="17"/>
            <w:vMerge w:val="restart"/>
          </w:tcPr>
          <w:p>
            <w:pPr>
              <w:spacing w:after="0"/>
              <w:rPr>
                <w:rFonts w:ascii="Arial" w:cs="Arial" w:eastAsia="Arial" w:hAnsi="Arial"/>
                <w:sz w:val="17"/>
                <w:szCs w:val="17"/>
                <w:color w:val="0000FF"/>
              </w:rPr>
            </w:pPr>
            <w:hyperlink w:anchor="page91">
              <w:r>
                <w:rPr>
                  <w:rFonts w:ascii="Arial" w:cs="Arial" w:eastAsia="Arial" w:hAnsi="Arial"/>
                  <w:sz w:val="17"/>
                  <w:szCs w:val="17"/>
                  <w:color w:val="0000FF"/>
                </w:rPr>
                <w:t>Management’s Discussion and Analysis of Financial Condition and Results of Operations</w:t>
              </w:r>
            </w:hyperlink>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vMerge w:val="restart"/>
          </w:tcPr>
          <w:p>
            <w:pPr>
              <w:jc w:val="right"/>
              <w:spacing w:after="0"/>
              <w:rPr>
                <w:rFonts w:ascii="Arial" w:cs="Arial" w:eastAsia="Arial" w:hAnsi="Arial"/>
                <w:sz w:val="17"/>
                <w:szCs w:val="17"/>
                <w:color w:val="0000FF"/>
              </w:rPr>
            </w:pPr>
            <w:hyperlink w:anchor="page91">
              <w:r>
                <w:rPr>
                  <w:rFonts w:ascii="Arial" w:cs="Arial" w:eastAsia="Arial" w:hAnsi="Arial"/>
                  <w:sz w:val="17"/>
                  <w:szCs w:val="17"/>
                  <w:color w:val="0000FF"/>
                </w:rPr>
                <w:t>90</w:t>
              </w:r>
            </w:hyperlink>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40" w:type="dxa"/>
            <w:vAlign w:val="bottom"/>
            <w:vMerge w:val="restart"/>
          </w:tcPr>
          <w:p>
            <w:pPr>
              <w:spacing w:after="0"/>
              <w:rPr>
                <w:rFonts w:ascii="Arial" w:cs="Arial" w:eastAsia="Arial" w:hAnsi="Arial"/>
                <w:sz w:val="17"/>
                <w:szCs w:val="17"/>
                <w:color w:val="0000FF"/>
                <w:w w:val="96"/>
              </w:rPr>
            </w:pPr>
            <w:hyperlink w:anchor="page91">
              <w:r>
                <w:rPr>
                  <w:rFonts w:ascii="Arial" w:cs="Arial" w:eastAsia="Arial" w:hAnsi="Arial"/>
                  <w:sz w:val="17"/>
                  <w:szCs w:val="17"/>
                  <w:color w:val="0000FF"/>
                  <w:w w:val="96"/>
                </w:rPr>
                <w:t>Item 7.</w:t>
              </w:r>
            </w:hyperlink>
          </w:p>
        </w:tc>
        <w:tc>
          <w:tcPr>
            <w:tcW w:w="780" w:type="dxa"/>
            <w:vAlign w:val="bottom"/>
            <w:gridSpan w:val="5"/>
            <w:vMerge w:val="restart"/>
          </w:tcPr>
          <w:p>
            <w:pPr>
              <w:spacing w:after="0"/>
              <w:rPr>
                <w:sz w:val="17"/>
                <w:szCs w:val="17"/>
                <w:color w:val="auto"/>
              </w:rPr>
            </w:pPr>
          </w:p>
        </w:tc>
        <w:tc>
          <w:tcPr>
            <w:tcW w:w="6780" w:type="dxa"/>
            <w:vAlign w:val="bottom"/>
            <w:tcBorders>
              <w:bottom w:val="single" w:sz="8" w:color="0000FF"/>
            </w:tcBorders>
            <w:gridSpan w:val="17"/>
            <w:vMerge w:val="continue"/>
          </w:tcPr>
          <w:p>
            <w:pPr>
              <w:spacing w:after="0"/>
              <w:rPr>
                <w:sz w:val="17"/>
                <w:szCs w:val="17"/>
                <w:color w:val="auto"/>
              </w:rPr>
            </w:pPr>
          </w:p>
        </w:tc>
        <w:tc>
          <w:tcPr>
            <w:tcW w:w="40" w:type="dxa"/>
            <w:vAlign w:val="bottom"/>
            <w:vMerge w:val="restart"/>
          </w:tcPr>
          <w:p>
            <w:pPr>
              <w:spacing w:after="0"/>
              <w:rPr>
                <w:sz w:val="17"/>
                <w:szCs w:val="17"/>
                <w:color w:val="auto"/>
              </w:rPr>
            </w:pPr>
          </w:p>
        </w:tc>
        <w:tc>
          <w:tcPr>
            <w:tcW w:w="860" w:type="dxa"/>
            <w:vAlign w:val="bottom"/>
            <w:vMerge w:val="restart"/>
          </w:tcPr>
          <w:p>
            <w:pPr>
              <w:spacing w:after="0"/>
              <w:rPr>
                <w:sz w:val="17"/>
                <w:szCs w:val="17"/>
                <w:color w:val="auto"/>
              </w:rPr>
            </w:pPr>
          </w:p>
        </w:tc>
        <w:tc>
          <w:tcPr>
            <w:tcW w:w="1340" w:type="dxa"/>
            <w:vAlign w:val="bottom"/>
            <w:gridSpan w:val="2"/>
            <w:vMerge w:val="restart"/>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line="20" w:lineRule="exact"/>
              <w:rPr>
                <w:sz w:val="1"/>
                <w:szCs w:val="1"/>
                <w:color w:val="auto"/>
              </w:rPr>
            </w:pPr>
          </w:p>
        </w:tc>
        <w:tc>
          <w:tcPr>
            <w:tcW w:w="540" w:type="dxa"/>
            <w:vAlign w:val="bottom"/>
            <w:tcBorders>
              <w:bottom w:val="single" w:sz="8" w:color="0000FF"/>
            </w:tcBorders>
            <w:vMerge w:val="continue"/>
          </w:tcPr>
          <w:p>
            <w:pPr>
              <w:spacing w:after="0" w:line="20" w:lineRule="exact"/>
              <w:rPr>
                <w:sz w:val="1"/>
                <w:szCs w:val="1"/>
                <w:color w:val="auto"/>
              </w:rPr>
            </w:pPr>
          </w:p>
        </w:tc>
        <w:tc>
          <w:tcPr>
            <w:tcW w:w="780" w:type="dxa"/>
            <w:vAlign w:val="bottom"/>
            <w:gridSpan w:val="5"/>
            <w:vMerge w:val="continu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Pr>
          <w:p>
            <w:pPr>
              <w:spacing w:after="0"/>
              <w:rPr>
                <w:sz w:val="16"/>
                <w:szCs w:val="16"/>
                <w:color w:val="auto"/>
              </w:rPr>
            </w:pPr>
          </w:p>
        </w:tc>
        <w:tc>
          <w:tcPr>
            <w:tcW w:w="660" w:type="dxa"/>
            <w:vAlign w:val="bottom"/>
            <w:tcBorders>
              <w:bottom w:val="single" w:sz="8" w:color="0000FF"/>
            </w:tcBorders>
            <w:gridSpan w:val="4"/>
          </w:tcPr>
          <w:p>
            <w:pPr>
              <w:spacing w:after="0" w:line="185" w:lineRule="exact"/>
              <w:rPr>
                <w:rFonts w:ascii="Arial" w:cs="Arial" w:eastAsia="Arial" w:hAnsi="Arial"/>
                <w:sz w:val="17"/>
                <w:szCs w:val="17"/>
                <w:color w:val="0000FF"/>
                <w:w w:val="97"/>
              </w:rPr>
            </w:pPr>
            <w:hyperlink w:anchor="page106">
              <w:r>
                <w:rPr>
                  <w:rFonts w:ascii="Arial" w:cs="Arial" w:eastAsia="Arial" w:hAnsi="Arial"/>
                  <w:sz w:val="17"/>
                  <w:szCs w:val="17"/>
                  <w:color w:val="0000FF"/>
                  <w:w w:val="97"/>
                </w:rPr>
                <w:t>Item 7A.</w:t>
              </w:r>
            </w:hyperlink>
          </w:p>
        </w:tc>
        <w:tc>
          <w:tcPr>
            <w:tcW w:w="660" w:type="dxa"/>
            <w:vAlign w:val="bottom"/>
            <w:gridSpan w:val="2"/>
          </w:tcPr>
          <w:p>
            <w:pPr>
              <w:spacing w:after="0"/>
              <w:rPr>
                <w:sz w:val="16"/>
                <w:szCs w:val="16"/>
                <w:color w:val="auto"/>
              </w:rPr>
            </w:pPr>
          </w:p>
        </w:tc>
        <w:tc>
          <w:tcPr>
            <w:tcW w:w="4500" w:type="dxa"/>
            <w:vAlign w:val="bottom"/>
            <w:tcBorders>
              <w:bottom w:val="single" w:sz="8" w:color="0000FF"/>
            </w:tcBorders>
            <w:gridSpan w:val="14"/>
          </w:tcPr>
          <w:p>
            <w:pPr>
              <w:spacing w:after="0" w:line="185" w:lineRule="exact"/>
              <w:rPr>
                <w:rFonts w:ascii="Arial" w:cs="Arial" w:eastAsia="Arial" w:hAnsi="Arial"/>
                <w:sz w:val="17"/>
                <w:szCs w:val="17"/>
                <w:color w:val="0000FF"/>
              </w:rPr>
            </w:pPr>
            <w:hyperlink w:anchor="page106">
              <w:r>
                <w:rPr>
                  <w:rFonts w:ascii="Arial" w:cs="Arial" w:eastAsia="Arial" w:hAnsi="Arial"/>
                  <w:sz w:val="17"/>
                  <w:szCs w:val="17"/>
                  <w:color w:val="0000FF"/>
                </w:rPr>
                <w:t>Quantitative and Qualitative Disclosures about Market Risk</w:t>
              </w:r>
            </w:hyperlink>
          </w:p>
        </w:tc>
        <w:tc>
          <w:tcPr>
            <w:tcW w:w="4520" w:type="dxa"/>
            <w:vAlign w:val="bottom"/>
            <w:gridSpan w:val="7"/>
          </w:tcPr>
          <w:p>
            <w:pPr>
              <w:spacing w:after="0"/>
              <w:rPr>
                <w:sz w:val="16"/>
                <w:szCs w:val="16"/>
                <w:color w:val="auto"/>
              </w:rPr>
            </w:pPr>
          </w:p>
        </w:tc>
        <w:tc>
          <w:tcPr>
            <w:tcW w:w="860" w:type="dxa"/>
            <w:vAlign w:val="bottom"/>
          </w:tcPr>
          <w:p>
            <w:pPr>
              <w:jc w:val="right"/>
              <w:spacing w:after="0" w:line="185" w:lineRule="exact"/>
              <w:rPr>
                <w:rFonts w:ascii="Arial" w:cs="Arial" w:eastAsia="Arial" w:hAnsi="Arial"/>
                <w:sz w:val="17"/>
                <w:szCs w:val="17"/>
                <w:color w:val="0000FF"/>
              </w:rPr>
            </w:pPr>
            <w:hyperlink w:anchor="page106">
              <w:r>
                <w:rPr>
                  <w:rFonts w:ascii="Arial" w:cs="Arial" w:eastAsia="Arial" w:hAnsi="Arial"/>
                  <w:sz w:val="17"/>
                  <w:szCs w:val="17"/>
                  <w:color w:val="0000FF"/>
                </w:rPr>
                <w:t>104</w:t>
              </w:r>
            </w:hyperlink>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540" w:type="dxa"/>
            <w:vAlign w:val="bottom"/>
          </w:tcPr>
          <w:p>
            <w:pPr>
              <w:spacing w:after="0"/>
              <w:rPr>
                <w:rFonts w:ascii="Arial" w:cs="Arial" w:eastAsia="Arial" w:hAnsi="Arial"/>
                <w:sz w:val="17"/>
                <w:szCs w:val="17"/>
                <w:color w:val="0000FF"/>
                <w:w w:val="96"/>
              </w:rPr>
            </w:pPr>
            <w:hyperlink w:anchor="page107">
              <w:r>
                <w:rPr>
                  <w:rFonts w:ascii="Arial" w:cs="Arial" w:eastAsia="Arial" w:hAnsi="Arial"/>
                  <w:sz w:val="17"/>
                  <w:szCs w:val="17"/>
                  <w:color w:val="0000FF"/>
                  <w:w w:val="96"/>
                </w:rPr>
                <w:t>Item 8.</w:t>
              </w:r>
            </w:hyperlink>
          </w:p>
        </w:tc>
        <w:tc>
          <w:tcPr>
            <w:tcW w:w="780" w:type="dxa"/>
            <w:vAlign w:val="bottom"/>
            <w:gridSpan w:val="5"/>
          </w:tcPr>
          <w:p>
            <w:pPr>
              <w:spacing w:after="0"/>
              <w:rPr>
                <w:sz w:val="17"/>
                <w:szCs w:val="17"/>
                <w:color w:val="auto"/>
              </w:rPr>
            </w:pPr>
          </w:p>
        </w:tc>
        <w:tc>
          <w:tcPr>
            <w:tcW w:w="9020" w:type="dxa"/>
            <w:vAlign w:val="bottom"/>
            <w:gridSpan w:val="21"/>
          </w:tcPr>
          <w:p>
            <w:pPr>
              <w:spacing w:after="0"/>
              <w:rPr>
                <w:rFonts w:ascii="Arial" w:cs="Arial" w:eastAsia="Arial" w:hAnsi="Arial"/>
                <w:sz w:val="17"/>
                <w:szCs w:val="17"/>
                <w:color w:val="0000FF"/>
              </w:rPr>
            </w:pPr>
            <w:hyperlink w:anchor="page107">
              <w:r>
                <w:rPr>
                  <w:rFonts w:ascii="Arial" w:cs="Arial" w:eastAsia="Arial" w:hAnsi="Arial"/>
                  <w:sz w:val="17"/>
                  <w:szCs w:val="17"/>
                  <w:color w:val="0000FF"/>
                </w:rPr>
                <w:t>Financial Statements and Supplementary Data</w:t>
              </w:r>
            </w:hyperlink>
          </w:p>
        </w:tc>
        <w:tc>
          <w:tcPr>
            <w:tcW w:w="860" w:type="dxa"/>
            <w:vAlign w:val="bottom"/>
          </w:tcPr>
          <w:p>
            <w:pPr>
              <w:jc w:val="right"/>
              <w:spacing w:after="0"/>
              <w:rPr>
                <w:rFonts w:ascii="Arial" w:cs="Arial" w:eastAsia="Arial" w:hAnsi="Arial"/>
                <w:sz w:val="17"/>
                <w:szCs w:val="17"/>
                <w:color w:val="0000FF"/>
              </w:rPr>
            </w:pPr>
            <w:hyperlink w:anchor="page107">
              <w:r>
                <w:rPr>
                  <w:rFonts w:ascii="Arial" w:cs="Arial" w:eastAsia="Arial" w:hAnsi="Arial"/>
                  <w:sz w:val="17"/>
                  <w:szCs w:val="17"/>
                  <w:color w:val="0000FF"/>
                </w:rPr>
                <w:t>105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540" w:type="dxa"/>
            <w:vAlign w:val="bottom"/>
          </w:tcPr>
          <w:p>
            <w:pPr>
              <w:spacing w:after="0"/>
              <w:rPr>
                <w:rFonts w:ascii="Arial" w:cs="Arial" w:eastAsia="Arial" w:hAnsi="Arial"/>
                <w:sz w:val="17"/>
                <w:szCs w:val="17"/>
                <w:color w:val="0000FF"/>
                <w:w w:val="96"/>
              </w:rPr>
            </w:pPr>
            <w:hyperlink w:anchor="page107">
              <w:r>
                <w:rPr>
                  <w:rFonts w:ascii="Arial" w:cs="Arial" w:eastAsia="Arial" w:hAnsi="Arial"/>
                  <w:sz w:val="17"/>
                  <w:szCs w:val="17"/>
                  <w:color w:val="0000FF"/>
                  <w:w w:val="96"/>
                </w:rPr>
                <w:t>Item 9.</w:t>
              </w:r>
            </w:hyperlink>
          </w:p>
        </w:tc>
        <w:tc>
          <w:tcPr>
            <w:tcW w:w="780" w:type="dxa"/>
            <w:vAlign w:val="bottom"/>
            <w:gridSpan w:val="5"/>
          </w:tcPr>
          <w:p>
            <w:pPr>
              <w:spacing w:after="0"/>
              <w:rPr>
                <w:sz w:val="17"/>
                <w:szCs w:val="17"/>
                <w:color w:val="auto"/>
              </w:rPr>
            </w:pPr>
          </w:p>
        </w:tc>
        <w:tc>
          <w:tcPr>
            <w:tcW w:w="9020" w:type="dxa"/>
            <w:vAlign w:val="bottom"/>
            <w:gridSpan w:val="21"/>
          </w:tcPr>
          <w:p>
            <w:pPr>
              <w:spacing w:after="0"/>
              <w:rPr>
                <w:rFonts w:ascii="Arial" w:cs="Arial" w:eastAsia="Arial" w:hAnsi="Arial"/>
                <w:sz w:val="17"/>
                <w:szCs w:val="17"/>
                <w:color w:val="0000FF"/>
              </w:rPr>
            </w:pPr>
            <w:hyperlink w:anchor="page107">
              <w:r>
                <w:rPr>
                  <w:rFonts w:ascii="Arial" w:cs="Arial" w:eastAsia="Arial" w:hAnsi="Arial"/>
                  <w:sz w:val="17"/>
                  <w:szCs w:val="17"/>
                  <w:color w:val="0000FF"/>
                </w:rPr>
                <w:t>Changes in and Disagreements with Accountants on Accounting and Financial Disclosure</w:t>
              </w:r>
            </w:hyperlink>
          </w:p>
        </w:tc>
        <w:tc>
          <w:tcPr>
            <w:tcW w:w="860" w:type="dxa"/>
            <w:vAlign w:val="bottom"/>
          </w:tcPr>
          <w:p>
            <w:pPr>
              <w:jc w:val="right"/>
              <w:spacing w:after="0"/>
              <w:rPr>
                <w:rFonts w:ascii="Arial" w:cs="Arial" w:eastAsia="Arial" w:hAnsi="Arial"/>
                <w:sz w:val="17"/>
                <w:szCs w:val="17"/>
                <w:color w:val="0000FF"/>
              </w:rPr>
            </w:pPr>
            <w:hyperlink w:anchor="page107">
              <w:r>
                <w:rPr>
                  <w:rFonts w:ascii="Arial" w:cs="Arial" w:eastAsia="Arial" w:hAnsi="Arial"/>
                  <w:sz w:val="17"/>
                  <w:szCs w:val="17"/>
                  <w:color w:val="0000FF"/>
                </w:rPr>
                <w:t>105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660" w:type="dxa"/>
            <w:vAlign w:val="bottom"/>
            <w:gridSpan w:val="4"/>
          </w:tcPr>
          <w:p>
            <w:pPr>
              <w:spacing w:after="0"/>
              <w:rPr>
                <w:rFonts w:ascii="Arial" w:cs="Arial" w:eastAsia="Arial" w:hAnsi="Arial"/>
                <w:sz w:val="17"/>
                <w:szCs w:val="17"/>
                <w:color w:val="0000FF"/>
                <w:w w:val="97"/>
              </w:rPr>
            </w:pPr>
            <w:hyperlink w:anchor="page107">
              <w:r>
                <w:rPr>
                  <w:rFonts w:ascii="Arial" w:cs="Arial" w:eastAsia="Arial" w:hAnsi="Arial"/>
                  <w:sz w:val="17"/>
                  <w:szCs w:val="17"/>
                  <w:color w:val="0000FF"/>
                  <w:w w:val="97"/>
                </w:rPr>
                <w:t>Item 9A.</w:t>
              </w:r>
            </w:hyperlink>
          </w:p>
        </w:tc>
        <w:tc>
          <w:tcPr>
            <w:tcW w:w="660" w:type="dxa"/>
            <w:vAlign w:val="bottom"/>
            <w:gridSpan w:val="2"/>
          </w:tcPr>
          <w:p>
            <w:pPr>
              <w:spacing w:after="0"/>
              <w:rPr>
                <w:sz w:val="17"/>
                <w:szCs w:val="17"/>
                <w:color w:val="auto"/>
              </w:rPr>
            </w:pPr>
          </w:p>
        </w:tc>
        <w:tc>
          <w:tcPr>
            <w:tcW w:w="9020" w:type="dxa"/>
            <w:vAlign w:val="bottom"/>
            <w:gridSpan w:val="21"/>
          </w:tcPr>
          <w:p>
            <w:pPr>
              <w:spacing w:after="0"/>
              <w:rPr>
                <w:rFonts w:ascii="Arial" w:cs="Arial" w:eastAsia="Arial" w:hAnsi="Arial"/>
                <w:sz w:val="17"/>
                <w:szCs w:val="17"/>
                <w:color w:val="0000FF"/>
              </w:rPr>
            </w:pPr>
            <w:hyperlink w:anchor="page107">
              <w:r>
                <w:rPr>
                  <w:rFonts w:ascii="Arial" w:cs="Arial" w:eastAsia="Arial" w:hAnsi="Arial"/>
                  <w:sz w:val="17"/>
                  <w:szCs w:val="17"/>
                  <w:color w:val="0000FF"/>
                </w:rPr>
                <w:t>Controls and Procedures</w:t>
              </w:r>
            </w:hyperlink>
          </w:p>
        </w:tc>
        <w:tc>
          <w:tcPr>
            <w:tcW w:w="860" w:type="dxa"/>
            <w:vAlign w:val="bottom"/>
          </w:tcPr>
          <w:p>
            <w:pPr>
              <w:jc w:val="right"/>
              <w:spacing w:after="0"/>
              <w:rPr>
                <w:rFonts w:ascii="Arial" w:cs="Arial" w:eastAsia="Arial" w:hAnsi="Arial"/>
                <w:sz w:val="17"/>
                <w:szCs w:val="17"/>
                <w:color w:val="0000FF"/>
              </w:rPr>
            </w:pPr>
            <w:hyperlink w:anchor="page107">
              <w:r>
                <w:rPr>
                  <w:rFonts w:ascii="Arial" w:cs="Arial" w:eastAsia="Arial" w:hAnsi="Arial"/>
                  <w:sz w:val="17"/>
                  <w:szCs w:val="17"/>
                  <w:color w:val="0000FF"/>
                </w:rPr>
                <w:t>105</w:t>
              </w:r>
            </w:hyperlink>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60" w:type="dxa"/>
            <w:vAlign w:val="bottom"/>
            <w:tcBorders>
              <w:top w:val="single" w:sz="8" w:color="0000FF"/>
            </w:tcBorders>
            <w:gridSpan w:val="4"/>
          </w:tcPr>
          <w:p>
            <w:pPr>
              <w:spacing w:after="0"/>
              <w:rPr>
                <w:rFonts w:ascii="Arial" w:cs="Arial" w:eastAsia="Arial" w:hAnsi="Arial"/>
                <w:sz w:val="17"/>
                <w:szCs w:val="17"/>
                <w:color w:val="0000FF"/>
                <w:w w:val="97"/>
              </w:rPr>
            </w:pPr>
            <w:hyperlink w:anchor="page109">
              <w:r>
                <w:rPr>
                  <w:rFonts w:ascii="Arial" w:cs="Arial" w:eastAsia="Arial" w:hAnsi="Arial"/>
                  <w:sz w:val="17"/>
                  <w:szCs w:val="17"/>
                  <w:color w:val="0000FF"/>
                  <w:w w:val="97"/>
                </w:rPr>
                <w:t>Item 9B.</w:t>
              </w:r>
            </w:hyperlink>
          </w:p>
        </w:tc>
        <w:tc>
          <w:tcPr>
            <w:tcW w:w="660" w:type="dxa"/>
            <w:vAlign w:val="bottom"/>
            <w:gridSpan w:val="2"/>
          </w:tcPr>
          <w:p>
            <w:pPr>
              <w:spacing w:after="0"/>
              <w:rPr>
                <w:sz w:val="17"/>
                <w:szCs w:val="17"/>
                <w:color w:val="auto"/>
              </w:rPr>
            </w:pPr>
          </w:p>
        </w:tc>
        <w:tc>
          <w:tcPr>
            <w:tcW w:w="1900" w:type="dxa"/>
            <w:vAlign w:val="bottom"/>
            <w:tcBorders>
              <w:top w:val="single" w:sz="8" w:color="0000FF"/>
            </w:tcBorders>
            <w:gridSpan w:val="8"/>
          </w:tcPr>
          <w:p>
            <w:pPr>
              <w:spacing w:after="0"/>
              <w:rPr>
                <w:rFonts w:ascii="Arial" w:cs="Arial" w:eastAsia="Arial" w:hAnsi="Arial"/>
                <w:sz w:val="17"/>
                <w:szCs w:val="17"/>
                <w:color w:val="0000FF"/>
              </w:rPr>
            </w:pPr>
            <w:hyperlink w:anchor="page109">
              <w:r>
                <w:rPr>
                  <w:rFonts w:ascii="Arial" w:cs="Arial" w:eastAsia="Arial" w:hAnsi="Arial"/>
                  <w:sz w:val="17"/>
                  <w:szCs w:val="17"/>
                  <w:color w:val="0000FF"/>
                </w:rPr>
                <w:t>Other Information</w:t>
              </w:r>
            </w:hyperlink>
          </w:p>
        </w:tc>
        <w:tc>
          <w:tcPr>
            <w:tcW w:w="7120" w:type="dxa"/>
            <w:vAlign w:val="bottom"/>
            <w:gridSpan w:val="13"/>
          </w:tcPr>
          <w:p>
            <w:pPr>
              <w:spacing w:after="0"/>
              <w:rPr>
                <w:sz w:val="17"/>
                <w:szCs w:val="17"/>
                <w:color w:val="auto"/>
              </w:rPr>
            </w:pPr>
          </w:p>
        </w:tc>
        <w:tc>
          <w:tcPr>
            <w:tcW w:w="860" w:type="dxa"/>
            <w:vAlign w:val="bottom"/>
          </w:tcPr>
          <w:p>
            <w:pPr>
              <w:jc w:val="right"/>
              <w:spacing w:after="0"/>
              <w:rPr>
                <w:rFonts w:ascii="Arial" w:cs="Arial" w:eastAsia="Arial" w:hAnsi="Arial"/>
                <w:sz w:val="17"/>
                <w:szCs w:val="17"/>
                <w:color w:val="0000FF"/>
              </w:rPr>
            </w:pPr>
            <w:hyperlink w:anchor="page109">
              <w:r>
                <w:rPr>
                  <w:rFonts w:ascii="Arial" w:cs="Arial" w:eastAsia="Arial" w:hAnsi="Arial"/>
                  <w:sz w:val="17"/>
                  <w:szCs w:val="17"/>
                  <w:color w:val="0000FF"/>
                </w:rPr>
                <w:t>107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660" w:type="dxa"/>
            <w:vAlign w:val="bottom"/>
            <w:tcBorders>
              <w:bottom w:val="single" w:sz="8" w:color="0000FF"/>
            </w:tcBorders>
            <w:gridSpan w:val="4"/>
          </w:tcPr>
          <w:p>
            <w:pPr>
              <w:spacing w:after="0"/>
              <w:rPr>
                <w:rFonts w:ascii="Arial" w:cs="Arial" w:eastAsia="Arial" w:hAnsi="Arial"/>
                <w:sz w:val="17"/>
                <w:szCs w:val="17"/>
                <w:color w:val="0000FF"/>
                <w:w w:val="96"/>
              </w:rPr>
            </w:pPr>
            <w:hyperlink w:anchor="page110">
              <w:r>
                <w:rPr>
                  <w:rFonts w:ascii="Arial" w:cs="Arial" w:eastAsia="Arial" w:hAnsi="Arial"/>
                  <w:sz w:val="17"/>
                  <w:szCs w:val="17"/>
                  <w:color w:val="0000FF"/>
                  <w:w w:val="96"/>
                </w:rPr>
                <w:t>Item 9C.</w:t>
              </w:r>
            </w:hyperlink>
          </w:p>
        </w:tc>
        <w:tc>
          <w:tcPr>
            <w:tcW w:w="660" w:type="dxa"/>
            <w:vAlign w:val="bottom"/>
            <w:gridSpan w:val="2"/>
          </w:tcPr>
          <w:p>
            <w:pPr>
              <w:spacing w:after="0"/>
              <w:rPr>
                <w:sz w:val="17"/>
                <w:szCs w:val="17"/>
                <w:color w:val="auto"/>
              </w:rPr>
            </w:pPr>
          </w:p>
        </w:tc>
        <w:tc>
          <w:tcPr>
            <w:tcW w:w="5240" w:type="dxa"/>
            <w:vAlign w:val="bottom"/>
            <w:tcBorders>
              <w:bottom w:val="single" w:sz="8" w:color="0000FF"/>
            </w:tcBorders>
            <w:gridSpan w:val="15"/>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Disclosure Regarding Foreign Jurisdictions That Prevent Inspections</w:t>
              </w:r>
            </w:hyperlink>
          </w:p>
        </w:tc>
        <w:tc>
          <w:tcPr>
            <w:tcW w:w="3780" w:type="dxa"/>
            <w:vAlign w:val="bottom"/>
            <w:gridSpan w:val="6"/>
          </w:tcPr>
          <w:p>
            <w:pPr>
              <w:spacing w:after="0"/>
              <w:rPr>
                <w:sz w:val="17"/>
                <w:szCs w:val="17"/>
                <w:color w:val="auto"/>
              </w:rPr>
            </w:pPr>
          </w:p>
        </w:tc>
        <w:tc>
          <w:tcPr>
            <w:tcW w:w="860" w:type="dxa"/>
            <w:vAlign w:val="bottom"/>
          </w:tcPr>
          <w:p>
            <w:pPr>
              <w:jc w:val="right"/>
              <w:spacing w:after="0"/>
              <w:rPr>
                <w:rFonts w:ascii="Arial" w:cs="Arial" w:eastAsia="Arial" w:hAnsi="Arial"/>
                <w:sz w:val="17"/>
                <w:szCs w:val="17"/>
                <w:color w:val="0000FF"/>
              </w:rPr>
            </w:pPr>
            <w:hyperlink w:anchor="page110">
              <w:r>
                <w:rPr>
                  <w:rFonts w:ascii="Arial" w:cs="Arial" w:eastAsia="Arial" w:hAnsi="Arial"/>
                  <w:sz w:val="17"/>
                  <w:szCs w:val="17"/>
                  <w:color w:val="0000FF"/>
                </w:rPr>
                <w:t>108</w:t>
              </w:r>
            </w:hyperlink>
          </w:p>
        </w:tc>
        <w:tc>
          <w:tcPr>
            <w:tcW w:w="0" w:type="dxa"/>
            <w:vAlign w:val="bottom"/>
          </w:tcPr>
          <w:p>
            <w:pPr>
              <w:spacing w:after="0"/>
              <w:rPr>
                <w:sz w:val="1"/>
                <w:szCs w:val="1"/>
                <w:color w:val="auto"/>
              </w:rPr>
            </w:pPr>
          </w:p>
        </w:tc>
      </w:tr>
      <w:tr>
        <w:trPr>
          <w:trHeight w:val="458"/>
        </w:trPr>
        <w:tc>
          <w:tcPr>
            <w:tcW w:w="40" w:type="dxa"/>
            <w:vAlign w:val="bottom"/>
          </w:tcPr>
          <w:p>
            <w:pPr>
              <w:spacing w:after="0"/>
              <w:rPr>
                <w:sz w:val="24"/>
                <w:szCs w:val="24"/>
                <w:color w:val="auto"/>
              </w:rPr>
            </w:pPr>
          </w:p>
        </w:tc>
        <w:tc>
          <w:tcPr>
            <w:tcW w:w="1320" w:type="dxa"/>
            <w:vAlign w:val="bottom"/>
            <w:gridSpan w:val="6"/>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PART III</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660" w:type="dxa"/>
            <w:vAlign w:val="bottom"/>
            <w:tcBorders>
              <w:top w:val="single" w:sz="8" w:color="0000FF"/>
            </w:tcBorders>
            <w:gridSpan w:val="4"/>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Item 10.</w:t>
              </w:r>
            </w:hyperlink>
          </w:p>
        </w:tc>
        <w:tc>
          <w:tcPr>
            <w:tcW w:w="660" w:type="dxa"/>
            <w:vAlign w:val="bottom"/>
            <w:gridSpan w:val="2"/>
          </w:tcPr>
          <w:p>
            <w:pPr>
              <w:spacing w:after="0"/>
              <w:rPr>
                <w:sz w:val="24"/>
                <w:szCs w:val="24"/>
                <w:color w:val="auto"/>
              </w:rPr>
            </w:pPr>
          </w:p>
        </w:tc>
        <w:tc>
          <w:tcPr>
            <w:tcW w:w="9020" w:type="dxa"/>
            <w:vAlign w:val="bottom"/>
            <w:gridSpan w:val="21"/>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Directors, Executive Officers and Corporate Governance</w:t>
              </w:r>
            </w:hyperlink>
          </w:p>
        </w:tc>
        <w:tc>
          <w:tcPr>
            <w:tcW w:w="860" w:type="dxa"/>
            <w:vAlign w:val="bottom"/>
          </w:tcPr>
          <w:p>
            <w:pPr>
              <w:jc w:val="right"/>
              <w:spacing w:after="0"/>
              <w:rPr>
                <w:rFonts w:ascii="Arial" w:cs="Arial" w:eastAsia="Arial" w:hAnsi="Arial"/>
                <w:sz w:val="17"/>
                <w:szCs w:val="17"/>
                <w:color w:val="0000FF"/>
              </w:rPr>
            </w:pPr>
            <w:hyperlink w:anchor="page110">
              <w:r>
                <w:rPr>
                  <w:rFonts w:ascii="Arial" w:cs="Arial" w:eastAsia="Arial" w:hAnsi="Arial"/>
                  <w:sz w:val="17"/>
                  <w:szCs w:val="17"/>
                  <w:color w:val="0000FF"/>
                </w:rPr>
                <w:t>108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40" w:type="dxa"/>
            <w:vAlign w:val="bottom"/>
            <w:gridSpan w:val="10"/>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320" w:type="dxa"/>
            <w:vAlign w:val="bottom"/>
            <w:gridSpan w:val="6"/>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Item 11.</w:t>
              </w:r>
            </w:hyperlink>
          </w:p>
        </w:tc>
        <w:tc>
          <w:tcPr>
            <w:tcW w:w="9020" w:type="dxa"/>
            <w:vAlign w:val="bottom"/>
            <w:gridSpan w:val="21"/>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Executive Compensation</w:t>
              </w:r>
            </w:hyperlink>
          </w:p>
        </w:tc>
        <w:tc>
          <w:tcPr>
            <w:tcW w:w="860" w:type="dxa"/>
            <w:vAlign w:val="bottom"/>
          </w:tcPr>
          <w:p>
            <w:pPr>
              <w:jc w:val="right"/>
              <w:spacing w:after="0"/>
              <w:rPr>
                <w:rFonts w:ascii="Arial" w:cs="Arial" w:eastAsia="Arial" w:hAnsi="Arial"/>
                <w:sz w:val="17"/>
                <w:szCs w:val="17"/>
                <w:color w:val="0000FF"/>
              </w:rPr>
            </w:pPr>
            <w:hyperlink w:anchor="page110">
              <w:r>
                <w:rPr>
                  <w:rFonts w:ascii="Arial" w:cs="Arial" w:eastAsia="Arial" w:hAnsi="Arial"/>
                  <w:sz w:val="17"/>
                  <w:szCs w:val="17"/>
                  <w:color w:val="0000FF"/>
                </w:rPr>
                <w:t>108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gridSpan w:val="8"/>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320" w:type="dxa"/>
            <w:vAlign w:val="bottom"/>
            <w:gridSpan w:val="6"/>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Item 12.</w:t>
              </w:r>
            </w:hyperlink>
          </w:p>
        </w:tc>
        <w:tc>
          <w:tcPr>
            <w:tcW w:w="9020" w:type="dxa"/>
            <w:vAlign w:val="bottom"/>
            <w:gridSpan w:val="21"/>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Security Ownership of Certain Beneficial Owners and Management and Related Stockholder Matters</w:t>
              </w:r>
            </w:hyperlink>
          </w:p>
        </w:tc>
        <w:tc>
          <w:tcPr>
            <w:tcW w:w="860" w:type="dxa"/>
            <w:vAlign w:val="bottom"/>
          </w:tcPr>
          <w:p>
            <w:pPr>
              <w:jc w:val="right"/>
              <w:spacing w:after="0"/>
              <w:rPr>
                <w:rFonts w:ascii="Arial" w:cs="Arial" w:eastAsia="Arial" w:hAnsi="Arial"/>
                <w:sz w:val="17"/>
                <w:szCs w:val="17"/>
                <w:color w:val="0000FF"/>
              </w:rPr>
            </w:pPr>
            <w:hyperlink w:anchor="page110">
              <w:r>
                <w:rPr>
                  <w:rFonts w:ascii="Arial" w:cs="Arial" w:eastAsia="Arial" w:hAnsi="Arial"/>
                  <w:sz w:val="17"/>
                  <w:szCs w:val="17"/>
                  <w:color w:val="0000FF"/>
                </w:rPr>
                <w:t>108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40" w:type="dxa"/>
            <w:vAlign w:val="bottom"/>
            <w:gridSpan w:val="10"/>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320" w:type="dxa"/>
            <w:vAlign w:val="bottom"/>
            <w:gridSpan w:val="6"/>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Item 13.</w:t>
              </w:r>
            </w:hyperlink>
          </w:p>
        </w:tc>
        <w:tc>
          <w:tcPr>
            <w:tcW w:w="9020" w:type="dxa"/>
            <w:vAlign w:val="bottom"/>
            <w:gridSpan w:val="21"/>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Certain Relationships and Related Transactions, and Director Independence</w:t>
              </w:r>
            </w:hyperlink>
          </w:p>
        </w:tc>
        <w:tc>
          <w:tcPr>
            <w:tcW w:w="860" w:type="dxa"/>
            <w:vAlign w:val="bottom"/>
          </w:tcPr>
          <w:p>
            <w:pPr>
              <w:jc w:val="right"/>
              <w:spacing w:after="0"/>
              <w:rPr>
                <w:rFonts w:ascii="Arial" w:cs="Arial" w:eastAsia="Arial" w:hAnsi="Arial"/>
                <w:sz w:val="17"/>
                <w:szCs w:val="17"/>
                <w:color w:val="0000FF"/>
              </w:rPr>
            </w:pPr>
            <w:hyperlink w:anchor="page110">
              <w:r>
                <w:rPr>
                  <w:rFonts w:ascii="Arial" w:cs="Arial" w:eastAsia="Arial" w:hAnsi="Arial"/>
                  <w:sz w:val="17"/>
                  <w:szCs w:val="17"/>
                  <w:color w:val="0000FF"/>
                </w:rPr>
                <w:t>108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40" w:type="dxa"/>
            <w:vAlign w:val="bottom"/>
            <w:gridSpan w:val="10"/>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320" w:type="dxa"/>
            <w:vAlign w:val="bottom"/>
            <w:gridSpan w:val="6"/>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Item 14.</w:t>
              </w:r>
            </w:hyperlink>
          </w:p>
        </w:tc>
        <w:tc>
          <w:tcPr>
            <w:tcW w:w="9020" w:type="dxa"/>
            <w:vAlign w:val="bottom"/>
            <w:gridSpan w:val="21"/>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Principal Accounting Fees and Services</w:t>
              </w:r>
            </w:hyperlink>
          </w:p>
        </w:tc>
        <w:tc>
          <w:tcPr>
            <w:tcW w:w="860" w:type="dxa"/>
            <w:vAlign w:val="bottom"/>
          </w:tcPr>
          <w:p>
            <w:pPr>
              <w:jc w:val="right"/>
              <w:spacing w:after="0"/>
              <w:rPr>
                <w:rFonts w:ascii="Arial" w:cs="Arial" w:eastAsia="Arial" w:hAnsi="Arial"/>
                <w:sz w:val="17"/>
                <w:szCs w:val="17"/>
                <w:color w:val="0000FF"/>
              </w:rPr>
            </w:pPr>
            <w:hyperlink w:anchor="page110">
              <w:r>
                <w:rPr>
                  <w:rFonts w:ascii="Arial" w:cs="Arial" w:eastAsia="Arial" w:hAnsi="Arial"/>
                  <w:sz w:val="17"/>
                  <w:szCs w:val="17"/>
                  <w:color w:val="0000FF"/>
                </w:rPr>
                <w:t>108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0" w:type="dxa"/>
            <w:vAlign w:val="bottom"/>
          </w:tcPr>
          <w:p>
            <w:pPr>
              <w:spacing w:after="0"/>
              <w:rPr>
                <w:sz w:val="24"/>
                <w:szCs w:val="24"/>
                <w:color w:val="auto"/>
              </w:rPr>
            </w:pPr>
          </w:p>
        </w:tc>
        <w:tc>
          <w:tcPr>
            <w:tcW w:w="1320" w:type="dxa"/>
            <w:vAlign w:val="bottom"/>
            <w:gridSpan w:val="6"/>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PART IV</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40" w:type="dxa"/>
            <w:vAlign w:val="bottom"/>
          </w:tcPr>
          <w:p>
            <w:pPr>
              <w:spacing w:after="0"/>
              <w:rPr>
                <w:sz w:val="24"/>
                <w:szCs w:val="24"/>
                <w:color w:val="auto"/>
              </w:rPr>
            </w:pPr>
          </w:p>
        </w:tc>
        <w:tc>
          <w:tcPr>
            <w:tcW w:w="660" w:type="dxa"/>
            <w:vAlign w:val="bottom"/>
            <w:tcBorders>
              <w:top w:val="single" w:sz="8" w:color="0000FF"/>
              <w:bottom w:val="single" w:sz="8" w:color="0000FF"/>
            </w:tcBorders>
            <w:gridSpan w:val="4"/>
          </w:tcPr>
          <w:p>
            <w:pPr>
              <w:spacing w:after="0"/>
              <w:rPr>
                <w:rFonts w:ascii="Arial" w:cs="Arial" w:eastAsia="Arial" w:hAnsi="Arial"/>
                <w:sz w:val="17"/>
                <w:szCs w:val="17"/>
                <w:color w:val="0000FF"/>
              </w:rPr>
            </w:pPr>
            <w:hyperlink w:anchor="page111">
              <w:r>
                <w:rPr>
                  <w:rFonts w:ascii="Arial" w:cs="Arial" w:eastAsia="Arial" w:hAnsi="Arial"/>
                  <w:sz w:val="17"/>
                  <w:szCs w:val="17"/>
                  <w:color w:val="0000FF"/>
                </w:rPr>
                <w:t>Item 15.</w:t>
              </w:r>
            </w:hyperlink>
          </w:p>
        </w:tc>
        <w:tc>
          <w:tcPr>
            <w:tcW w:w="660" w:type="dxa"/>
            <w:vAlign w:val="bottom"/>
            <w:gridSpan w:val="2"/>
          </w:tcPr>
          <w:p>
            <w:pPr>
              <w:spacing w:after="0"/>
              <w:rPr>
                <w:sz w:val="24"/>
                <w:szCs w:val="24"/>
                <w:color w:val="auto"/>
              </w:rPr>
            </w:pPr>
          </w:p>
        </w:tc>
        <w:tc>
          <w:tcPr>
            <w:tcW w:w="3080" w:type="dxa"/>
            <w:vAlign w:val="bottom"/>
            <w:tcBorders>
              <w:bottom w:val="single" w:sz="8" w:color="0000FF"/>
            </w:tcBorders>
            <w:gridSpan w:val="11"/>
          </w:tcPr>
          <w:p>
            <w:pPr>
              <w:spacing w:after="0"/>
              <w:rPr>
                <w:rFonts w:ascii="Arial" w:cs="Arial" w:eastAsia="Arial" w:hAnsi="Arial"/>
                <w:sz w:val="17"/>
                <w:szCs w:val="17"/>
                <w:color w:val="0000FF"/>
              </w:rPr>
            </w:pPr>
            <w:hyperlink w:anchor="page111">
              <w:r>
                <w:rPr>
                  <w:rFonts w:ascii="Arial" w:cs="Arial" w:eastAsia="Arial" w:hAnsi="Arial"/>
                  <w:sz w:val="17"/>
                  <w:szCs w:val="17"/>
                  <w:color w:val="0000FF"/>
                </w:rPr>
                <w:t>Exhibits, Financial Statement Schedules</w:t>
              </w:r>
            </w:hyperlink>
          </w:p>
        </w:tc>
        <w:tc>
          <w:tcPr>
            <w:tcW w:w="5940" w:type="dxa"/>
            <w:vAlign w:val="bottom"/>
            <w:gridSpan w:val="10"/>
          </w:tcPr>
          <w:p>
            <w:pPr>
              <w:spacing w:after="0"/>
              <w:rPr>
                <w:sz w:val="24"/>
                <w:szCs w:val="24"/>
                <w:color w:val="auto"/>
              </w:rPr>
            </w:pPr>
          </w:p>
        </w:tc>
        <w:tc>
          <w:tcPr>
            <w:tcW w:w="860" w:type="dxa"/>
            <w:vAlign w:val="bottom"/>
          </w:tcPr>
          <w:p>
            <w:pPr>
              <w:jc w:val="right"/>
              <w:spacing w:after="0"/>
              <w:rPr>
                <w:rFonts w:ascii="Arial" w:cs="Arial" w:eastAsia="Arial" w:hAnsi="Arial"/>
                <w:sz w:val="17"/>
                <w:szCs w:val="17"/>
                <w:color w:val="0000FF"/>
              </w:rPr>
            </w:pPr>
            <w:hyperlink w:anchor="page111">
              <w:r>
                <w:rPr>
                  <w:rFonts w:ascii="Arial" w:cs="Arial" w:eastAsia="Arial" w:hAnsi="Arial"/>
                  <w:sz w:val="17"/>
                  <w:szCs w:val="17"/>
                  <w:color w:val="0000FF"/>
                </w:rPr>
                <w:t>109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Borders>
              <w:bottom w:val="single" w:sz="8" w:color="0000FF"/>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0" w:type="dxa"/>
            <w:vAlign w:val="bottom"/>
          </w:tcPr>
          <w:p>
            <w:pPr>
              <w:spacing w:after="0"/>
              <w:rPr>
                <w:sz w:val="24"/>
                <w:szCs w:val="24"/>
                <w:color w:val="auto"/>
              </w:rPr>
            </w:pPr>
          </w:p>
        </w:tc>
        <w:tc>
          <w:tcPr>
            <w:tcW w:w="1320" w:type="dxa"/>
            <w:vAlign w:val="bottom"/>
            <w:gridSpan w:val="6"/>
          </w:tcPr>
          <w:p>
            <w:pPr>
              <w:spacing w:after="0"/>
              <w:rPr>
                <w:rFonts w:ascii="Arial" w:cs="Arial" w:eastAsia="Arial" w:hAnsi="Arial"/>
                <w:sz w:val="17"/>
                <w:szCs w:val="17"/>
                <w:color w:val="0000FF"/>
              </w:rPr>
            </w:pPr>
            <w:hyperlink w:anchor="page141">
              <w:r>
                <w:rPr>
                  <w:rFonts w:ascii="Arial" w:cs="Arial" w:eastAsia="Arial" w:hAnsi="Arial"/>
                  <w:sz w:val="17"/>
                  <w:szCs w:val="17"/>
                  <w:color w:val="0000FF"/>
                </w:rPr>
                <w:t>Signatures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0"/>
        </w:trPr>
        <w:tc>
          <w:tcPr>
            <w:tcW w:w="4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62"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This Annual Report on Form 10-K, including the sections entitled “Risk Factors,” “Management’s Discussion and Analysis of Financial Condition and Results of Operations,” and “Business”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The words “believe,” “may,” “will,” “potentially,” “estimate,” “continue,” “anticipate,” “intend,” “could,” “would,” “project,” “plan,” “expect”, and similar expressions that convey uncertainty of future events or outcomes are intended to identify forward-looking statements, although not all forward-looking statements contain these identifying words.</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forward-looking statements in this Annual Report on Form 10-K include, among other things, statements about:</w:t>
      </w:r>
    </w:p>
    <w:p>
      <w:pPr>
        <w:spacing w:after="0" w:line="192" w:lineRule="exact"/>
        <w:rPr>
          <w:sz w:val="20"/>
          <w:szCs w:val="20"/>
          <w:color w:val="auto"/>
        </w:rPr>
      </w:pPr>
    </w:p>
    <w:p>
      <w:pPr>
        <w:ind w:left="620" w:right="560" w:hanging="307"/>
        <w:spacing w:after="0" w:line="235"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success, cost, and timing of our plans to develop and commercialize immune-dermatology drugs, including our current products, roflumilast cream (ARQ-151), topical roflumilast foam (ARQ-154), ARQ-252 and ARQ-255 for indications including psoriasis, atopic dermatitis, scalp psoriasis, seborrheic dermatitis, hand eczema, vitiligo, and alopecia areata;</w:t>
      </w:r>
    </w:p>
    <w:p>
      <w:pPr>
        <w:spacing w:after="0" w:line="181" w:lineRule="exact"/>
        <w:rPr>
          <w:rFonts w:ascii="Arial" w:cs="Arial" w:eastAsia="Arial" w:hAnsi="Arial"/>
          <w:sz w:val="21"/>
          <w:szCs w:val="21"/>
          <w:color w:val="auto"/>
        </w:rPr>
      </w:pPr>
    </w:p>
    <w:p>
      <w:pPr>
        <w:ind w:left="620" w:right="100" w:hanging="307"/>
        <w:spacing w:after="0" w:line="235"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anticipated impact of the coronavirus disease 2019 (COVID-19) outbreak on our ongoing and planned clinical trials and other business operations, including any potential delays, halts, or modifications to our clinical trials and other potential changes to our clinical development plans or business operations;</w:t>
      </w:r>
    </w:p>
    <w:p>
      <w:pPr>
        <w:spacing w:after="0" w:line="168" w:lineRule="exact"/>
        <w:rPr>
          <w:rFonts w:ascii="Arial" w:cs="Arial" w:eastAsia="Arial" w:hAnsi="Arial"/>
          <w:sz w:val="21"/>
          <w:szCs w:val="21"/>
          <w:color w:val="auto"/>
        </w:rPr>
      </w:pPr>
    </w:p>
    <w:p>
      <w:pPr>
        <w:ind w:left="620" w:right="160" w:hanging="307"/>
        <w:spacing w:after="0" w:line="227"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ability to obtain funding for our operations, including funding necessary to complete further development and commercialization of our product candidates;</w:t>
      </w:r>
    </w:p>
    <w:p>
      <w:pPr>
        <w:spacing w:after="0" w:line="147"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timing of and our ability to obtain and maintain regulatory approvals;</w:t>
      </w:r>
    </w:p>
    <w:p>
      <w:pPr>
        <w:spacing w:after="0" w:line="146"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future agreements, if any, with third parties in connection with the commercialization of our product candidates;</w:t>
      </w:r>
    </w:p>
    <w:p>
      <w:pPr>
        <w:spacing w:after="0" w:line="133"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success, cost, and timing of our product candidate development activities and planned clinical trials;</w:t>
      </w:r>
    </w:p>
    <w:p>
      <w:pPr>
        <w:spacing w:after="0" w:line="146"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rate and degree of market acceptance and clinical utility of our product candidates;</w:t>
      </w:r>
    </w:p>
    <w:p>
      <w:pPr>
        <w:spacing w:after="0" w:line="146"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potential market size and the size of the patient populations for our product candidates, if approved for commercial uses;</w:t>
      </w:r>
    </w:p>
    <w:p>
      <w:pPr>
        <w:spacing w:after="0" w:line="128"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U.S. market sales for our product candidates, if approved for commercial use;</w:t>
      </w:r>
    </w:p>
    <w:p>
      <w:pPr>
        <w:spacing w:after="0" w:line="158"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commercialization, marketing, and manufacturing capabilities and strategy;</w:t>
      </w:r>
    </w:p>
    <w:p>
      <w:pPr>
        <w:spacing w:after="0" w:line="146"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success of competing therapies that are or may become available;</w:t>
      </w:r>
    </w:p>
    <w:p>
      <w:pPr>
        <w:spacing w:after="0" w:line="133"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ability to attract and retain key management and technical personnel;</w:t>
      </w:r>
    </w:p>
    <w:p>
      <w:pPr>
        <w:spacing w:after="0" w:line="146"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expectations regarding our ability to obtain, maintain, and enforce intellectual property protection for our product candidates; and</w:t>
      </w:r>
    </w:p>
    <w:p>
      <w:pPr>
        <w:spacing w:after="0" w:line="146"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estimates regarding expenses, future revenue, capital requirements, and needs for additional financing.</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“Risk factors” and elsewhere in this Annual Report on Form 10-K.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spacing w:after="0" w:line="117" w:lineRule="exact"/>
        <w:rPr>
          <w:sz w:val="20"/>
          <w:szCs w:val="20"/>
          <w:color w:val="auto"/>
        </w:rPr>
      </w:pPr>
    </w:p>
    <w:p>
      <w:pPr>
        <w:ind w:right="80" w:firstLine="620"/>
        <w:spacing w:after="0" w:line="257"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Annual Report on Form 10-K to conform these statements to actual results or to changes in our expectations, except as required by law.</w:t>
      </w:r>
    </w:p>
    <w:p>
      <w:pPr>
        <w:spacing w:after="0" w:line="129" w:lineRule="exact"/>
        <w:rPr>
          <w:sz w:val="20"/>
          <w:szCs w:val="20"/>
          <w:color w:val="auto"/>
        </w:rPr>
      </w:pPr>
    </w:p>
    <w:p>
      <w:pPr>
        <w:ind w:right="100" w:firstLine="620"/>
        <w:spacing w:after="0" w:line="261" w:lineRule="auto"/>
        <w:rPr>
          <w:sz w:val="20"/>
          <w:szCs w:val="20"/>
          <w:color w:val="auto"/>
        </w:rPr>
      </w:pPr>
      <w:r>
        <w:rPr>
          <w:rFonts w:ascii="Arial" w:cs="Arial" w:eastAsia="Arial" w:hAnsi="Arial"/>
          <w:sz w:val="17"/>
          <w:szCs w:val="17"/>
          <w:color w:val="auto"/>
        </w:rPr>
        <w:t>You should read this Annual Report on Form 10-K we have filed with the U.S. Securities and Exchange Commission (SEC)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Summary of Risk Factors</w:t>
      </w:r>
    </w:p>
    <w:p>
      <w:pPr>
        <w:spacing w:after="0" w:line="175" w:lineRule="exact"/>
        <w:rPr>
          <w:sz w:val="20"/>
          <w:szCs w:val="20"/>
          <w:color w:val="auto"/>
        </w:rPr>
      </w:pPr>
    </w:p>
    <w:p>
      <w:pPr>
        <w:jc w:val="both"/>
        <w:ind w:right="80" w:firstLine="191"/>
        <w:spacing w:after="0" w:line="261" w:lineRule="auto"/>
        <w:rPr>
          <w:sz w:val="20"/>
          <w:szCs w:val="20"/>
          <w:color w:val="auto"/>
        </w:rPr>
      </w:pPr>
      <w:r>
        <w:rPr>
          <w:rFonts w:ascii="Arial" w:cs="Arial" w:eastAsia="Arial" w:hAnsi="Arial"/>
          <w:sz w:val="17"/>
          <w:szCs w:val="17"/>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12" w:lineRule="exact"/>
        <w:rPr>
          <w:sz w:val="20"/>
          <w:szCs w:val="20"/>
          <w:color w:val="auto"/>
        </w:rPr>
      </w:pPr>
    </w:p>
    <w:p>
      <w:pPr>
        <w:jc w:val="both"/>
        <w:ind w:left="620" w:right="260" w:hanging="307"/>
        <w:spacing w:after="0" w:line="261"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a late-stage biopharmaceutical company with a limited operating history and no products approved for commercial sale, and we have incurred significant losses since our inception. We anticipate that we will continue to incur losses for the foreseeable future, which, together with our limited operating history, makes it difficult to assess our future viability;</w:t>
      </w:r>
    </w:p>
    <w:p>
      <w:pPr>
        <w:spacing w:after="0" w:line="124" w:lineRule="exact"/>
        <w:rPr>
          <w:rFonts w:ascii="Arial" w:cs="Arial" w:eastAsia="Arial" w:hAnsi="Arial"/>
          <w:sz w:val="17"/>
          <w:szCs w:val="17"/>
          <w:color w:val="auto"/>
        </w:rPr>
      </w:pPr>
    </w:p>
    <w:p>
      <w:pPr>
        <w:ind w:left="620" w:right="700" w:hanging="307"/>
        <w:spacing w:after="0" w:line="261"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spacing w:after="0" w:line="124" w:lineRule="exact"/>
        <w:rPr>
          <w:rFonts w:ascii="Arial" w:cs="Arial" w:eastAsia="Arial" w:hAnsi="Arial"/>
          <w:sz w:val="17"/>
          <w:szCs w:val="17"/>
          <w:color w:val="auto"/>
        </w:rPr>
      </w:pPr>
    </w:p>
    <w:p>
      <w:pPr>
        <w:ind w:left="620" w:right="360" w:hanging="30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operating results may fluctuate significantly, which makes our future operating results difficult to predict and could cause our future operating results to fall below expectations;</w:t>
      </w:r>
    </w:p>
    <w:p>
      <w:pPr>
        <w:spacing w:after="0" w:line="104" w:lineRule="exact"/>
        <w:rPr>
          <w:rFonts w:ascii="Arial" w:cs="Arial" w:eastAsia="Arial" w:hAnsi="Arial"/>
          <w:sz w:val="17"/>
          <w:szCs w:val="17"/>
          <w:color w:val="auto"/>
        </w:rPr>
      </w:pPr>
    </w:p>
    <w:p>
      <w:pPr>
        <w:ind w:left="620" w:hanging="30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estimated market opportunities for our product candidates are subject to numerous uncertainties and may prove to be inaccurate. If we have overestimated the size of our market opportunities, our future growth may be limited;</w:t>
      </w:r>
    </w:p>
    <w:p>
      <w:pPr>
        <w:spacing w:after="0" w:line="117" w:lineRule="exact"/>
        <w:rPr>
          <w:rFonts w:ascii="Arial" w:cs="Arial" w:eastAsia="Arial" w:hAnsi="Arial"/>
          <w:sz w:val="17"/>
          <w:szCs w:val="17"/>
          <w:color w:val="auto"/>
        </w:rPr>
      </w:pPr>
    </w:p>
    <w:p>
      <w:pPr>
        <w:jc w:val="both"/>
        <w:ind w:left="620" w:right="260" w:hanging="307"/>
        <w:spacing w:after="0" w:line="261"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terms of our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215"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is dependent on the development, regulatory approval, and commercialization of our current product candidates;</w:t>
      </w:r>
    </w:p>
    <w:p>
      <w:pPr>
        <w:spacing w:after="0" w:line="153" w:lineRule="exact"/>
        <w:rPr>
          <w:rFonts w:ascii="Arial" w:cs="Arial" w:eastAsia="Arial" w:hAnsi="Arial"/>
          <w:sz w:val="17"/>
          <w:szCs w:val="17"/>
          <w:color w:val="auto"/>
        </w:rPr>
      </w:pPr>
    </w:p>
    <w:p>
      <w:pPr>
        <w:ind w:left="620" w:right="180" w:hanging="30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04" w:lineRule="exact"/>
        <w:rPr>
          <w:rFonts w:ascii="Arial" w:cs="Arial" w:eastAsia="Arial" w:hAnsi="Arial"/>
          <w:sz w:val="17"/>
          <w:szCs w:val="17"/>
          <w:color w:val="auto"/>
        </w:rPr>
      </w:pPr>
    </w:p>
    <w:p>
      <w:pPr>
        <w:ind w:left="620" w:hanging="307"/>
        <w:spacing w:after="0" w:line="261"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spacing w:after="0" w:line="124" w:lineRule="exact"/>
        <w:rPr>
          <w:rFonts w:ascii="Arial" w:cs="Arial" w:eastAsia="Arial" w:hAnsi="Arial"/>
          <w:sz w:val="17"/>
          <w:szCs w:val="17"/>
          <w:color w:val="auto"/>
        </w:rPr>
      </w:pPr>
    </w:p>
    <w:p>
      <w:pPr>
        <w:ind w:left="620" w:right="120" w:hanging="30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17" w:lineRule="exact"/>
        <w:rPr>
          <w:rFonts w:ascii="Arial" w:cs="Arial" w:eastAsia="Arial" w:hAnsi="Arial"/>
          <w:sz w:val="17"/>
          <w:szCs w:val="17"/>
          <w:color w:val="auto"/>
        </w:rPr>
      </w:pPr>
    </w:p>
    <w:p>
      <w:pPr>
        <w:jc w:val="both"/>
        <w:ind w:left="620" w:right="20" w:hanging="307"/>
        <w:spacing w:after="0" w:line="261"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Certain of the endpoints in our planned clinical trials rely on a subjective assessment of the effect of the product candidate in the subject by either the physician or subject, and may prove difficult to meet in subjects with more severe disease, which exposes us to a variety of risks for the successful completion of our clinical trials;</w:t>
      </w:r>
    </w:p>
    <w:p>
      <w:pPr>
        <w:spacing w:after="0" w:line="111" w:lineRule="exact"/>
        <w:rPr>
          <w:rFonts w:ascii="Arial" w:cs="Arial" w:eastAsia="Arial" w:hAnsi="Arial"/>
          <w:sz w:val="17"/>
          <w:szCs w:val="17"/>
          <w:color w:val="auto"/>
        </w:rPr>
      </w:pPr>
    </w:p>
    <w:p>
      <w:pPr>
        <w:ind w:left="620" w:right="120" w:hanging="30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Enrollment and retention of subjects in clinical trials is expensive and time-consuming and may result in additional costs and delays in our product development activities, or in the failure of such activities;</w:t>
      </w:r>
    </w:p>
    <w:p>
      <w:pPr>
        <w:spacing w:after="0" w:line="117" w:lineRule="exact"/>
        <w:rPr>
          <w:rFonts w:ascii="Arial" w:cs="Arial" w:eastAsia="Arial" w:hAnsi="Arial"/>
          <w:sz w:val="17"/>
          <w:szCs w:val="17"/>
          <w:color w:val="auto"/>
        </w:rPr>
      </w:pPr>
    </w:p>
    <w:p>
      <w:pPr>
        <w:jc w:val="both"/>
        <w:ind w:left="620" w:right="140" w:hanging="307"/>
        <w:spacing w:after="0" w:line="261"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24" w:lineRule="exact"/>
        <w:rPr>
          <w:rFonts w:ascii="Arial" w:cs="Arial" w:eastAsia="Arial" w:hAnsi="Arial"/>
          <w:sz w:val="17"/>
          <w:szCs w:val="17"/>
          <w:color w:val="auto"/>
        </w:rPr>
      </w:pPr>
    </w:p>
    <w:p>
      <w:pPr>
        <w:ind w:left="620" w:right="340" w:hanging="30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a company, we have never obtained marketing approval for any product candidate and we may be unable to successfully do so in a timely manner, if at all, for any of our product candidates;</w:t>
      </w:r>
    </w:p>
    <w:p>
      <w:pPr>
        <w:spacing w:after="0" w:line="104" w:lineRule="exact"/>
        <w:rPr>
          <w:rFonts w:ascii="Arial" w:cs="Arial" w:eastAsia="Arial" w:hAnsi="Arial"/>
          <w:sz w:val="17"/>
          <w:szCs w:val="17"/>
          <w:color w:val="auto"/>
        </w:rPr>
      </w:pPr>
    </w:p>
    <w:p>
      <w:pPr>
        <w:ind w:left="620" w:right="20" w:hanging="30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our lead product candidate or our other product candidates receive marketing approval, they may fail to achieve market acceptance by physicians, patients, third-party payors, or others in the medical community necessary for commercial success;</w:t>
      </w:r>
    </w:p>
    <w:p>
      <w:pPr>
        <w:spacing w:after="0" w:line="117" w:lineRule="exact"/>
        <w:rPr>
          <w:rFonts w:ascii="Arial" w:cs="Arial" w:eastAsia="Arial" w:hAnsi="Arial"/>
          <w:sz w:val="17"/>
          <w:szCs w:val="17"/>
          <w:color w:val="auto"/>
        </w:rPr>
      </w:pPr>
    </w:p>
    <w:p>
      <w:pPr>
        <w:jc w:val="both"/>
        <w:ind w:left="620" w:right="180" w:hanging="30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achieve and maintain coverage and adequate levels of reimbursement for any of our product candidates for which we receive regulatory approval, or any future products we may seek to commercialize, their commercial success may be severely hindered;</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currently have limited sales, marketing, or distribution capabilities and have no experience as a company in commercializing products;</w:t>
      </w:r>
    </w:p>
    <w:p>
      <w:pPr>
        <w:spacing w:after="0" w:line="140" w:lineRule="exact"/>
        <w:rPr>
          <w:rFonts w:ascii="Arial" w:cs="Arial" w:eastAsia="Arial" w:hAnsi="Arial"/>
          <w:sz w:val="17"/>
          <w:szCs w:val="17"/>
          <w:color w:val="auto"/>
        </w:rPr>
      </w:pPr>
    </w:p>
    <w:p>
      <w:pPr>
        <w:ind w:left="620" w:right="300" w:hanging="307"/>
        <w:spacing w:after="0" w:line="26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will need to increase the size of our organization, and we may experience difficulties in executing our growth strategy and managing any growth;</w:t>
      </w:r>
    </w:p>
    <w:p>
      <w:pPr>
        <w:spacing w:after="0" w:line="117" w:lineRule="exact"/>
        <w:rPr>
          <w:rFonts w:ascii="Arial" w:cs="Arial" w:eastAsia="Arial" w:hAnsi="Arial"/>
          <w:sz w:val="17"/>
          <w:szCs w:val="17"/>
          <w:color w:val="auto"/>
        </w:rPr>
      </w:pPr>
    </w:p>
    <w:p>
      <w:pPr>
        <w:ind w:left="620" w:right="100" w:hanging="307"/>
        <w:spacing w:after="0" w:line="26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spacing w:after="0" w:line="117" w:lineRule="exact"/>
        <w:rPr>
          <w:rFonts w:ascii="Arial" w:cs="Arial" w:eastAsia="Arial" w:hAnsi="Arial"/>
          <w:sz w:val="17"/>
          <w:szCs w:val="17"/>
          <w:color w:val="auto"/>
        </w:rPr>
      </w:pPr>
    </w:p>
    <w:p>
      <w:pPr>
        <w:ind w:left="620" w:right="100" w:hanging="307"/>
        <w:spacing w:after="0" w:line="258"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currently rely on single source third-party manufacturers to manufacture nonclinical and clinical supplies of our product candidates and we intend to rely on third parties to produce commercial supplies of any approved product candidate. The loss of these manufacturers, or their failure to provide us with sufficient quantities at acceptable quality levels or prices, or at all, would materially and adversely affect our business;</w:t>
      </w:r>
    </w:p>
    <w:p>
      <w:pPr>
        <w:spacing w:after="0" w:line="115" w:lineRule="exact"/>
        <w:rPr>
          <w:rFonts w:ascii="Arial" w:cs="Arial" w:eastAsia="Arial" w:hAnsi="Arial"/>
          <w:sz w:val="17"/>
          <w:szCs w:val="17"/>
          <w:color w:val="auto"/>
        </w:rPr>
      </w:pPr>
    </w:p>
    <w:p>
      <w:pPr>
        <w:ind w:left="620" w:right="380" w:hanging="307"/>
        <w:spacing w:after="0" w:line="261"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third parties to conduct our nonclinical studies and our clinical trials. If these third parties do not successfully carry out their contractual duties or meet expected deadlines, we may be unable to obtain regulatory approval for or commercialize roflumilast cream, roflumilast foam, ARQ-252, ARQ-255 or any future product candidates;</w:t>
      </w:r>
    </w:p>
    <w:p>
      <w:pPr>
        <w:spacing w:after="0" w:line="124" w:lineRule="exact"/>
        <w:rPr>
          <w:rFonts w:ascii="Arial" w:cs="Arial" w:eastAsia="Arial" w:hAnsi="Arial"/>
          <w:sz w:val="17"/>
          <w:szCs w:val="17"/>
          <w:color w:val="auto"/>
        </w:rPr>
      </w:pPr>
    </w:p>
    <w:p>
      <w:pPr>
        <w:ind w:left="620" w:right="540" w:hanging="307"/>
        <w:spacing w:after="0" w:line="26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related to our intellectual property could materially adversely impact our business, competitive position, financial condition, and results of operations;</w:t>
      </w:r>
    </w:p>
    <w:p>
      <w:pPr>
        <w:spacing w:after="0" w:line="117" w:lineRule="exact"/>
        <w:rPr>
          <w:rFonts w:ascii="Arial" w:cs="Arial" w:eastAsia="Arial" w:hAnsi="Arial"/>
          <w:sz w:val="17"/>
          <w:szCs w:val="17"/>
          <w:color w:val="auto"/>
        </w:rPr>
      </w:pPr>
    </w:p>
    <w:p>
      <w:pPr>
        <w:ind w:left="620" w:right="140" w:hanging="307"/>
        <w:spacing w:after="0" w:line="26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related to government regulation of our industry and required approvals could materially adversely impact our business, competitive position, financial condition, and results of operations; and</w:t>
      </w:r>
    </w:p>
    <w:p>
      <w:pPr>
        <w:spacing w:after="0" w:line="104"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Future litigation could have a material adverse effect on our business and results 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TRADEMARKS</w:t>
      </w:r>
    </w:p>
    <w:p>
      <w:pPr>
        <w:spacing w:after="0" w:line="175" w:lineRule="exact"/>
        <w:rPr>
          <w:sz w:val="20"/>
          <w:szCs w:val="20"/>
          <w:color w:val="auto"/>
        </w:rPr>
      </w:pPr>
    </w:p>
    <w:p>
      <w:pPr>
        <w:ind w:right="180" w:firstLine="620"/>
        <w:spacing w:after="0" w:line="257" w:lineRule="auto"/>
        <w:rPr>
          <w:sz w:val="20"/>
          <w:szCs w:val="20"/>
          <w:color w:val="auto"/>
        </w:rPr>
      </w:pPr>
      <w:r>
        <w:rPr>
          <w:rFonts w:ascii="Arial" w:cs="Arial" w:eastAsia="Arial" w:hAnsi="Arial"/>
          <w:sz w:val="17"/>
          <w:szCs w:val="17"/>
          <w:color w:val="auto"/>
        </w:rPr>
        <w:t xml:space="preserve">The mark “Arcutis” and the Arcutis logo are our registered trademarks, and all product names are our common law trademarks. All other service marks, trademarks, and trade names appearing in this Annual Report on Form 10-K are the property of their respective owners. Solely for convenience, the trademarks and tradenames referred to herein appear without the </w:t>
      </w:r>
      <w:r>
        <w:rPr>
          <w:rFonts w:ascii="Arial" w:cs="Arial" w:eastAsia="Arial" w:hAnsi="Arial"/>
          <w:sz w:val="15"/>
          <w:szCs w:val="15"/>
          <w:color w:val="auto"/>
        </w:rPr>
        <w:t>®</w:t>
      </w:r>
      <w:r>
        <w:rPr>
          <w:rFonts w:ascii="Arial" w:cs="Arial" w:eastAsia="Arial" w:hAnsi="Arial"/>
          <w:sz w:val="17"/>
          <w:szCs w:val="17"/>
          <w:color w:val="auto"/>
        </w:rPr>
        <w:t xml:space="preserve"> and ™ symbols, but those references are not intended to indicate, in any way, that we will not assert, to the fullest extent under applicable law, our rights, or the right of the applicable licensor to these trademarks and tradenames.</w:t>
      </w:r>
    </w:p>
    <w:p>
      <w:pPr>
        <w:spacing w:after="0" w:line="94"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MARKET AND INDUSTRY DATA</w:t>
      </w:r>
    </w:p>
    <w:p>
      <w:pPr>
        <w:spacing w:after="0" w:line="175"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This Annual Report on Form 10-K contains estimates, projections and other statistical data and information concerning our industry, our business, and the markets for our product candidates. Some data and statistical information contained herein, including market size and opportunity figures for our product candidates, are based on management’s estimates and calculations, which are derived from our review and interpretation of the independent sources, our internal research, and knowledge of the industry and market in which we operate. Some data and statistical information are based on independent reports from third parties, including DR/Decision Resources, LLC, or Decision Resources Group, and Adelphi Group Limited, or Adelphi Group, as well as reports that we commissioned from third parties. Decision Resources Group makes no representation or warranty as to the accuracy or completeness of the data, or DR Materials, set forth herein and shall have, and accept, no liability of any kind, whether in contract, tort (including negligence) or otherwise, to any third-party arising from or related to use of the DR Materials by us. Any use which we or a third-party makes of the DR Materials, or any reliance on it, or decisions to be made based on it, are the sole responsibilities of us and such third-party. In no way shall any data appearing in the DR Materials amount to any form of prediction of future events or circumstances and no such reliance may be inferred or implied.</w:t>
      </w:r>
    </w:p>
    <w:p>
      <w:pPr>
        <w:spacing w:after="0" w:line="132"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This information, to the extent it contains estimates or projections, involves a number of assumptions and limitations, and you are cautioned not to give undue weight to such estimates or projections. Industry publications and other reports we have obtained from independent parties generally state that the data contained in these publications or other reports have been obtained in good faith or from sources considered to be reliable, but they do not guarantee the accuracy or completeness of such data. The industry in which we operate is subject to risks and uncertainties due to a variety of factors, including those described in the section entitled “Risk Factors.” These and other factors could cause results to differ materially from those expressed in these publications and reports.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w:t>
      </w:r>
    </w:p>
    <w:p>
      <w:pPr>
        <w:spacing w:after="0" w:line="175" w:lineRule="exact"/>
        <w:rPr>
          <w:sz w:val="20"/>
          <w:szCs w:val="20"/>
          <w:color w:val="auto"/>
        </w:rPr>
      </w:pPr>
    </w:p>
    <w:p>
      <w:pPr>
        <w:ind w:right="80" w:firstLine="620"/>
        <w:spacing w:after="0" w:line="256" w:lineRule="auto"/>
        <w:rPr>
          <w:sz w:val="20"/>
          <w:szCs w:val="20"/>
          <w:color w:val="auto"/>
        </w:rPr>
      </w:pPr>
      <w:r>
        <w:rPr>
          <w:rFonts w:ascii="Arial" w:cs="Arial" w:eastAsia="Arial" w:hAnsi="Arial"/>
          <w:sz w:val="17"/>
          <w:szCs w:val="17"/>
          <w:color w:val="auto"/>
        </w:rPr>
        <w:t>We are a late-stage biopharmaceutical company focused on developing and commercializing treatments for dermatological diseases with high unmet medical needs. Our current portfolio is comprised of highly differentiated topical treatments with significant potential to treat immune-mediated dermatological diseases and conditions. We believe we have built the industry's leading platform for dermatologic product development. Our strategy is to focus on validated biological targets, and to use our drug development platform and deep dermatology expertise to develop differentiated products that have the potential to address the major shortcomings of existing therapies in our targeted indications. We believe this strategy uniquely positions us to rapidly advance our goal of bridging the treatment innovation gap in dermatology, while maximizing our probability of technical success.</w:t>
      </w:r>
    </w:p>
    <w:p>
      <w:pPr>
        <w:spacing w:after="0" w:line="104" w:lineRule="exact"/>
        <w:rPr>
          <w:sz w:val="20"/>
          <w:szCs w:val="20"/>
          <w:color w:val="auto"/>
        </w:rPr>
      </w:pPr>
    </w:p>
    <w:p>
      <w:pPr>
        <w:ind w:right="20" w:firstLine="620"/>
        <w:spacing w:after="0"/>
        <w:rPr>
          <w:sz w:val="20"/>
          <w:szCs w:val="20"/>
          <w:color w:val="auto"/>
        </w:rPr>
      </w:pPr>
      <w:r>
        <w:rPr>
          <w:rFonts w:ascii="Arial" w:cs="Arial" w:eastAsia="Arial" w:hAnsi="Arial"/>
          <w:sz w:val="17"/>
          <w:szCs w:val="17"/>
          <w:color w:val="auto"/>
        </w:rPr>
        <w:t>Our lead product candidate, roflumilast cream, has successfully completed pivotal Phase 3 clinical trials in plaque psoriasis, demonstrating symptomatic improvement and favorable tolerability in this population. We have submitted a New Drug Application (NDA) to the U.S. Food and Drug Administration (FDA), and the FDA has set a Prescription Drug User Fee Act (PDUFA) action date of July 29, 2022. Roflumilast is a highly potent and selective phosphodiesterase type 4, or PDE4, inhibitor, an established biological target in dermatology, with multiple PDE4 inhibitors approved by the FDA for the systemic treatment of dermatological conditions. We are developing roflumilast cream for the treatment of plaque psoriasis, including psoriasis in intertriginous regions such as the groin, axillae, and inframammary areas, as well as atopic dermatitis. We have also successfully completed a long-term safety study of roflumilast cream in plaque psoriasis subjects, showing continued symptomatic improvement and favorable tolerability over a treatment period of 52 to 64 weeks. In atopic dermatitis, we have initiated three pivotal Phase 3 clinical studies: INTEGUMENT-1 and -2 are enrolling subjects six years of age or older and INTEGUMENT-PED is enrolling subjects between the ages of two and five years. We expect to provide topline data from each of INTEGUMENT-1 and -2 by the end of 2022. We intend to submit a supplemental New Drug Application (sNDA) for topical roflumilast cream for the treatment of atopic dermatitis patients aged six years or older in 2023 based on the results of INTEGUMENT-1 and -2. Due to the inherent challenges of enrolling young children in clinical trials, together with impacts on enrollment from COVID-19, we now expect to provide topline data from INTEGUMENT-PED in 2023. We intend to submit a subsequent sNDA for the younger age cohort based on INTEGUMENT-PED following the potential initial atopic dermatitis approval in patients aged six years or older.</w:t>
      </w:r>
    </w:p>
    <w:p>
      <w:pPr>
        <w:spacing w:after="0" w:line="132" w:lineRule="exact"/>
        <w:rPr>
          <w:sz w:val="20"/>
          <w:szCs w:val="20"/>
          <w:color w:val="auto"/>
        </w:rPr>
      </w:pPr>
    </w:p>
    <w:p>
      <w:pPr>
        <w:ind w:right="80" w:firstLine="620"/>
        <w:spacing w:after="0" w:line="257" w:lineRule="auto"/>
        <w:rPr>
          <w:sz w:val="20"/>
          <w:szCs w:val="20"/>
          <w:color w:val="auto"/>
        </w:rPr>
      </w:pPr>
      <w:r>
        <w:rPr>
          <w:rFonts w:ascii="Arial" w:cs="Arial" w:eastAsia="Arial" w:hAnsi="Arial"/>
          <w:sz w:val="17"/>
          <w:szCs w:val="17"/>
          <w:color w:val="auto"/>
        </w:rPr>
        <w:t>We are also developing a topical foam formulation of roflumilast, and have successfully completed Phase 2 clinical trials in both seborrheic dermatitis and scalp and body psoriasis. In seborrheic dermatitis, we initiated a single pivotal Phase 3 clinical trial, with topline data anticipated in mid-year 2022. We also initiated a single pivotal Phase 3 clinical trial in scalp and body psoriasis, with topline data anticipated in the second half of 2022. If these pivotal Phase 3 trials for roflumilast foam are positive, we expect the data to be a sufficient basis for an NDA submission to the FDA for each indication.</w:t>
      </w:r>
    </w:p>
    <w:p>
      <w:pPr>
        <w:spacing w:after="0" w:line="129"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Beyond topical roflumilast, we are developing ARQ-252, a potent and highly selective topical Janus kinase type 1, or JAK1, inhibitor. In May 2021, we announced that the Phase 2 study of ARQ-252 in chronic hand eczema did not meet its primary endpoint, with further analyses of the study pointing to inadequate local drug delivery to the skin. Given these analyses, we also elected to terminate the Phase 2a clinical trial evaluating ARQ-252 as a potential treatment in vitiligo, as we began reformulation efforts to develop an enhanced formulation of ARQ-252 that delivers more active drug to targets in the skin. Additionally, we have formulation and nonclinical efforts continuing for ARQ-255, an alternative deep-penetrating topical formulation of ARQ-252 designed to reach deeper into the skin and hair follicle in order to potentially treat alopecia areata. The ARQ-255 formulation is separate and distinct from ARQ-252, and thus there are no implications to ARQ-255 from ARQ-252.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Dermatological diseases such as psoriasis, atopic dermatitis, seborrheic dermatitis, hand eczema, alopecia areata, and vitiligo affect hundreds of millions of people worldwide each year, impacting their quality of life, and physical, functional, and emotional well-being. There are many approved treatments for these conditions, but a large opportunity remains due to issues with existing treatments. Topical treatments are used for nearly all patients, but existing topicals are limited by one or more of the following: modest response rates, side effects, patient adherence, application site restrictions, and limits on duration of therapy. Topical corticosteroids, or TCS, are commonly used as the first-line therapy for the treatment of inflammatory skin conditions such as psoriasis, atopic dermatitis, and seborrheic dermatitis. While many patients see improvements, long-term TCS treatment carries the risk of a variety of significant side effects. As a result, TCS are typically used intermittently for brief periods, which can lead to disease flares when patients stop TCS therapy. In psoriasis, vitamin D analogs are also used, but have lower response rates than TCS and are frequently irritating. In atopic dermatitis, topical calcineurin inhibitors, or TCIs, and crisaborole (Eucrisa), a topical non-steroidal PDE4 inhibitor, are used, but have lower response rates than TCS and are associated with application site burning. TCIs also have a boxed warning for cancer risk. Topical ruxolitinib (Opzelura) was approved for the treatment of atopic dermatitis in September 2021, but carries an extensive boxed warning for numerous severe side effects, and is limited to short-term, intermittent use after failure of other treatments. In seborrheic dermatitis, in addition to TCS, topical antifungals are commonly used, but have limited efficacy.</w:t>
      </w:r>
    </w:p>
    <w:p>
      <w:pPr>
        <w:spacing w:after="0" w:line="117" w:lineRule="exact"/>
        <w:rPr>
          <w:sz w:val="20"/>
          <w:szCs w:val="20"/>
          <w:color w:val="auto"/>
        </w:rPr>
      </w:pPr>
    </w:p>
    <w:p>
      <w:pPr>
        <w:ind w:right="240" w:firstLine="620"/>
        <w:spacing w:after="0" w:line="257" w:lineRule="auto"/>
        <w:rPr>
          <w:sz w:val="20"/>
          <w:szCs w:val="20"/>
          <w:color w:val="auto"/>
        </w:rPr>
      </w:pPr>
      <w:r>
        <w:rPr>
          <w:rFonts w:ascii="Arial" w:cs="Arial" w:eastAsia="Arial" w:hAnsi="Arial"/>
          <w:sz w:val="17"/>
          <w:szCs w:val="17"/>
          <w:color w:val="auto"/>
        </w:rPr>
        <w:t>Biologic and systemic therapies are also available for some diseases, but are typically indicated for a small percentage of the affected population. Biologics for psoriasis and atopic dermatitis have shown impressive response rates but are only indicated for the minority of patients with moderate-to-severe forms of disease, are expensive, and often face reimbursement and access restrictions. Treatment with oral systemic therapies such as methotrexate and apremilast (Otezla) has also been limited given modest symptomatic improvement and the frequency of adverse events. Additionally, many patients on biologic and systemic therapies still require adjunctive topical therapy to treat residual symptoms.</w:t>
      </w:r>
    </w:p>
    <w:p>
      <w:pPr>
        <w:spacing w:after="0" w:line="129" w:lineRule="exact"/>
        <w:rPr>
          <w:sz w:val="20"/>
          <w:szCs w:val="20"/>
          <w:color w:val="auto"/>
        </w:rPr>
      </w:pPr>
    </w:p>
    <w:p>
      <w:pPr>
        <w:ind w:right="20" w:firstLine="620"/>
        <w:spacing w:after="0" w:line="255" w:lineRule="auto"/>
        <w:rPr>
          <w:sz w:val="20"/>
          <w:szCs w:val="20"/>
          <w:color w:val="auto"/>
        </w:rPr>
      </w:pPr>
      <w:r>
        <w:rPr>
          <w:rFonts w:ascii="Arial" w:cs="Arial" w:eastAsia="Arial" w:hAnsi="Arial"/>
          <w:sz w:val="17"/>
          <w:szCs w:val="17"/>
          <w:color w:val="auto"/>
        </w:rPr>
        <w:t>Given the limitations associated with existing treatments, we believe patients with inflammatory skin conditions and their dermatologists are dissatisfied with their current treatment options. We believe that there is a significant opportunity to leverage developments in other fields of medicine, particularly inflammation and immunology, to address the significant need for effective chronic treatments in immuno-dermatology. Our initial focus is to address patients’ significant need for innovative topical treatments that directly target molecular mediators of disease, have the potential to show significant symptomatic improvement, maintain a low risk of toxicity or side effects, and are suitable for chronic use on all areas of the body. Based on market research and our internal estimates, we estimate our primary addressable market opportunity, which focuses on U.S. patients treated by dermatologists with topical therapies, at 5 million patients across psoriasis, atopic dermatitis, and seborrheic dermatitis. There are millions of additional U.S. patients suffering from chronic hand eczema, vitiligo, and alopecia areata, as well as millions of patients treated by physicians other than dermatologists for their psoriasis, atopic dermatitis, and seborrheic dermatitis.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Our Pipeline</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charts summarize our product pipeline and our upcoming 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97790</wp:posOffset>
            </wp:positionV>
            <wp:extent cx="5612130" cy="4914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12130" cy="491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Strategy</w:t>
      </w:r>
    </w:p>
    <w:p>
      <w:pPr>
        <w:spacing w:after="0" w:line="162" w:lineRule="exact"/>
        <w:rPr>
          <w:sz w:val="20"/>
          <w:szCs w:val="20"/>
          <w:color w:val="auto"/>
        </w:rPr>
      </w:pPr>
    </w:p>
    <w:p>
      <w:pPr>
        <w:ind w:right="60" w:firstLine="620"/>
        <w:spacing w:after="0" w:line="261" w:lineRule="auto"/>
        <w:rPr>
          <w:sz w:val="20"/>
          <w:szCs w:val="20"/>
          <w:color w:val="auto"/>
        </w:rPr>
      </w:pPr>
      <w:r>
        <w:rPr>
          <w:rFonts w:ascii="Arial" w:cs="Arial" w:eastAsia="Arial" w:hAnsi="Arial"/>
          <w:sz w:val="17"/>
          <w:szCs w:val="17"/>
          <w:color w:val="auto"/>
        </w:rPr>
        <w:t>Our strategy is to leverage recent innovations in inflammation and immunology to identify molecules against validated biological targets in dermatology, and to develop and commercialize best-in-class products based on those molecules that address significant unmet needs in immuno-dermatology: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Key elements of our strategy include:</w:t>
      </w:r>
    </w:p>
    <w:p>
      <w:pPr>
        <w:spacing w:after="0" w:line="120" w:lineRule="exact"/>
        <w:rPr>
          <w:sz w:val="20"/>
          <w:szCs w:val="20"/>
          <w:color w:val="auto"/>
        </w:rPr>
      </w:pPr>
    </w:p>
    <w:p>
      <w:pPr>
        <w:ind w:left="780" w:right="80" w:hanging="156"/>
        <w:spacing w:after="0" w:line="226" w:lineRule="auto"/>
        <w:tabs>
          <w:tab w:leader="none" w:pos="776"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Rapidly develop and commercialize our lead product candidate, roflumilast cream, for the treatment of patients with plaque psoriasis and atopic dermatitis. </w:t>
      </w:r>
      <w:r>
        <w:rPr>
          <w:rFonts w:ascii="Arial" w:cs="Arial" w:eastAsia="Arial" w:hAnsi="Arial"/>
          <w:sz w:val="17"/>
          <w:szCs w:val="17"/>
          <w:color w:val="auto"/>
        </w:rPr>
        <w:t>Based on the clinical data generated to date, we believe roflumilast cream has the potential to be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best-in-class non-steroidal topical treatment, with symptomatic improvement in psoriasis patients similar to the combination of a high potency steroid and calcipotriene while potentially delivering a low risk of side effects and a favorable tolerability profile that enables chronic administration, including for pediatric patients. In plaque psoriasis, we have successfully completed pivotal Phase 3 clinical trials, as well as a long-term safety study. We have submitted an NDA to the FDA, and the FDA has set a PDUFA action date of July 29, 2022. In atopic dermatitis, we have initiated three pivotal Phase 3 clinical studies: INTEGUMENT-1 and -2 are enrolling subjects six years of age or older, and INTEGUMENT-PED is enrolling subjects between the ages of two and five years. We expect to provide topline data from each of INTEGUMENT-1 and -2 by the end of 2022. We intend to submit an sNDA for topical roflumilast cream for the treatment of atopic dermatitis patients aged six years or older in 2023 based on the results of INTEGUMENT-1 and -2. We expect to provide topline data from INTEGUMENT-PED in 2023 and submit a subsequent sNDA for the younger age cohort following the potential initial atopic dermatitis approval in patients aged six years or older.</w:t>
      </w:r>
    </w:p>
    <w:p>
      <w:pPr>
        <w:spacing w:after="0" w:line="104" w:lineRule="exact"/>
        <w:rPr>
          <w:rFonts w:ascii="Arial" w:cs="Arial" w:eastAsia="Arial" w:hAnsi="Arial"/>
          <w:sz w:val="17"/>
          <w:szCs w:val="17"/>
          <w:color w:val="auto"/>
        </w:rPr>
      </w:pPr>
    </w:p>
    <w:p>
      <w:pPr>
        <w:ind w:left="780" w:right="80" w:hanging="156"/>
        <w:spacing w:after="0" w:line="260" w:lineRule="auto"/>
        <w:tabs>
          <w:tab w:leader="none" w:pos="776"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addressable market with roflumilast foam. </w:t>
      </w:r>
      <w:r>
        <w:rPr>
          <w:rFonts w:ascii="Arial" w:cs="Arial" w:eastAsia="Arial" w:hAnsi="Arial"/>
          <w:sz w:val="17"/>
          <w:szCs w:val="17"/>
          <w:color w:val="auto"/>
        </w:rPr>
        <w:t>We are developing a foam formulation of roflumilast for the treatment of scalp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body psoriasis and seborrheic dermatitis, diseases impacting hair-bearing areas of the body where a cream is not suitable. We have successfully completed Phase 2 clinical trials with roflumilast foam in both seborrheic dermatitis and scalp psoriasis, demonstrating promising efficacy and tolerability in both diseases. In seborrheic dermatitis, we initiated a single pivotal Phase 3 clinical trial, with topline data anticipated in mid-year 2022. We also initiated a single pivotal Phase 3 clinical trial in scalp and body psoriasis, with topline data anticipated in the second half of 2022. If these pivotal Phase 3 trials for roflumilast foam are positive, we expect the data to be sufficient basis for an NDA submission to the FDA for each indication.</w:t>
      </w:r>
    </w:p>
    <w:p>
      <w:pPr>
        <w:spacing w:after="0" w:line="104" w:lineRule="exact"/>
        <w:rPr>
          <w:rFonts w:ascii="Arial" w:cs="Arial" w:eastAsia="Arial" w:hAnsi="Arial"/>
          <w:sz w:val="17"/>
          <w:szCs w:val="17"/>
          <w:color w:val="auto"/>
        </w:rPr>
      </w:pPr>
    </w:p>
    <w:p>
      <w:pPr>
        <w:ind w:left="780" w:right="80" w:hanging="156"/>
        <w:spacing w:after="0" w:line="264" w:lineRule="auto"/>
        <w:tabs>
          <w:tab w:leader="none" w:pos="776"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Establish an integrated development and commercial organization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the concentrated prescriber base of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dermatology segment provides us with the opportunity to build a fully integrated commercial organization and targeted sales force for the commercialization of our product candidates among dermatology specialists. To further enhance the value of our product candidates, we may selectively seek partners to commercialize our products outside of the dermatology specialist segment, and to develop and commercialize our products outside of the U.S. market.</w:t>
      </w:r>
    </w:p>
    <w:p>
      <w:pPr>
        <w:spacing w:after="0" w:line="102" w:lineRule="exact"/>
        <w:rPr>
          <w:rFonts w:ascii="Arial" w:cs="Arial" w:eastAsia="Arial" w:hAnsi="Arial"/>
          <w:sz w:val="17"/>
          <w:szCs w:val="17"/>
          <w:color w:val="auto"/>
        </w:rPr>
      </w:pPr>
    </w:p>
    <w:p>
      <w:pPr>
        <w:ind w:left="780" w:hanging="156"/>
        <w:spacing w:after="0" w:line="257" w:lineRule="auto"/>
        <w:tabs>
          <w:tab w:leader="none" w:pos="776"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Further expand our product portfolio through the development of ARQ-252/ARQ-255. </w:t>
      </w:r>
      <w:r>
        <w:rPr>
          <w:rFonts w:ascii="Arial" w:cs="Arial" w:eastAsia="Arial" w:hAnsi="Arial"/>
          <w:sz w:val="17"/>
          <w:szCs w:val="17"/>
          <w:color w:val="auto"/>
        </w:rPr>
        <w:t>We are developing ARQ-252 and ARQ-255,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both of which contain a JAK1 inhibitor with a high relative selectivity to JAK1 over Janus kinase type 2, or JAK2, inhibitor for the treatment of chronic hand eczema and vitiligo, and potentially alopecia areata. Given its high relative selectivity to JAK1 over JAK2, we believe ARQ-252 and ARQ-255 have the potential to treat inflammatory diseases without causing the hematopoietic adverse effects associated with JAK2 inhibition, giving it the potential to be best-in-class. In May 2021, we announced that the Phase 2 study of ARQ-252 in chronic hand eczema did not meet its primary endpoint, with further analyses of the study pointing to inadequate local drug delivery to the skin. Given these analyses, we also elected to terminate the Phase 2a clinical trial evaluating ARQ-252 as a potential treatment in vitiligo, as we began reformulation efforts to develop an enhanced formulation of ARQ-252 that delivers more active drug to targets in the skin. Our formulation and nonclinical efforts for ARQ-255, an alternative deep-penetrating topical formulation of ARQ-252 designed to reach deeper into the skin in order to potentially treat alopecia areata, are continuing. The ARQ-255 formulation is separate and distinct from ARQ-252, and thus there are no implications to ARQ-255 from ARQ-252.</w:t>
      </w:r>
    </w:p>
    <w:p>
      <w:pPr>
        <w:spacing w:after="0" w:line="100" w:lineRule="exact"/>
        <w:rPr>
          <w:rFonts w:ascii="Arial" w:cs="Arial" w:eastAsia="Arial" w:hAnsi="Arial"/>
          <w:sz w:val="17"/>
          <w:szCs w:val="17"/>
          <w:color w:val="auto"/>
        </w:rPr>
      </w:pPr>
    </w:p>
    <w:p>
      <w:pPr>
        <w:ind w:left="780" w:right="220" w:hanging="156"/>
        <w:spacing w:after="0" w:line="267" w:lineRule="auto"/>
        <w:tabs>
          <w:tab w:leader="none" w:pos="776"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Leverage our product development platform to continue innovating and developing novel new treatments for dermatological diseases. </w:t>
      </w:r>
      <w:r>
        <w:rPr>
          <w:rFonts w:ascii="Arial" w:cs="Arial" w:eastAsia="Arial" w:hAnsi="Arial"/>
          <w:sz w:val="17"/>
          <w:szCs w:val="17"/>
          <w:color w:val="auto"/>
        </w:rPr>
        <w:t>Our expertise in dermatological clinical development and commercialization allows us to identify areas of high unmet needs,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our product development platform may allow us to develop novel new treatments that address those needs, as it has already with roflumilast cream, roflumilast foam, and ARQ-252/ARQ-255.</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left="780" w:hanging="156"/>
        <w:spacing w:after="0" w:line="267" w:lineRule="auto"/>
        <w:tabs>
          <w:tab w:leader="none" w:pos="77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Evaluate strategic opportunities to in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license best-in-class dermatology assets consistent with our core strategy. </w:t>
      </w:r>
      <w:r>
        <w:rPr>
          <w:rFonts w:ascii="Arial" w:cs="Arial" w:eastAsia="Arial" w:hAnsi="Arial"/>
          <w:sz w:val="17"/>
          <w:szCs w:val="17"/>
          <w:color w:val="auto"/>
        </w:rPr>
        <w:t>Leveraging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deep expertise in identifying promising drug candidates in dermatology, we will continue to seek best-in-class assets across treatment modalities directed against validated targets. We will continue to explore opportunities to in-license assets and develop them to address unmet medical needs in dermatology.</w:t>
      </w:r>
    </w:p>
    <w:p>
      <w:pPr>
        <w:spacing w:after="0" w:line="106" w:lineRule="exact"/>
        <w:rPr>
          <w:sz w:val="20"/>
          <w:szCs w:val="20"/>
          <w:color w:val="auto"/>
        </w:rPr>
      </w:pPr>
    </w:p>
    <w:p>
      <w:pPr>
        <w:ind w:right="140" w:firstLine="620"/>
        <w:spacing w:after="0" w:line="261" w:lineRule="auto"/>
        <w:rPr>
          <w:sz w:val="20"/>
          <w:szCs w:val="20"/>
          <w:color w:val="auto"/>
        </w:rPr>
      </w:pPr>
      <w:r>
        <w:rPr>
          <w:rFonts w:ascii="Arial" w:cs="Arial" w:eastAsia="Arial" w:hAnsi="Arial"/>
          <w:sz w:val="17"/>
          <w:szCs w:val="17"/>
          <w:color w:val="auto"/>
        </w:rPr>
        <w:t>We believe one of our core strengths is that we have built the industry's leading platform for dermatology product development. This platform, coupled with our deep expertise in dermatology clinical development and commercialization, is the engine that allows us to generate our highly differentiated product candidates. Our platform has already generated several significant innovations, including:</w:t>
      </w:r>
    </w:p>
    <w:p>
      <w:pPr>
        <w:spacing w:after="0" w:line="125" w:lineRule="exact"/>
        <w:rPr>
          <w:sz w:val="20"/>
          <w:szCs w:val="20"/>
          <w:color w:val="auto"/>
        </w:rPr>
      </w:pPr>
    </w:p>
    <w:p>
      <w:pPr>
        <w:ind w:left="1240" w:hanging="306"/>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innovative topical formulation of roflumilast (patented)</w:t>
      </w:r>
    </w:p>
    <w:p>
      <w:pPr>
        <w:spacing w:after="0" w:line="153" w:lineRule="exact"/>
        <w:rPr>
          <w:rFonts w:ascii="Arial" w:cs="Arial" w:eastAsia="Arial" w:hAnsi="Arial"/>
          <w:sz w:val="17"/>
          <w:szCs w:val="17"/>
          <w:color w:val="auto"/>
        </w:rPr>
      </w:pPr>
    </w:p>
    <w:p>
      <w:pPr>
        <w:ind w:left="1240" w:right="100" w:hanging="306"/>
        <w:spacing w:after="0" w:line="269" w:lineRule="auto"/>
        <w:tabs>
          <w:tab w:leader="none" w:pos="123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pharmacokinetic characteristics relating to improving delivery and extending half-life of both the cream and foam formulations of topical roflumilast (patented)</w:t>
      </w:r>
    </w:p>
    <w:p>
      <w:pPr>
        <w:spacing w:after="0" w:line="104" w:lineRule="exact"/>
        <w:rPr>
          <w:rFonts w:ascii="Arial" w:cs="Arial" w:eastAsia="Arial" w:hAnsi="Arial"/>
          <w:sz w:val="17"/>
          <w:szCs w:val="17"/>
          <w:color w:val="auto"/>
        </w:rPr>
      </w:pPr>
    </w:p>
    <w:p>
      <w:pPr>
        <w:ind w:left="1240" w:hanging="306"/>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novel topical cream without skin-drying surfactants (patent pending)</w:t>
      </w:r>
    </w:p>
    <w:p>
      <w:pPr>
        <w:spacing w:after="0" w:line="153" w:lineRule="exact"/>
        <w:rPr>
          <w:rFonts w:ascii="Arial" w:cs="Arial" w:eastAsia="Arial" w:hAnsi="Arial"/>
          <w:sz w:val="17"/>
          <w:szCs w:val="17"/>
          <w:color w:val="auto"/>
        </w:rPr>
      </w:pPr>
    </w:p>
    <w:p>
      <w:pPr>
        <w:ind w:left="1240" w:hanging="306"/>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first topical treatment for seborrheic dermatitis with dual anti-fungal and anti-inflammatory action (patent pending)</w:t>
      </w:r>
    </w:p>
    <w:p>
      <w:pPr>
        <w:spacing w:after="0" w:line="153" w:lineRule="exact"/>
        <w:rPr>
          <w:rFonts w:ascii="Arial" w:cs="Arial" w:eastAsia="Arial" w:hAnsi="Arial"/>
          <w:sz w:val="17"/>
          <w:szCs w:val="17"/>
          <w:color w:val="auto"/>
        </w:rPr>
      </w:pPr>
    </w:p>
    <w:p>
      <w:pPr>
        <w:ind w:left="1240" w:hanging="306"/>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novel “4D” deep-penetrating formulation allowing topical delivery deeper in the dermis (patent pending).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Roflumilast Cream (ARQ-151)</w:t>
      </w:r>
    </w:p>
    <w:p>
      <w:pPr>
        <w:spacing w:after="0" w:line="175" w:lineRule="exact"/>
        <w:rPr>
          <w:sz w:val="20"/>
          <w:szCs w:val="20"/>
          <w:color w:val="auto"/>
        </w:rPr>
      </w:pPr>
    </w:p>
    <w:p>
      <w:pPr>
        <w:ind w:right="100" w:firstLine="620"/>
        <w:spacing w:after="0" w:line="256" w:lineRule="auto"/>
        <w:rPr>
          <w:sz w:val="20"/>
          <w:szCs w:val="20"/>
          <w:color w:val="auto"/>
        </w:rPr>
      </w:pPr>
      <w:r>
        <w:rPr>
          <w:rFonts w:ascii="Arial" w:cs="Arial" w:eastAsia="Arial" w:hAnsi="Arial"/>
          <w:sz w:val="17"/>
          <w:szCs w:val="17"/>
          <w:color w:val="auto"/>
        </w:rPr>
        <w:t>Our lead product candidate, roflumilast cream, has the potential to offer symptomatic improvement in psoriasis patients similar to the combination of a high potency steroid and calcipotriene, a favorable tolerability profile, the ability to be used chronically, and little to none of the application site reactions associated with many existing topical treatments. Roflumilast cream is designed for simple once-a-day application for chronic use, does not burn or sting on application, and can be used on any part of the body, including sensitive or difficult-to-treat areas, such as the face and intertriginous regions. It quickly and easily rubs into the skin without leaving a greasy residue, does not stain clothing or bedding, or have an unpleasant smell. Roflumilast is a highly potent and selective PDE4 inhibitor that was approved by the FDA for systemic treatment to reduce the risk of exacerbations of chronic obstructive pulmonary disease (COPD) in 2011. Roflumilast has demonstrated a potency advantage of approximately 25x to in excess of 300x compared to the active ingredients in the two other FDA-approved PDE4 inhibitors, Eucrisa and Otezla.</w:t>
      </w:r>
    </w:p>
    <w:p>
      <w:pPr>
        <w:spacing w:after="0" w:line="115" w:lineRule="exact"/>
        <w:rPr>
          <w:sz w:val="20"/>
          <w:szCs w:val="20"/>
          <w:color w:val="auto"/>
        </w:rPr>
      </w:pPr>
    </w:p>
    <w:p>
      <w:pPr>
        <w:ind w:right="60" w:firstLine="620"/>
        <w:spacing w:after="0" w:line="225" w:lineRule="auto"/>
        <w:rPr>
          <w:sz w:val="20"/>
          <w:szCs w:val="20"/>
          <w:color w:val="auto"/>
        </w:rPr>
      </w:pPr>
      <w:r>
        <w:rPr>
          <w:rFonts w:ascii="Arial" w:cs="Arial" w:eastAsia="Arial" w:hAnsi="Arial"/>
          <w:sz w:val="17"/>
          <w:szCs w:val="17"/>
          <w:color w:val="auto"/>
        </w:rPr>
        <w:t>We are currently developing roflumilast cream for plaque psoriasis, including intertriginous psoriasis, as well as atopic dermatitis. We have successfully completed pivotal Phase 3 clinical trials, as well as a long-term safety study, in plaque psoriasis. We have submitted an NDA to the FDA, and the FDA has set a PDUFA action date of July 29, 2022. In atopic dermatitis, we completed our Phase 2 proof of concept study and initiated our Phase 3 clinical program. The atopic dermatitis Phase 3 program includes 4 studies: two identical studies with approximately 650 subjects each, ages 6 and above (INTEGUMENT-1 and -2); a study with approximately 650 subjects ages 2-5 (INTEGUMENT-PED); and an open label extension study with up to 1,500 subjects (INTEGUMENT-OLE). We expect to provide topline data from each of INTEGUMENT-1 and -2 by the end of 2022. We intend to submit an sNDA for topical roflumilast cream for the treatment of atopic dermatitis patients aged six years or older in 2023 based on the results of INTEGUMENT-1 and -2. We expect to provide topline data from INTEGUMENT-PED in 2023 and submit a subsequent sNDA for the younger age cohort following the potential initial atopic dermatitis approval in patients aged six years or older.</w:t>
      </w:r>
    </w:p>
    <w:p>
      <w:pPr>
        <w:spacing w:after="0" w:line="121" w:lineRule="exact"/>
        <w:rPr>
          <w:sz w:val="20"/>
          <w:szCs w:val="20"/>
          <w:color w:val="auto"/>
        </w:rPr>
      </w:pPr>
    </w:p>
    <w:p>
      <w:pPr>
        <w:ind w:right="380" w:firstLine="620"/>
        <w:spacing w:after="0" w:line="258" w:lineRule="auto"/>
        <w:rPr>
          <w:sz w:val="20"/>
          <w:szCs w:val="20"/>
          <w:color w:val="auto"/>
        </w:rPr>
      </w:pPr>
      <w:r>
        <w:rPr>
          <w:rFonts w:ascii="Arial" w:cs="Arial" w:eastAsia="Arial" w:hAnsi="Arial"/>
          <w:sz w:val="17"/>
          <w:szCs w:val="17"/>
          <w:color w:val="auto"/>
        </w:rPr>
        <w:t>In July 2018, we executed a licensing agreement with AstraZeneca AB (AstraZeneca) for exclusive worldwide rights to roflumilast as a topical product in humans solely for dermatological indications. We have built our own intellectual property portfolio around topical uses of roflumilast, with issued and pending formulation, pharmacokinetic, and method-of-use patents in the United States and other jurisdictions from several distinct patent families, which should provide us with exclusivity for our product at least into 2037.</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Plaque Psoriasis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Psoriasis Background</w:t>
      </w:r>
    </w:p>
    <w:p>
      <w:pPr>
        <w:spacing w:after="0" w:line="173"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Psoriasis is an immune disease that occurs in about 3% of the U.S. population, representing approximately 8.6 million patients. About 90% of cases are plaque psoriasis, which is characterized by “plaques”, or raised, red areas of skin covered with a silver or white layer of dead skin cells referred to as “scale” (see figures below). Psoriatic plaques can appear on any area of the body, but most often appear on the scalp, knees, elbows, trunk, and limbs, and the plaques are often itchy and sometimes painful. At least 40% of plaque psoriasis patients have plaques on their scalp, about 15% have plaques in their intertriginous regions, approximately 10% have plaques on their face, and one in three has plaques on their elbows and knees. Each of these areas present a variety of treatment challenges which may be well suited to treatment with topical roflumilast.</w:t>
      </w:r>
    </w:p>
    <w:p>
      <w:pPr>
        <w:spacing w:after="0" w:line="132"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Psoriasis patients are generally characterized as mild, moderate, or severe, with approximately 75% experiencing a mild to moderate form of the disease and 25% experiencing a moderate-to-severe form of the disease. Pruritus (itching) is a particularly common and bothersome symptom for patients, which can be severe and impact sleep patterns. In addition, patients with plaque psoriasis can suffer substantial psychosocial impacts from their disease and have a 50% greater chance of depression than the general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73660</wp:posOffset>
            </wp:positionV>
            <wp:extent cx="4086225" cy="1747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86225" cy="174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Figures: Plaque Psoriasis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Source: DermNet (right)</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Current Psoriasis Treatment Landscape</w:t>
      </w:r>
    </w:p>
    <w:p>
      <w:pPr>
        <w:spacing w:after="0" w:line="173" w:lineRule="exact"/>
        <w:rPr>
          <w:sz w:val="20"/>
          <w:szCs w:val="20"/>
          <w:color w:val="auto"/>
        </w:rPr>
      </w:pPr>
    </w:p>
    <w:p>
      <w:pPr>
        <w:ind w:right="40" w:firstLine="620"/>
        <w:spacing w:after="0" w:line="269" w:lineRule="auto"/>
        <w:rPr>
          <w:sz w:val="20"/>
          <w:szCs w:val="20"/>
          <w:color w:val="auto"/>
        </w:rPr>
      </w:pPr>
      <w:r>
        <w:rPr>
          <w:rFonts w:ascii="Arial" w:cs="Arial" w:eastAsia="Arial" w:hAnsi="Arial"/>
          <w:sz w:val="17"/>
          <w:szCs w:val="17"/>
          <w:color w:val="auto"/>
        </w:rPr>
        <w:t>The vast majority of psoriasis patients are treated with topical therapies, of which there have been no novel treatments approved in over 20 years. Despite their widespread use, existing topical therapies all possess substantial shortcomings:</w:t>
      </w:r>
    </w:p>
    <w:p>
      <w:pPr>
        <w:spacing w:after="0" w:line="84" w:lineRule="exact"/>
        <w:rPr>
          <w:sz w:val="20"/>
          <w:szCs w:val="20"/>
          <w:color w:val="auto"/>
        </w:rPr>
      </w:pPr>
    </w:p>
    <w:p>
      <w:pPr>
        <w:ind w:left="780" w:right="100" w:hanging="156"/>
        <w:spacing w:after="0" w:line="267" w:lineRule="auto"/>
        <w:tabs>
          <w:tab w:leader="none" w:pos="776"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Topical steroids </w:t>
      </w:r>
      <w:r>
        <w:rPr>
          <w:rFonts w:ascii="Arial" w:cs="Arial" w:eastAsia="Arial" w:hAnsi="Arial"/>
          <w:sz w:val="17"/>
          <w:szCs w:val="17"/>
          <w:color w:val="auto"/>
        </w:rPr>
        <w:t>are associated with a number of side effects, including, among others, hypothalamic-pituitary-adrenal (HPA) axis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suppression, skin atrophy (thinning), striae (stretch marks), and telangiectasia (spider veins). Some of these side effects are irreversible. Consequently, high potency topical steroids are not recommended for chronic use, and physicians generally will not prescribe them for treatment on the face or in the intertriginous regions.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302260</wp:posOffset>
            </wp:positionV>
            <wp:extent cx="4036695" cy="1731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36695" cy="173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Figures: Steroid-induced striae (left) and Steroid-induced skin atrophy (right)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Source: DermNet (right)</w:t>
      </w:r>
    </w:p>
    <w:p>
      <w:pPr>
        <w:spacing w:after="0" w:line="119" w:lineRule="exact"/>
        <w:rPr>
          <w:sz w:val="20"/>
          <w:szCs w:val="20"/>
          <w:color w:val="auto"/>
        </w:rPr>
      </w:pPr>
    </w:p>
    <w:p>
      <w:pPr>
        <w:ind w:left="780" w:hanging="156"/>
        <w:spacing w:after="0" w:line="273" w:lineRule="auto"/>
        <w:tabs>
          <w:tab w:leader="none" w:pos="776"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Vitamin D3 analogs </w:t>
      </w:r>
      <w:r>
        <w:rPr>
          <w:rFonts w:ascii="Arial" w:cs="Arial" w:eastAsia="Arial" w:hAnsi="Arial"/>
          <w:sz w:val="17"/>
          <w:szCs w:val="17"/>
          <w:color w:val="auto"/>
        </w:rPr>
        <w:t>provide substantially less symptomatic improvement than high potency steroids, and are frequently irritating. While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they can be used chronically, tolerability issues with their use can be a challenge, and physicians generally will not prescribe them for use on the face or in the intertriginous regions.</w:t>
      </w:r>
    </w:p>
    <w:p>
      <w:pPr>
        <w:spacing w:after="0" w:line="95" w:lineRule="exact"/>
        <w:rPr>
          <w:rFonts w:ascii="Arial" w:cs="Arial" w:eastAsia="Arial" w:hAnsi="Arial"/>
          <w:sz w:val="17"/>
          <w:szCs w:val="17"/>
          <w:color w:val="auto"/>
        </w:rPr>
      </w:pPr>
    </w:p>
    <w:p>
      <w:pPr>
        <w:ind w:left="780" w:right="320" w:hanging="156"/>
        <w:spacing w:after="0" w:line="293" w:lineRule="auto"/>
        <w:tabs>
          <w:tab w:leader="none" w:pos="776"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Vitamin D3/steroid combinations </w:t>
      </w:r>
      <w:r>
        <w:rPr>
          <w:rFonts w:ascii="Arial" w:cs="Arial" w:eastAsia="Arial" w:hAnsi="Arial"/>
          <w:sz w:val="17"/>
          <w:szCs w:val="17"/>
          <w:color w:val="auto"/>
        </w:rPr>
        <w:t>offer better symptomatic improvement than either of the two individual components alone, but still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carry a risk of HPA axis suppression, and are limited in their duration of use.</w:t>
      </w:r>
    </w:p>
    <w:p>
      <w:pPr>
        <w:spacing w:after="0" w:line="98"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Because high potency steroids and combinations containing high potency steroids provide robust symptomatic improvement for psoriasis patients, most physicians initiate treatment for nearly all patients with them. However, due to the limitations on duration of treatment to between two and eight weeks, most physicians will switch the patient to a low- to mid-potency steroid or to a vitamin D analog to manage the patient’s psoriasis chronically. These “step down” options provide less symptomatic improvement and are often irritating. Also, rebound is a known challenge with steroids, where psoriasis returns even worse than before steroid treatment. As a result, patients are constantly cycling between effective short courses of high potency steroids and less effective “step down” maintenance treatments.</w:t>
      </w:r>
    </w:p>
    <w:p>
      <w:pPr>
        <w:spacing w:after="0" w:line="119" w:lineRule="exact"/>
        <w:rPr>
          <w:sz w:val="20"/>
          <w:szCs w:val="20"/>
          <w:color w:val="auto"/>
        </w:rPr>
      </w:pPr>
    </w:p>
    <w:p>
      <w:pPr>
        <w:ind w:right="40" w:firstLine="620"/>
        <w:spacing w:after="0" w:line="258" w:lineRule="auto"/>
        <w:rPr>
          <w:sz w:val="20"/>
          <w:szCs w:val="20"/>
          <w:color w:val="auto"/>
        </w:rPr>
      </w:pPr>
      <w:r>
        <w:rPr>
          <w:rFonts w:ascii="Arial" w:cs="Arial" w:eastAsia="Arial" w:hAnsi="Arial"/>
          <w:sz w:val="17"/>
          <w:szCs w:val="17"/>
          <w:color w:val="auto"/>
        </w:rPr>
        <w:t>Treatment with biologics remains highly restricted. In the United States, less than 20% of moderate-to-severe psoriasis patients (equivalent to 6% of all psoriasis patients) are on biologic therapy. The uptake of biologics has remained limited due to multiple factors, including the fact that they are indicated only for use in moderate-to-severe patients, their high cost and patient co-payments, reimbursement and access restrictions, perceived risk of side effects, and patient fear of injection.</w:t>
      </w:r>
    </w:p>
    <w:p>
      <w:pPr>
        <w:spacing w:after="0" w:line="129"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Treatment with non-biologic systemic therapy, such as methotrexate or Otezla is also limited. According to Decision Resources Group, non-biologic systemic therapy represents approximately 8% of patients worldwide and 11% of patients in the United States. The use of methotrexate has declined due to concerns about side effects and mandatory routine monitoring. Otezla has a limited U.S. market share in part due to its high annual price relative to topical treatments, modest symptomatic improvement, and frequent adverse events.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Atopic Dermatitis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Atopic Dermatitis Background</w:t>
      </w:r>
    </w:p>
    <w:p>
      <w:pPr>
        <w:spacing w:after="0" w:line="173"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Atopic dermatitis is the most common type of eczema, affecting approximately 26 million people in the United States. Atopic dermatitis is the most common skin disease among children, with prevalence steadily increasing from 8% to 12% in the last two decades. Atopic dermatitis is characterized by a defect in the skin barrier, which allows allergens and other irritants to enter the skin, leading to an immune reaction and inflammation. This reaction produces a red, itchy rash, most frequently occurring on the face, arms and legs, and the rash can cover significant areas of the body (see figures below). The rash causes significant pruritus (itching), which can lead to damage caused by scratching or rubbing and perpetuating an ‘itch-scratch’ cycle.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1765935</wp:posOffset>
            </wp:positionH>
            <wp:positionV relativeFrom="paragraph">
              <wp:posOffset>302260</wp:posOffset>
            </wp:positionV>
            <wp:extent cx="3609975" cy="1649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09975" cy="1649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Figures: Atopic Dermatitis Lesions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Source: DermNet</w:t>
      </w:r>
    </w:p>
    <w:p>
      <w:pPr>
        <w:spacing w:after="0" w:line="139" w:lineRule="exact"/>
        <w:rPr>
          <w:sz w:val="20"/>
          <w:szCs w:val="20"/>
          <w:color w:val="auto"/>
        </w:rPr>
      </w:pPr>
    </w:p>
    <w:p>
      <w:pPr>
        <w:ind w:right="220" w:firstLine="620"/>
        <w:spacing w:after="0" w:line="257" w:lineRule="auto"/>
        <w:rPr>
          <w:sz w:val="20"/>
          <w:szCs w:val="20"/>
          <w:color w:val="auto"/>
        </w:rPr>
      </w:pPr>
      <w:r>
        <w:rPr>
          <w:rFonts w:ascii="Arial" w:cs="Arial" w:eastAsia="Arial" w:hAnsi="Arial"/>
          <w:sz w:val="17"/>
          <w:szCs w:val="17"/>
          <w:color w:val="auto"/>
        </w:rPr>
        <w:t>Given the high proportion of pediatric patients, safety and tolerability of atopic dermatitis treatments is paramount. Atopic dermatitis imposes a substantial burden on the patient, parents, and family. Pediatric patients with atopic dermatitis can suffer from sleep disturbances, behavioral problems, irritability, crying, interference with normal childhood activities, and social functioning. Adults with atopic dermatitis also frequently suffer from sleep disturbances, emotional impacts, and impaired social functioning. Adults with atopic dermatitis also appear to be at a significantly increased risk of anxiety, depression, and suicidal ideation compared to the general population.</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Current Atopic Dermatitis Treatment Landscape</w:t>
      </w:r>
    </w:p>
    <w:p>
      <w:pPr>
        <w:spacing w:after="0" w:line="173" w:lineRule="exact"/>
        <w:rPr>
          <w:sz w:val="20"/>
          <w:szCs w:val="20"/>
          <w:color w:val="auto"/>
        </w:rPr>
      </w:pPr>
    </w:p>
    <w:p>
      <w:pPr>
        <w:ind w:right="140" w:firstLine="620"/>
        <w:spacing w:after="0" w:line="261" w:lineRule="auto"/>
        <w:rPr>
          <w:sz w:val="20"/>
          <w:szCs w:val="20"/>
          <w:color w:val="auto"/>
        </w:rPr>
      </w:pPr>
      <w:r>
        <w:rPr>
          <w:rFonts w:ascii="Arial" w:cs="Arial" w:eastAsia="Arial" w:hAnsi="Arial"/>
          <w:sz w:val="17"/>
          <w:szCs w:val="17"/>
          <w:color w:val="auto"/>
        </w:rPr>
        <w:t>The vast majority of atopic dermatitis patients are being treated with topical therapies, particularly low- to mid-potency topical steroids and TCIs, and these two classes of drugs constituted nearly all atopic dermatitis prescriptions in 2021. Despite their widespread use, existing topical therapies all possess substantial shortcomings:</w:t>
      </w:r>
    </w:p>
    <w:p>
      <w:pPr>
        <w:spacing w:after="0" w:line="92" w:lineRule="exact"/>
        <w:rPr>
          <w:sz w:val="20"/>
          <w:szCs w:val="20"/>
          <w:color w:val="auto"/>
        </w:rPr>
      </w:pPr>
    </w:p>
    <w:p>
      <w:pPr>
        <w:ind w:left="780" w:hanging="156"/>
        <w:spacing w:after="0" w:line="263" w:lineRule="auto"/>
        <w:tabs>
          <w:tab w:leader="none" w:pos="776"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Topical steroids </w:t>
      </w:r>
      <w:r>
        <w:rPr>
          <w:rFonts w:ascii="Arial" w:cs="Arial" w:eastAsia="Arial" w:hAnsi="Arial"/>
          <w:sz w:val="17"/>
          <w:szCs w:val="17"/>
          <w:color w:val="auto"/>
        </w:rPr>
        <w:t>pose a particular concern in pediatric patients due to the risk of systemic absorption, and the consequent risk of HPA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axis suppression, and potential developmental problems. Chronic use of topical steroids in atopic dermatitis patients is generally avoided. Many physicians are also reluctant to use steroids to treat atopic dermatitis on the face due to the increased risk of glaucoma and cataracts, or the diaper/groin region due to risk of skin thinning. There is also considerable concern among many parents about treating their children with steroids.</w:t>
      </w:r>
    </w:p>
    <w:p>
      <w:pPr>
        <w:spacing w:after="0" w:line="104" w:lineRule="exact"/>
        <w:rPr>
          <w:rFonts w:ascii="Arial" w:cs="Arial" w:eastAsia="Arial" w:hAnsi="Arial"/>
          <w:sz w:val="17"/>
          <w:szCs w:val="17"/>
          <w:color w:val="auto"/>
        </w:rPr>
      </w:pPr>
    </w:p>
    <w:p>
      <w:pPr>
        <w:ind w:left="780" w:right="140" w:hanging="156"/>
        <w:spacing w:after="0" w:line="267" w:lineRule="auto"/>
        <w:tabs>
          <w:tab w:leader="none" w:pos="776"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Topical calcineurin inhibitors </w:t>
      </w:r>
      <w:r>
        <w:rPr>
          <w:rFonts w:ascii="Arial" w:cs="Arial" w:eastAsia="Arial" w:hAnsi="Arial"/>
          <w:sz w:val="17"/>
          <w:szCs w:val="17"/>
          <w:color w:val="auto"/>
        </w:rPr>
        <w:t>are generally seen as providing less symptomatic improvement than topical steroids and are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some application site burning. In 2005 the FDA placed a boxed warning on the labels of both TCIs regarding a potential increased risk of cancers, especially lymphomas, associated with their use, which often creates significant parental resistance to their use.</w:t>
      </w:r>
    </w:p>
    <w:p>
      <w:pPr>
        <w:spacing w:after="0" w:line="99" w:lineRule="exact"/>
        <w:rPr>
          <w:rFonts w:ascii="Arial" w:cs="Arial" w:eastAsia="Arial" w:hAnsi="Arial"/>
          <w:sz w:val="17"/>
          <w:szCs w:val="17"/>
          <w:color w:val="auto"/>
        </w:rPr>
      </w:pPr>
    </w:p>
    <w:p>
      <w:pPr>
        <w:jc w:val="both"/>
        <w:ind w:left="780" w:right="60" w:hanging="156"/>
        <w:spacing w:after="0" w:line="273" w:lineRule="auto"/>
        <w:tabs>
          <w:tab w:leader="none" w:pos="776"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Eucrisa </w:t>
      </w:r>
      <w:r>
        <w:rPr>
          <w:rFonts w:ascii="Arial" w:cs="Arial" w:eastAsia="Arial" w:hAnsi="Arial"/>
          <w:sz w:val="17"/>
          <w:szCs w:val="17"/>
          <w:color w:val="auto"/>
        </w:rPr>
        <w:t>is a topical non-steroidal PDE4 inhibitor approved by the FDA in 2016. Despite initial interest among the physician community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adopt the product, its growth has been hampered by modest symptomatic improvement, frequent occurrences of application site burning and stinging, and disadvantaged reimbursement status compared to other atopic dermatitis treatments.</w:t>
      </w:r>
    </w:p>
    <w:p>
      <w:pPr>
        <w:spacing w:after="0" w:line="82" w:lineRule="exact"/>
        <w:rPr>
          <w:rFonts w:ascii="Arial" w:cs="Arial" w:eastAsia="Arial" w:hAnsi="Arial"/>
          <w:sz w:val="17"/>
          <w:szCs w:val="17"/>
          <w:color w:val="auto"/>
        </w:rPr>
      </w:pPr>
    </w:p>
    <w:p>
      <w:pPr>
        <w:jc w:val="both"/>
        <w:ind w:left="780" w:right="60" w:hanging="156"/>
        <w:spacing w:after="0" w:line="273" w:lineRule="auto"/>
        <w:tabs>
          <w:tab w:leader="none" w:pos="776"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Opzelura </w:t>
      </w:r>
      <w:r>
        <w:rPr>
          <w:rFonts w:ascii="Arial" w:cs="Arial" w:eastAsia="Arial" w:hAnsi="Arial"/>
          <w:sz w:val="17"/>
          <w:szCs w:val="17"/>
          <w:color w:val="auto"/>
        </w:rPr>
        <w:t>is a topical JAK inhibitor approved in September 2021 for the treatment of mild to moderate atopic dermatitis. The label carries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extensive boxed warning for serious infections, all-cause mortality, malignancy, major adverse cardiovascular events and thrombosis, and the product is limited to short-term, non-continuous use after failure of other treatments.</w:t>
      </w:r>
    </w:p>
    <w:p>
      <w:pPr>
        <w:spacing w:after="0" w:line="115" w:lineRule="exact"/>
        <w:rPr>
          <w:sz w:val="20"/>
          <w:szCs w:val="20"/>
          <w:color w:val="auto"/>
        </w:rPr>
      </w:pPr>
    </w:p>
    <w:p>
      <w:pPr>
        <w:ind w:left="160" w:right="60" w:firstLine="620"/>
        <w:spacing w:after="0" w:line="261" w:lineRule="auto"/>
        <w:rPr>
          <w:sz w:val="20"/>
          <w:szCs w:val="20"/>
          <w:color w:val="auto"/>
        </w:rPr>
      </w:pPr>
      <w:r>
        <w:rPr>
          <w:rFonts w:ascii="Arial" w:cs="Arial" w:eastAsia="Arial" w:hAnsi="Arial"/>
          <w:sz w:val="17"/>
          <w:szCs w:val="17"/>
          <w:color w:val="auto"/>
        </w:rPr>
        <w:t>Treatment with biologics like Dupixent remains highly restricted. In the United States, less than 2% of all atopic dermatitis patients are on biologic therapy. The uptake of biologics has remained limited due to multiple factors, including the fact that they are indicated only for use in moderate-to-severe patients, their high cost and patient co-payments, reimbursement and access restrictions, and patient fear of injection.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Roflumilast Cream Clinical Development</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Plaque Psoriasis</w:t>
      </w:r>
    </w:p>
    <w:p>
      <w:pPr>
        <w:spacing w:after="0" w:line="173" w:lineRule="exact"/>
        <w:rPr>
          <w:sz w:val="20"/>
          <w:szCs w:val="20"/>
          <w:color w:val="auto"/>
        </w:rPr>
      </w:pPr>
    </w:p>
    <w:p>
      <w:pPr>
        <w:ind w:right="60" w:firstLine="191"/>
        <w:spacing w:after="0" w:line="258" w:lineRule="auto"/>
        <w:rPr>
          <w:sz w:val="20"/>
          <w:szCs w:val="20"/>
          <w:color w:val="auto"/>
        </w:rPr>
      </w:pPr>
      <w:r>
        <w:rPr>
          <w:rFonts w:ascii="Arial" w:cs="Arial" w:eastAsia="Arial" w:hAnsi="Arial"/>
          <w:sz w:val="17"/>
          <w:szCs w:val="17"/>
          <w:color w:val="auto"/>
        </w:rPr>
        <w:t>We have successfully completed the pivotal clinical studies of roflumilast cream in plaque psoriasis, and submitted an NDA to the FDA. The FDA has set a PDUFA action date of July 29, 2022. Our NDA submission is supported by the positive data from the pivotal Phase 3 clinical studies, DERMIS-1 and DERMIS-2, and our long-term Phase 2b open label study. In all trials, roflumilast cream was generally well-tolerated with a favorable safety and tolerability profile.</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Key Completed Trials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ARQ-151-301 and 302 (DERMIS-1 and DERMIS-2 pivotal Phase 3 studies)</w:t>
      </w:r>
    </w:p>
    <w:p>
      <w:pPr>
        <w:spacing w:after="0" w:line="171" w:lineRule="exact"/>
        <w:rPr>
          <w:sz w:val="20"/>
          <w:szCs w:val="20"/>
          <w:color w:val="auto"/>
        </w:rPr>
      </w:pPr>
    </w:p>
    <w:p>
      <w:pPr>
        <w:ind w:right="80" w:firstLine="620"/>
        <w:spacing w:after="0" w:line="258" w:lineRule="auto"/>
        <w:rPr>
          <w:sz w:val="20"/>
          <w:szCs w:val="20"/>
          <w:color w:val="auto"/>
        </w:rPr>
      </w:pPr>
      <w:r>
        <w:rPr>
          <w:rFonts w:ascii="Arial" w:cs="Arial" w:eastAsia="Arial" w:hAnsi="Arial"/>
          <w:sz w:val="17"/>
          <w:szCs w:val="17"/>
          <w:color w:val="auto"/>
        </w:rPr>
        <w:t>The DERMIS-1 and DERMIS-2 studies were identical pivotal Phase 3 randomized, parallel, double-blind, vehicle-controlled, multi-national, multi-center studies in which subjects age 2 years and above with mild, moderate, or severe chronic plaque psoriasis involving between 2% and 20% body surface area received 8 weeks of (i) roflumilast cream 0.3% once daily or (ii) matching vehicle once daily. DERMIS-1 enrolled 439 subjects and DERMIS-2 enrolled 442 subjects.</w:t>
      </w:r>
    </w:p>
    <w:p>
      <w:pPr>
        <w:spacing w:after="0" w:line="129" w:lineRule="exact"/>
        <w:rPr>
          <w:sz w:val="20"/>
          <w:szCs w:val="20"/>
          <w:color w:val="auto"/>
        </w:rPr>
      </w:pPr>
    </w:p>
    <w:p>
      <w:pPr>
        <w:ind w:right="160" w:firstLine="620"/>
        <w:spacing w:after="0" w:line="256" w:lineRule="auto"/>
        <w:rPr>
          <w:sz w:val="20"/>
          <w:szCs w:val="20"/>
          <w:color w:val="auto"/>
        </w:rPr>
      </w:pPr>
      <w:r>
        <w:rPr>
          <w:rFonts w:ascii="Arial" w:cs="Arial" w:eastAsia="Arial" w:hAnsi="Arial"/>
          <w:sz w:val="17"/>
          <w:szCs w:val="17"/>
          <w:color w:val="auto"/>
        </w:rPr>
        <w:t>Results from the eight-week treatment period demonstrated statistically significant improvement compared to the matching vehicle on key efficacy endpoints. On the studies’ primary efficacy endpoint of percentage of subjects achieving Investigator Global Assessment (IGA) success, which was defined as a score of “clear” or “almost clear” plus a 2-grade improvement from baseline at week 8, 42.4% of subjects treated with roflumilast cream achieved IGA Success, compared to 6.1% of subjects treated with vehicle (p &lt; 0.0001) in DERMIS-1, and 37.5% of subjects treated with roflumilast cream achieved IGA Success, compared to 6.9% of subjects treated with vehicle (p&lt;0.0001) in DERMIS-2. Roflumilast cream also demonstrated statistically significant improvements over vehicle on key secondary endpoints, including on Intertriginous IGA Success, Psoriasis Area Severity Index-75, reductions in itch as measured by the Worst Itch-Numerical Rating Scale, and patient perceptions of symptoms as measured by the Psoriasis Symptoms Diary (PSD).</w:t>
      </w:r>
    </w:p>
    <w:p>
      <w:pPr>
        <w:spacing w:after="0" w:line="115"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Roflumilast cream was well-tolerated by the patient populations, with rates of treatment-emergent adverse events (“TEAEs”) low and similar to vehicle, with most TEAEs assessed as mild to moderate in severity. Of the subjects treated with roflumilast cream, five subjects (1.7% of subjects) in DERMIS-1 and one subject (0.3% of subjects) in DERMIS-2 discontinued the study due to a TEAE. There were no treatment-related serious adverse events.</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ARQ-151-202 (Long-Term Safety Study)</w:t>
      </w:r>
    </w:p>
    <w:p>
      <w:pPr>
        <w:spacing w:after="0" w:line="171" w:lineRule="exact"/>
        <w:rPr>
          <w:sz w:val="20"/>
          <w:szCs w:val="20"/>
          <w:color w:val="auto"/>
        </w:rPr>
      </w:pPr>
    </w:p>
    <w:p>
      <w:pPr>
        <w:ind w:right="100" w:firstLine="620"/>
        <w:spacing w:after="0" w:line="256" w:lineRule="auto"/>
        <w:rPr>
          <w:sz w:val="20"/>
          <w:szCs w:val="20"/>
          <w:color w:val="auto"/>
        </w:rPr>
      </w:pPr>
      <w:r>
        <w:rPr>
          <w:rFonts w:ascii="Arial" w:cs="Arial" w:eastAsia="Arial" w:hAnsi="Arial"/>
          <w:sz w:val="17"/>
          <w:szCs w:val="17"/>
          <w:color w:val="auto"/>
        </w:rPr>
        <w:t>The long-term safety study was a Phase 2, multi-center, open label study of the long-term safety and efficacy of roflumilast cream 0.3% in adult subjects with chronic plaque psoriasis involving up to 25% total body surface area (BSA), evaluated in two cohorts: subjects who completed the ARQ-151-201 Phase 2b, randomized, controlled trial; and previously untreated subjects. All subjects applied roflumilast cream 0.3% once daily for 52 weeks at home. Approximately half (164 out of 332) of the subjects entered this long-term study after completing treatment with roflumilast cream 0.3% or 0.15% in the randomized Phase 2b study (ARQ-151-201) and therefore received up to 64 weeks of total treatment with roflumilast cream (12 weeks in the randomized Phase 2b study and 52 weeks in the long-term safety study). Periodic clinic visits included assessments for clinical safety, application site reactions, and disease improvement or progression. The primary outcome measures of this long-term safety study were the occurrence of TEAEs and the occurrence of serious adverse events.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80" w:firstLine="620"/>
        <w:spacing w:after="0" w:line="255" w:lineRule="auto"/>
        <w:rPr>
          <w:sz w:val="20"/>
          <w:szCs w:val="20"/>
          <w:color w:val="auto"/>
        </w:rPr>
      </w:pPr>
      <w:r>
        <w:rPr>
          <w:rFonts w:ascii="Arial" w:cs="Arial" w:eastAsia="Arial" w:hAnsi="Arial"/>
          <w:sz w:val="17"/>
          <w:szCs w:val="17"/>
          <w:color w:val="auto"/>
        </w:rPr>
        <w:t>In this open label study, roflumilast cream 0.3% applied once daily for up to 52 weeks demonstrated favorable safety and tolerability over the long-term treatment period, consistent with what was seen in the randomized Phase 2b study, with only 3.6% of subjects experiencing a treatment-related adverse event during 52 weeks of treatment. Additionally, a durable treatment effect was maintained through 52 to 64 weeks. At week 52 of the long-term safety study, 44.8% of all subjects attained an IGA Success of clear or almost clear, with 34.8% of subjects in Cohort 1 and 39.5% of subjects in Cohort 2 achieving IGA Success, defined as a score of clear or almost clear plus a 2-grade improvement from baseline. Additionally, of the subjects in the 12-week randomized Phase 2b study who were treated with roflumilast cream 0.3%, and who attained an IGA of clear or almost clear at 12 weeks in the first study, then continued on treatment in the long-term safety study, 66.7% had an IGA of clear or almost clear at the end of 64 weeks of treatment or their last visit. Of the 332 subjects in this study, 73.5% completed the full 52 weeks of open label treatment, with only 3.9% of subjects discontinuing the study due to an adverse event and less than 1% of subjects discontinuing due to lack of efficacy. There were no treatment related serious adverse events reported.</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Atopic Dermatitis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Key Completed Trials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ARQ-151-212</w:t>
      </w:r>
    </w:p>
    <w:p>
      <w:pPr>
        <w:spacing w:after="0" w:line="158" w:lineRule="exact"/>
        <w:rPr>
          <w:sz w:val="20"/>
          <w:szCs w:val="20"/>
          <w:color w:val="auto"/>
        </w:rPr>
      </w:pPr>
    </w:p>
    <w:p>
      <w:pPr>
        <w:ind w:right="160" w:firstLine="620"/>
        <w:spacing w:after="0" w:line="253" w:lineRule="auto"/>
        <w:rPr>
          <w:sz w:val="20"/>
          <w:szCs w:val="20"/>
          <w:color w:val="auto"/>
        </w:rPr>
      </w:pPr>
      <w:r>
        <w:rPr>
          <w:rFonts w:ascii="Arial" w:cs="Arial" w:eastAsia="Arial" w:hAnsi="Arial"/>
          <w:sz w:val="17"/>
          <w:szCs w:val="17"/>
          <w:color w:val="auto"/>
        </w:rPr>
        <w:t>The most recent study completed with roflumilast cream in atopic dermatitis was a multi-center, double-blind, vehicle-controlled proof of concept Phase 2 study, in which 136 adolescents (ages 12 and above) and adults with mild to moderate atopic dermatitis involving between 1.5% and 35% BSA were randomized across three arms to receive once daily topical applications for 4 weeks of: (1) roflumilast cream 0.15%, or</w:t>
      </w:r>
    </w:p>
    <w:p>
      <w:pPr>
        <w:spacing w:after="0" w:line="2" w:lineRule="exact"/>
        <w:rPr>
          <w:sz w:val="20"/>
          <w:szCs w:val="20"/>
          <w:color w:val="auto"/>
        </w:rPr>
      </w:pPr>
    </w:p>
    <w:p>
      <w:pPr>
        <w:ind w:firstLine="3"/>
        <w:spacing w:after="0" w:line="261" w:lineRule="auto"/>
        <w:tabs>
          <w:tab w:leader="none" w:pos="258" w:val="left"/>
        </w:tabs>
        <w:numPr>
          <w:ilvl w:val="0"/>
          <w:numId w:val="12"/>
        </w:numPr>
        <w:rPr>
          <w:rFonts w:ascii="Arial" w:cs="Arial" w:eastAsia="Arial" w:hAnsi="Arial"/>
          <w:sz w:val="17"/>
          <w:szCs w:val="17"/>
          <w:color w:val="auto"/>
        </w:rPr>
      </w:pPr>
      <w:r>
        <w:rPr>
          <w:rFonts w:ascii="Arial" w:cs="Arial" w:eastAsia="Arial" w:hAnsi="Arial"/>
          <w:sz w:val="17"/>
          <w:szCs w:val="17"/>
          <w:color w:val="auto"/>
        </w:rPr>
        <w:t>roflumilast cream 0.05%, or (3) vehicle. The goals of this small proof of concept study were to establish whether roflumilast cream provides a signal of potential symptomatic improvement in atopic dermatitis subjects, as well as to gain an understanding of its tolerability. Completion rates for the study were 98% in the roflumilast cream 0.15% arm, 91% in the roflumilast cream 0.05% arm, and 93% in the vehicle arm.</w:t>
      </w:r>
    </w:p>
    <w:p>
      <w:pPr>
        <w:spacing w:after="0" w:line="125" w:lineRule="exact"/>
        <w:rPr>
          <w:sz w:val="20"/>
          <w:szCs w:val="20"/>
          <w:color w:val="auto"/>
        </w:rPr>
      </w:pPr>
    </w:p>
    <w:p>
      <w:pPr>
        <w:ind w:right="40" w:firstLine="620"/>
        <w:spacing w:after="0" w:line="255" w:lineRule="auto"/>
        <w:rPr>
          <w:sz w:val="20"/>
          <w:szCs w:val="20"/>
          <w:color w:val="auto"/>
        </w:rPr>
      </w:pPr>
      <w:r>
        <w:rPr>
          <w:rFonts w:ascii="Arial" w:cs="Arial" w:eastAsia="Arial" w:hAnsi="Arial"/>
          <w:sz w:val="17"/>
          <w:szCs w:val="17"/>
          <w:color w:val="auto"/>
        </w:rPr>
        <w:t>On the study's primary endpoint, the absolute change from baseline in the Eczema Area and Severity Index (EASI) Total Score after 4 weeks of once daily treatment, neither dose reached statistical significance versus vehicle, although roflumilast cream 0.15% showed a trend towards significance, with a mean improvement of 6.4 in subjects treated with roflumilast cream 0.15% compared to 4.8 in subjects treated with vehicle (p = 0.097). On the secondary endpoint of mean percent change from baseline on EASI, roflumilast cream 0.15% demonstrated a statistically significant improvement versus vehicle (72.3% versus 55.8%, p = 0.049). Efficacy was also observed at both doses as measured by EASI-75 (roflumilast cream 0.05%: 59.1% versus vehicle: 31.1%, p = 0.009 and roflumilast cream 0.15%: 52.3% versus vehicle: 31.1%, p = 0.045). On the Validated Investigator Global Assessment - Atopic Dermatitis (vIGA-AD), roflumilast cream 0.15% also demonstrated a statistically significant improvement versus vehicle in the percentage of subjects achieving clear or almost clear (roflumilast cream 0.15%: 52.3% versus vehicle: 31.1%, p = 0.040).</w:t>
      </w:r>
    </w:p>
    <w:p>
      <w:pPr>
        <w:spacing w:after="0" w:line="134" w:lineRule="exact"/>
        <w:rPr>
          <w:sz w:val="20"/>
          <w:szCs w:val="20"/>
          <w:color w:val="auto"/>
        </w:rPr>
      </w:pPr>
    </w:p>
    <w:p>
      <w:pPr>
        <w:ind w:right="160" w:firstLine="620"/>
        <w:spacing w:after="0" w:line="258" w:lineRule="auto"/>
        <w:rPr>
          <w:sz w:val="20"/>
          <w:szCs w:val="20"/>
          <w:color w:val="auto"/>
        </w:rPr>
      </w:pPr>
      <w:r>
        <w:rPr>
          <w:rFonts w:ascii="Arial" w:cs="Arial" w:eastAsia="Arial" w:hAnsi="Arial"/>
          <w:sz w:val="17"/>
          <w:szCs w:val="17"/>
          <w:color w:val="auto"/>
        </w:rPr>
        <w:t>In this study, both doses of roflumilast cream were well-tolerated. 95% of subjects on active treatment completed the full study. The incidence of treatment-related TEAEs and application site reactions were low (&lt; 5%) and similar between active treatment and vehicle. All TEAEs were mild to moderate in severity. Among subjects receiving roflumilast cream, there was only one serious adverse event (SAE), which was unrelated to treatment, and only one discontinuation due to a TEAE.</w:t>
      </w:r>
    </w:p>
    <w:p>
      <w:pPr>
        <w:spacing w:after="0" w:line="116" w:lineRule="exact"/>
        <w:rPr>
          <w:sz w:val="20"/>
          <w:szCs w:val="20"/>
          <w:color w:val="auto"/>
        </w:rPr>
      </w:pPr>
    </w:p>
    <w:p>
      <w:pPr>
        <w:ind w:right="80" w:firstLine="620"/>
        <w:spacing w:after="0" w:line="256" w:lineRule="auto"/>
        <w:rPr>
          <w:sz w:val="20"/>
          <w:szCs w:val="20"/>
          <w:color w:val="auto"/>
        </w:rPr>
      </w:pPr>
      <w:r>
        <w:rPr>
          <w:rFonts w:ascii="Arial" w:cs="Arial" w:eastAsia="Arial" w:hAnsi="Arial"/>
          <w:sz w:val="17"/>
          <w:szCs w:val="17"/>
          <w:color w:val="auto"/>
        </w:rPr>
        <w:t>We believe the consistent evidence of improvement in atopic dermatitis signs and symptoms demonstrated by both strengths of roflumilast cream across multiple endpoints, as well as the magnitude of improvement demonstrated on both doses in this small proof-of-concept study, demonstrate the ability of roflumilast cream to effectively treat atopic dermatitis. Additionally, this study provided valuable insights into the safety and tolerability of roflumilast cream in this population, an especially important consideration because the majority of atopic dermatitis sufferers are young children. While the study did not reach statistical significance on every endpoint, the consistency of evidence for improvement in atopic dermatitis, coupled with favorable tolerability data, provides us with the confidence to continue the development of roflumilast cream in atopic dermatitis.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Key Ongoing Trials</w:t>
      </w:r>
    </w:p>
    <w:p>
      <w:pPr>
        <w:spacing w:after="0" w:line="18" w:lineRule="exact"/>
        <w:rPr>
          <w:sz w:val="20"/>
          <w:szCs w:val="20"/>
          <w:color w:val="auto"/>
        </w:rPr>
      </w:pPr>
    </w:p>
    <w:p>
      <w:pPr>
        <w:ind w:firstLine="620"/>
        <w:spacing w:after="0" w:line="225" w:lineRule="auto"/>
        <w:rPr>
          <w:sz w:val="20"/>
          <w:szCs w:val="20"/>
          <w:color w:val="auto"/>
        </w:rPr>
      </w:pPr>
      <w:r>
        <w:rPr>
          <w:rFonts w:ascii="Arial" w:cs="Arial" w:eastAsia="Arial" w:hAnsi="Arial"/>
          <w:sz w:val="17"/>
          <w:szCs w:val="17"/>
          <w:color w:val="auto"/>
        </w:rPr>
        <w:t>The atopic dermatitis Phase 3 program includes four studies. INTEGUMENT-1 and -2 are multi-center, double-blind, vehicle-controlled Phase 3 studies, in approximately 650 subjects in each study, ages 6 and above with mild to moderate atopic dermatitis. Subjects have been randomized to receive once daily topical applications for 4 weeks of roflumilast cream 0.15%, or vehicle. The primary endpoint is the proportion of all randomized subjects who attain IGA Success, defined as a vIGA-AD score of ‘clear’ or ‘almost clear’ plus a 2-grade improvement from Baseline at week 4. Sharing a similar overall design, INTEGUMENT-PED is a multi-center, double-blind, vehicle-controlled Phase 3 study in approximately 650 subjects ages 2-5 with mild to moderate atopic dermatitis. Subjects have been randomized to receive once daily topical application for 4 weeks of roflumilast cream 0.05%, or vehicle and the primary endpoint is also the proportion of all randomized subjects who attain IGA Success at week 4. INTEGUMENT-OLE is an open label extension study that is enrolling up to 1,500 subjects who have completed INTEGUMENT-1, -2, or -PED. Subjects are to be treated for up to 52 weeks and the primary endpoints are the occurrence of TEAEs and SAEs. We expect to provide topline data from each of INTEGUMENT-1 and -2 by the end of 2022, and from INTEGUMENT-PED in 2023.</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Roflumilast Foam (ARQ-154)</w:t>
      </w:r>
    </w:p>
    <w:p>
      <w:pPr>
        <w:spacing w:after="0" w:line="175"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We are also developing a foam formulation of topical roflumilast for the treatment of scalp psoriasis and seborrheic dermatitis. Roflumilast foam contains the same highly potent and selective PDE4 inhibitor in roflumilast cream, and is nearly identical to roflumilast cream, with all ingredients in the foam being the same as those in the cream, other than reduced oil content and the addition of a propellant in the can to create the foam. Roflumilast foam is a light foam, similar to hair mousse, that has been designed to deliver the drug to the scalp while not leaving a greasy residue or disturbing hair style. The foam breaks easily upon agitation, creating a thin solution that can be rubbed easily into the scalp. Additionally, the product does not melt on the fingers prior to application. Roflumilast foam will not stain clothing or bedding, and does not have an unpleasant smell. Roflumilast foam is designed for simple once-a-day application and neither burns nor stings on application.</w:t>
      </w:r>
    </w:p>
    <w:p>
      <w:pPr>
        <w:spacing w:after="0" w:line="130" w:lineRule="exact"/>
        <w:rPr>
          <w:sz w:val="20"/>
          <w:szCs w:val="20"/>
          <w:color w:val="auto"/>
        </w:rPr>
      </w:pPr>
    </w:p>
    <w:p>
      <w:pPr>
        <w:ind w:right="80" w:firstLine="620"/>
        <w:spacing w:after="0" w:line="258" w:lineRule="auto"/>
        <w:rPr>
          <w:sz w:val="20"/>
          <w:szCs w:val="20"/>
          <w:color w:val="auto"/>
        </w:rPr>
      </w:pPr>
      <w:r>
        <w:rPr>
          <w:rFonts w:ascii="Arial" w:cs="Arial" w:eastAsia="Arial" w:hAnsi="Arial"/>
          <w:sz w:val="17"/>
          <w:szCs w:val="17"/>
          <w:color w:val="auto"/>
        </w:rPr>
        <w:t>We have successfully completed Phase 2 studies of roflumilast foam in seborrheic dermatitis and scalp and body psoriasis, demonstrating promising efficacy and tolerability in both diseases, and are currently conducting pivotal Phase 3 studies in both indications. We believe that roflumilast foam may offer physicians and patients a highly differentiated clinical profile that is ideally suited to address unmet needs in the topical treatment of seborrheic dermatitis and scalp psoriasis.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Seborrheic Dermatitis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Seborrheic Dermatitis Background</w:t>
      </w:r>
    </w:p>
    <w:p>
      <w:pPr>
        <w:spacing w:after="0" w:line="173" w:lineRule="exact"/>
        <w:rPr>
          <w:sz w:val="20"/>
          <w:szCs w:val="20"/>
          <w:color w:val="auto"/>
        </w:rPr>
      </w:pPr>
    </w:p>
    <w:p>
      <w:pPr>
        <w:ind w:right="60" w:firstLine="620"/>
        <w:spacing w:after="0" w:line="256" w:lineRule="auto"/>
        <w:rPr>
          <w:sz w:val="20"/>
          <w:szCs w:val="20"/>
          <w:color w:val="auto"/>
        </w:rPr>
      </w:pPr>
      <w:r>
        <w:rPr>
          <w:rFonts w:ascii="Arial" w:cs="Arial" w:eastAsia="Arial" w:hAnsi="Arial"/>
          <w:sz w:val="17"/>
          <w:szCs w:val="17"/>
          <w:color w:val="auto"/>
        </w:rPr>
        <w:t xml:space="preserve">Seborrheic dermatitis is a common skin disease that is estimated to occur in more than 10 million people in the United States. The disease causes red patches covered with large, greasy, flaking yellow-gray scales, and is frequently itchy. It appears most often on the scalp, face (especially on the nose, eyebrows, ears, and eyelids), upper chest, and back as depicted in the figure below. A milder variant of the disease is dandruff. While the pathogenesis of seborrheic dermatitis is not well understood, some experts believe a contributor is an over-abundance of </w:t>
      </w:r>
      <w:r>
        <w:rPr>
          <w:rFonts w:ascii="Arial" w:cs="Arial" w:eastAsia="Arial" w:hAnsi="Arial"/>
          <w:sz w:val="17"/>
          <w:szCs w:val="17"/>
          <w:i w:val="1"/>
          <w:iCs w:val="1"/>
          <w:color w:val="auto"/>
        </w:rPr>
        <w:t>Malassezia</w:t>
      </w:r>
      <w:r>
        <w:rPr>
          <w:rFonts w:ascii="Arial" w:cs="Arial" w:eastAsia="Arial" w:hAnsi="Arial"/>
          <w:sz w:val="17"/>
          <w:szCs w:val="17"/>
          <w:color w:val="auto"/>
        </w:rPr>
        <w:t>, a naturally occurring yeast found on normal skin but found in excess numbers on skin with seborrheic dermatitis. There also is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immunological or inflammatory component, possibly as a result of the proliferation of the </w:t>
      </w:r>
      <w:r>
        <w:rPr>
          <w:rFonts w:ascii="Arial" w:cs="Arial" w:eastAsia="Arial" w:hAnsi="Arial"/>
          <w:sz w:val="17"/>
          <w:szCs w:val="17"/>
          <w:i w:val="1"/>
          <w:iCs w:val="1"/>
          <w:color w:val="auto"/>
        </w:rPr>
        <w:t>Malassezia</w:t>
      </w:r>
      <w:r>
        <w:rPr>
          <w:rFonts w:ascii="Arial" w:cs="Arial" w:eastAsia="Arial" w:hAnsi="Arial"/>
          <w:sz w:val="17"/>
          <w:szCs w:val="17"/>
          <w:color w:val="auto"/>
        </w:rPr>
        <w:t xml:space="preserve"> yeast and its elaboration of substances that irritate the skin. Seborrheic dermatitis can occur in both adults and infants, and in infants is commonly referred to as “cradle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1585595</wp:posOffset>
            </wp:positionH>
            <wp:positionV relativeFrom="paragraph">
              <wp:posOffset>74930</wp:posOffset>
            </wp:positionV>
            <wp:extent cx="3979545" cy="132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7954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Figures: Seborrheic Dermatitis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Current Seborrheic Dermatitis Treatment Landscape</w:t>
      </w:r>
    </w:p>
    <w:p>
      <w:pPr>
        <w:spacing w:after="0" w:line="160" w:lineRule="exact"/>
        <w:rPr>
          <w:sz w:val="20"/>
          <w:szCs w:val="20"/>
          <w:color w:val="auto"/>
        </w:rPr>
      </w:pPr>
    </w:p>
    <w:p>
      <w:pPr>
        <w:ind w:right="860" w:firstLine="620"/>
        <w:spacing w:after="0" w:line="269" w:lineRule="auto"/>
        <w:rPr>
          <w:sz w:val="20"/>
          <w:szCs w:val="20"/>
          <w:color w:val="auto"/>
        </w:rPr>
      </w:pPr>
      <w:r>
        <w:rPr>
          <w:rFonts w:ascii="Arial" w:cs="Arial" w:eastAsia="Arial" w:hAnsi="Arial"/>
          <w:sz w:val="17"/>
          <w:szCs w:val="17"/>
          <w:color w:val="auto"/>
        </w:rPr>
        <w:t>There are a number of widely used treatments for seborrheic dermatitis, including antifungal agents, lower potency steroids, and immunomodulators.</w:t>
      </w:r>
    </w:p>
    <w:p>
      <w:pPr>
        <w:spacing w:after="0" w:line="95" w:lineRule="exact"/>
        <w:rPr>
          <w:sz w:val="20"/>
          <w:szCs w:val="20"/>
          <w:color w:val="auto"/>
        </w:rPr>
      </w:pPr>
    </w:p>
    <w:p>
      <w:pPr>
        <w:ind w:left="780" w:right="40" w:hanging="156"/>
        <w:spacing w:after="0" w:line="267" w:lineRule="auto"/>
        <w:tabs>
          <w:tab w:leader="none" w:pos="77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Antifungal agents</w:t>
      </w:r>
      <w:r>
        <w:rPr>
          <w:rFonts w:ascii="Arial" w:cs="Arial" w:eastAsia="Arial" w:hAnsi="Arial"/>
          <w:sz w:val="17"/>
          <w:szCs w:val="17"/>
          <w:color w:val="auto"/>
        </w:rPr>
        <w:t>, particularly azoles such as ketoconazole, are the cornerstone of therapy for seborrheic dermatitis. These agents are</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in a variety of topical formulations, and oral antifungals are occasionally used in very severe cases. Antifungals in the treatment of seborrheic dermatitis are generally well-tolerated, although some patients experience irritant contact dermatitis, a burning or itching sensation, or dryness.</w:t>
      </w:r>
    </w:p>
    <w:p>
      <w:pPr>
        <w:spacing w:after="0" w:line="99" w:lineRule="exact"/>
        <w:rPr>
          <w:rFonts w:ascii="Arial" w:cs="Arial" w:eastAsia="Arial" w:hAnsi="Arial"/>
          <w:sz w:val="17"/>
          <w:szCs w:val="17"/>
          <w:color w:val="auto"/>
        </w:rPr>
      </w:pPr>
    </w:p>
    <w:p>
      <w:pPr>
        <w:jc w:val="both"/>
        <w:ind w:left="780" w:right="520" w:hanging="156"/>
        <w:spacing w:after="0" w:line="274" w:lineRule="auto"/>
        <w:tabs>
          <w:tab w:leader="none" w:pos="77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Topical steroids</w:t>
      </w:r>
      <w:r>
        <w:rPr>
          <w:rFonts w:ascii="Arial" w:cs="Arial" w:eastAsia="Arial" w:hAnsi="Arial"/>
          <w:sz w:val="17"/>
          <w:szCs w:val="17"/>
          <w:color w:val="auto"/>
        </w:rPr>
        <w:t>, mostly low- to mid-potency, are often prescribed for patients suffering from seborrheic dermatitis because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inflammatory component of the disease. Due to the risks associated with steroid use, particularly on the face, physicians try to limit duration or avoid steroid therapy.</w:t>
      </w:r>
    </w:p>
    <w:p>
      <w:pPr>
        <w:spacing w:after="0" w:line="79" w:lineRule="exact"/>
        <w:rPr>
          <w:rFonts w:ascii="Arial" w:cs="Arial" w:eastAsia="Arial" w:hAnsi="Arial"/>
          <w:sz w:val="17"/>
          <w:szCs w:val="17"/>
          <w:color w:val="auto"/>
        </w:rPr>
      </w:pPr>
    </w:p>
    <w:p>
      <w:pPr>
        <w:ind w:left="780" w:right="100" w:hanging="156"/>
        <w:spacing w:after="0" w:line="264" w:lineRule="auto"/>
        <w:tabs>
          <w:tab w:leader="none" w:pos="77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TCIs </w:t>
      </w:r>
      <w:r>
        <w:rPr>
          <w:rFonts w:ascii="Arial" w:cs="Arial" w:eastAsia="Arial" w:hAnsi="Arial"/>
          <w:sz w:val="17"/>
          <w:szCs w:val="17"/>
          <w:color w:val="auto"/>
        </w:rPr>
        <w:t>are also sometimes used off-label for the treatment of seborrheic dermatitis. These agents appear to provide symptomatic</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 in seborrheic dermatitis due to their anti-inflammatory effects. As previously noted, TCIs carry a boxed warning for the potential increased risk of cancers, especially lymphomas, associated with their use, and physicians generally try to avoid long-term use in patients suffering from seborrheic dermatitis. Additionally, TCIs only provide symptomatic improvement in seborrheic dermatitis in areas of skin that are very thin and where the drug can penetrate (i.e., largely the periocular areas only).</w:t>
      </w:r>
    </w:p>
    <w:p>
      <w:pPr>
        <w:spacing w:after="0" w:line="123" w:lineRule="exact"/>
        <w:rPr>
          <w:sz w:val="20"/>
          <w:szCs w:val="20"/>
          <w:color w:val="auto"/>
        </w:rPr>
      </w:pPr>
    </w:p>
    <w:p>
      <w:pPr>
        <w:ind w:right="80" w:firstLine="620"/>
        <w:spacing w:after="0" w:line="256" w:lineRule="auto"/>
        <w:rPr>
          <w:sz w:val="20"/>
          <w:szCs w:val="20"/>
          <w:color w:val="auto"/>
        </w:rPr>
      </w:pPr>
      <w:r>
        <w:rPr>
          <w:rFonts w:ascii="Arial" w:cs="Arial" w:eastAsia="Arial" w:hAnsi="Arial"/>
          <w:sz w:val="17"/>
          <w:szCs w:val="17"/>
          <w:color w:val="auto"/>
        </w:rPr>
        <w:t>While physicians have a number of relatively inexpensive treatment options that provide symptomatic improvement for seborrheic dermatitis, the greatest unmet need relates to inadequate response to existing therapies in some patients, particularly in patients with more severe disease. Physicians report that up to one-third of severe patients suffering from seborrheic dermatitis, and a smaller percentage of mild- and moderate-severity patients, have an inadequate response to current seborrheic dermatitis treatments. Additionally, physicians are wary of using steroids on the face due to the risk of skin thinning, spider veins, folliculitis, and unnatural hair growth. Physicians are especially wary of using steroids near the eyes due to the potential increased risk of cataracts and glaucoma. Finally, many physicians are reluctant to treat chronically with steroids and TCIs, the main anti-inflammatory agents used in treatment of seborrheic dermatitis.</w:t>
      </w:r>
    </w:p>
    <w:p>
      <w:pPr>
        <w:spacing w:after="0" w:line="130" w:lineRule="exact"/>
        <w:rPr>
          <w:sz w:val="20"/>
          <w:szCs w:val="20"/>
          <w:color w:val="auto"/>
        </w:rPr>
      </w:pPr>
    </w:p>
    <w:p>
      <w:pPr>
        <w:ind w:right="160" w:firstLine="620"/>
        <w:spacing w:after="0" w:line="256" w:lineRule="auto"/>
        <w:rPr>
          <w:sz w:val="20"/>
          <w:szCs w:val="20"/>
          <w:color w:val="auto"/>
        </w:rPr>
      </w:pPr>
      <w:r>
        <w:rPr>
          <w:rFonts w:ascii="Arial" w:cs="Arial" w:eastAsia="Arial" w:hAnsi="Arial"/>
          <w:sz w:val="17"/>
          <w:szCs w:val="17"/>
          <w:color w:val="auto"/>
        </w:rPr>
        <w:t xml:space="preserve">We believe roflumilast foam may present a unique dual mechanism of action to treat patients with seborrheic dermatitis. Based on clinical data to date across indications, topical roflumilast has demonstrated strong anti-inflammatory properties. In addition, a recent nonclinical study demonstrated that roflumilast foam may also possess anti-fungal effects, specifically against </w:t>
      </w:r>
      <w:r>
        <w:rPr>
          <w:rFonts w:ascii="Arial" w:cs="Arial" w:eastAsia="Arial" w:hAnsi="Arial"/>
          <w:sz w:val="17"/>
          <w:szCs w:val="17"/>
          <w:i w:val="1"/>
          <w:iCs w:val="1"/>
          <w:color w:val="auto"/>
        </w:rPr>
        <w:t>Malassezia</w:t>
      </w:r>
      <w:r>
        <w:rPr>
          <w:rFonts w:ascii="Arial" w:cs="Arial" w:eastAsia="Arial" w:hAnsi="Arial"/>
          <w:sz w:val="17"/>
          <w:szCs w:val="17"/>
          <w:color w:val="auto"/>
        </w:rPr>
        <w:t>, the fungus implicated in seborrheic dermatitis. Because the pathogenesis of seborrheic dermatitis potentially includes both a fungal overgrowth component and an inflammatory component, roflumilast foam’s putative dual mechanism of action may provide symptomatic improvement for patients not achieving suitable responses from currently available therapies. In addition to the opportunity in treatment resistant patients, we believe roflumilast foam may be an option for some patients as a first-line therapy, especially patients with involvement of the face where other therapies are contraindicated.</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Scalp Psoriasis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Scalp Psoriasis Background</w:t>
      </w:r>
    </w:p>
    <w:p>
      <w:pPr>
        <w:spacing w:after="0" w:line="173"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Scalp psoriasis is a manifestation of plaque psoriasis that occurs in nearly half of all psoriasis patients, characterized by plaques in the hair-bearing area of the scalp and sometimes extending to the forehead, back of the neck, or behind or inside the ears as depicted in the figures below. These psoriatic plaques are identical to plaques on other body areas, however topical treatment of these plaques is complicated by the difficulty of delivering topical drugs under hair-bearing areas. As with psoriatic plaques on other parts of the body, psoriasis on the scalp is often itchy and is sometimes painful. Scalp psoriasis can also be associated with hair loss, likely due to damage to the hair from excessive scratching, rubbing, or combing of the affected area.</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302260</wp:posOffset>
            </wp:positionV>
            <wp:extent cx="4315460" cy="1706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15460"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Figures: Scalp Psoriasis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Source: DermNet (left)</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Current Scalp Psoriasis Treatment Landscape</w:t>
      </w:r>
    </w:p>
    <w:p>
      <w:pPr>
        <w:spacing w:after="0" w:line="173" w:lineRule="exact"/>
        <w:rPr>
          <w:sz w:val="20"/>
          <w:szCs w:val="20"/>
          <w:color w:val="auto"/>
        </w:rPr>
      </w:pPr>
    </w:p>
    <w:p>
      <w:pPr>
        <w:ind w:right="100" w:firstLine="620"/>
        <w:spacing w:after="0" w:line="256" w:lineRule="auto"/>
        <w:rPr>
          <w:sz w:val="20"/>
          <w:szCs w:val="20"/>
          <w:color w:val="auto"/>
        </w:rPr>
      </w:pPr>
      <w:r>
        <w:rPr>
          <w:rFonts w:ascii="Arial" w:cs="Arial" w:eastAsia="Arial" w:hAnsi="Arial"/>
          <w:sz w:val="17"/>
          <w:szCs w:val="17"/>
          <w:color w:val="auto"/>
        </w:rPr>
        <w:t>Scalp psoriasis treatments are similar to plaque psoriasis treatments, given that the plaques are identical to the plaques in other body areas. Topical treatments for scalp psoriasis include TCS, vitamin D analogs, or the combination, in a topical formulation suitable for hair-bearing areas, such as shampoos, solutions, or foams. However, many of the current topical formulations for hair-bearing areas are poorly formulated and are not well-received by patients. Existing topical treatments for the scalp also suffer from the same efficacy, safety, tolerability, and patient acceptability issues as existing creams and ointments. While both biologics and systemic treatments will improve scalp psoriasis, they suffer from the same limitations on their use as in plaque psoriasis.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Roflumilast Foam Clinical Development</w:t>
      </w:r>
    </w:p>
    <w:p>
      <w:pPr>
        <w:spacing w:after="0" w:line="160" w:lineRule="exact"/>
        <w:rPr>
          <w:sz w:val="20"/>
          <w:szCs w:val="20"/>
          <w:color w:val="auto"/>
        </w:rPr>
      </w:pPr>
    </w:p>
    <w:p>
      <w:pPr>
        <w:ind w:right="60" w:firstLine="620"/>
        <w:spacing w:after="0" w:line="258" w:lineRule="auto"/>
        <w:rPr>
          <w:sz w:val="20"/>
          <w:szCs w:val="20"/>
          <w:color w:val="auto"/>
        </w:rPr>
      </w:pPr>
      <w:r>
        <w:rPr>
          <w:rFonts w:ascii="Arial" w:cs="Arial" w:eastAsia="Arial" w:hAnsi="Arial"/>
          <w:sz w:val="17"/>
          <w:szCs w:val="17"/>
          <w:color w:val="auto"/>
        </w:rPr>
        <w:t>We have successfully completed Phase 2 studies of roflumilast foam in seborrheic dermatitis and scalp psoriasis. In seborrheic dermatitis, we initiated a single pivotal Phase 3 clinical trial, with topline data anticipated in mid-year 2022. We also initiated a single pivotal Phase 3 clinical trial in scalp and body psoriasis, with topline data anticipated in the second half of 2022. If these pivotal Phase 3 trials for roflumilast foam are positive, we expect the data to be sufficient basis for an NDA submission to the FDA for each indication.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Seborrheic Dermatitis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Key Completed Trials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ARQ-154-203 (Phase 2 Study)</w:t>
      </w:r>
    </w:p>
    <w:p>
      <w:pPr>
        <w:spacing w:after="0" w:line="171" w:lineRule="exact"/>
        <w:rPr>
          <w:sz w:val="20"/>
          <w:szCs w:val="20"/>
          <w:color w:val="auto"/>
        </w:rPr>
      </w:pPr>
    </w:p>
    <w:p>
      <w:pPr>
        <w:jc w:val="both"/>
        <w:ind w:right="180" w:firstLine="620"/>
        <w:spacing w:after="0" w:line="261" w:lineRule="auto"/>
        <w:rPr>
          <w:sz w:val="20"/>
          <w:szCs w:val="20"/>
          <w:color w:val="auto"/>
        </w:rPr>
      </w:pPr>
      <w:r>
        <w:rPr>
          <w:rFonts w:ascii="Arial" w:cs="Arial" w:eastAsia="Arial" w:hAnsi="Arial"/>
          <w:sz w:val="17"/>
          <w:szCs w:val="17"/>
          <w:color w:val="auto"/>
        </w:rPr>
        <w:t>Study ARQ-154-203 enrolled 226 adult subjects with moderate-to-severe seborrheic dermatitis. This 8-week, multi-center, multi-national, double-blind, vehicle-controlled study evaluated the safety and efficacy of roflumilast foam 0.3% administered once daily to affected areas on the scalp, face, and body.</w:t>
      </w:r>
    </w:p>
    <w:p>
      <w:pPr>
        <w:spacing w:after="0" w:line="125"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Roflumilast foam 0.3% administered once daily for 8 weeks demonstrated statistically significant improvement compared to a matching vehicle foam on key efficacy endpoints in subjects with moderate-to-severe seborrheic dermatitis. On the study’s primary endpoint assessed at week 8, roflumilast foam 0.3% achieved an IGA Success rate of 73.8% compared to a vehicle rate of 40.9% (p&lt;0.0001). IGA Success is defined as the achievement of an IGA score of ‘clear’ or ‘almost clear’ on a 5-grade scale plus at least a two-point change from baseline. The onset of effect was rapid, with roflumilast foam statistically separating from vehicle as early as week 2, the first visit after baseline, on IGA Success as well as multiple secondary endpoints. For example, at week 8, 64.6% of subjects treated with roflumilast foam who had a baseline WI-NRS score of 4 achieved an itch reduction of at least 4 points compared to 34.0% of vehicle treated subjects (p=0.0007). Other secondary endpoints included overall assessment of erythema and overall assessment of scaling, which also had positive outcomes.</w:t>
      </w:r>
    </w:p>
    <w:p>
      <w:pPr>
        <w:spacing w:after="0" w:line="115" w:lineRule="exact"/>
        <w:rPr>
          <w:sz w:val="20"/>
          <w:szCs w:val="20"/>
          <w:color w:val="auto"/>
        </w:rPr>
      </w:pPr>
    </w:p>
    <w:p>
      <w:pPr>
        <w:ind w:right="100" w:firstLine="620"/>
        <w:spacing w:after="0" w:line="261" w:lineRule="auto"/>
        <w:rPr>
          <w:sz w:val="20"/>
          <w:szCs w:val="20"/>
          <w:color w:val="auto"/>
        </w:rPr>
      </w:pPr>
      <w:r>
        <w:rPr>
          <w:rFonts w:ascii="Arial" w:cs="Arial" w:eastAsia="Arial" w:hAnsi="Arial"/>
          <w:sz w:val="17"/>
          <w:szCs w:val="17"/>
          <w:color w:val="auto"/>
        </w:rPr>
        <w:t>Importantly, roflumilast foam was well-tolerated, with rates of application site adverse events, treatment-related adverse events, and discontinuations due to adverse events low and similar to vehicle. Only 2 out of 154 subjects (1.3%) treated with roflumilast foam discontinued the study due to an adverse event, compared to 1 out of 72 subjects (1.4%) treated with the vehicle.</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2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Key Ongoing and Upcoming Trials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ARQ-154-304 (Phase 3 Study)</w:t>
      </w:r>
    </w:p>
    <w:p>
      <w:pPr>
        <w:spacing w:after="0" w:line="158" w:lineRule="exact"/>
        <w:rPr>
          <w:sz w:val="20"/>
          <w:szCs w:val="20"/>
          <w:color w:val="auto"/>
        </w:rPr>
      </w:pPr>
    </w:p>
    <w:p>
      <w:pPr>
        <w:ind w:right="260" w:firstLine="620"/>
        <w:spacing w:after="0" w:line="258"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ST</w:t>
      </w:r>
      <w:r>
        <w:rPr>
          <w:rFonts w:ascii="Arial" w:cs="Arial" w:eastAsia="Arial" w:hAnsi="Arial"/>
          <w:sz w:val="17"/>
          <w:szCs w:val="17"/>
          <w:color w:val="auto"/>
        </w:rPr>
        <w:t xml:space="preserve">udy of </w:t>
      </w:r>
      <w:r>
        <w:rPr>
          <w:rFonts w:ascii="Arial" w:cs="Arial" w:eastAsia="Arial" w:hAnsi="Arial"/>
          <w:sz w:val="17"/>
          <w:szCs w:val="17"/>
          <w:u w:val="single" w:color="auto"/>
          <w:color w:val="auto"/>
        </w:rPr>
        <w:t>R</w:t>
      </w:r>
      <w:r>
        <w:rPr>
          <w:rFonts w:ascii="Arial" w:cs="Arial" w:eastAsia="Arial" w:hAnsi="Arial"/>
          <w:sz w:val="17"/>
          <w:szCs w:val="17"/>
          <w:color w:val="auto"/>
        </w:rPr>
        <w:t xml:space="preserve">oflumilast foam </w:t>
      </w:r>
      <w:r>
        <w:rPr>
          <w:rFonts w:ascii="Arial" w:cs="Arial" w:eastAsia="Arial" w:hAnsi="Arial"/>
          <w:sz w:val="17"/>
          <w:szCs w:val="17"/>
          <w:u w:val="single" w:color="auto"/>
          <w:color w:val="auto"/>
        </w:rPr>
        <w:t>A</w:t>
      </w:r>
      <w:r>
        <w:rPr>
          <w:rFonts w:ascii="Arial" w:cs="Arial" w:eastAsia="Arial" w:hAnsi="Arial"/>
          <w:sz w:val="17"/>
          <w:szCs w:val="17"/>
          <w:color w:val="auto"/>
        </w:rPr>
        <w:t xml:space="preserve">pplied </w:t>
      </w:r>
      <w:r>
        <w:rPr>
          <w:rFonts w:ascii="Arial" w:cs="Arial" w:eastAsia="Arial" w:hAnsi="Arial"/>
          <w:sz w:val="17"/>
          <w:szCs w:val="17"/>
          <w:u w:val="single" w:color="auto"/>
          <w:color w:val="auto"/>
        </w:rPr>
        <w:t>T</w:t>
      </w:r>
      <w:r>
        <w:rPr>
          <w:rFonts w:ascii="Arial" w:cs="Arial" w:eastAsia="Arial" w:hAnsi="Arial"/>
          <w:sz w:val="17"/>
          <w:szCs w:val="17"/>
          <w:color w:val="auto"/>
        </w:rPr>
        <w:t>opically for the red</w:t>
      </w:r>
      <w:r>
        <w:rPr>
          <w:rFonts w:ascii="Arial" w:cs="Arial" w:eastAsia="Arial" w:hAnsi="Arial"/>
          <w:sz w:val="17"/>
          <w:szCs w:val="17"/>
          <w:u w:val="single" w:color="auto"/>
          <w:color w:val="auto"/>
        </w:rPr>
        <w:t>U</w:t>
      </w:r>
      <w:r>
        <w:rPr>
          <w:rFonts w:ascii="Arial" w:cs="Arial" w:eastAsia="Arial" w:hAnsi="Arial"/>
          <w:sz w:val="17"/>
          <w:szCs w:val="17"/>
          <w:color w:val="auto"/>
        </w:rPr>
        <w:t>ction of seborrheic der</w:t>
      </w:r>
      <w:r>
        <w:rPr>
          <w:rFonts w:ascii="Arial" w:cs="Arial" w:eastAsia="Arial" w:hAnsi="Arial"/>
          <w:sz w:val="17"/>
          <w:szCs w:val="17"/>
          <w:u w:val="single" w:color="auto"/>
          <w:color w:val="auto"/>
        </w:rPr>
        <w:t>M</w:t>
      </w:r>
      <w:r>
        <w:rPr>
          <w:rFonts w:ascii="Arial" w:cs="Arial" w:eastAsia="Arial" w:hAnsi="Arial"/>
          <w:sz w:val="17"/>
          <w:szCs w:val="17"/>
          <w:color w:val="auto"/>
        </w:rPr>
        <w:t>atitis" (STRATUM) is a Phase 3, parallel group, double blind, vehicle-controlled study of the safety and efficacy of roflumilast 0.3% foam administered once-daily in approximately 450 subjects ages nine and older with moderate to severe seborrheic dermatitis. The primary endpoint of the study is the proportion of subjects achieving IGA Success, defined as an IGA score of “clear” or “almost clear” plus a 2-point improvement at eight weeks.</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ARQ-154-214 (Long-Term Safety)</w:t>
      </w:r>
    </w:p>
    <w:p>
      <w:pPr>
        <w:spacing w:after="0" w:line="171" w:lineRule="exact"/>
        <w:rPr>
          <w:sz w:val="20"/>
          <w:szCs w:val="20"/>
          <w:color w:val="auto"/>
        </w:rPr>
      </w:pPr>
    </w:p>
    <w:p>
      <w:pPr>
        <w:ind w:right="240" w:firstLine="620"/>
        <w:spacing w:after="0" w:line="258" w:lineRule="auto"/>
        <w:rPr>
          <w:sz w:val="20"/>
          <w:szCs w:val="20"/>
          <w:color w:val="auto"/>
        </w:rPr>
      </w:pPr>
      <w:r>
        <w:rPr>
          <w:rFonts w:ascii="Arial" w:cs="Arial" w:eastAsia="Arial" w:hAnsi="Arial"/>
          <w:sz w:val="17"/>
          <w:szCs w:val="17"/>
          <w:color w:val="auto"/>
        </w:rPr>
        <w:t>Study ARQ-154-214 is an ongoing multi-center, open label Phase 2 long-term safety study of roflumilast foam 0.3% applied once daily in subjects with seborrheic dermatitis. This study includes subjects who were treated previously in the Phase 2 trial (ARQ-154-203), as well as subjects naive to treatment with roflumilast foam. Periodic clinic visits will include assessments for clinical safety, application site reactions, and disease improvement, or progression.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Scalp Psoriasis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Key Completed Trials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ARQ-154-204 (Phase 2b Study)</w:t>
      </w:r>
    </w:p>
    <w:p>
      <w:pPr>
        <w:spacing w:after="0" w:line="158"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Study ARQ-154-204 was a multi-center, multi-national, double-blind, vehicle-controlled Phase 2b study, in which 304 adolescents (ages 12 and above) and adults with scalp psoriasis covering at least 10% of the total scalp involvement and up to 25% of total psoriasis involvement in all body areas were randomized to receive 8 weeks of (1) roflumilast foam 0.3% once daily, or (2) matching vehicle once daily. Randomization was 2:1, active to vehicle. The primary endpoint of the trial was achievement of a Scalp IGA (S-IGA) scale score of “clear” or “almost clear” plus a 2-grade improvement from baseline, or S-IGA, at week 8. Multiple secondary endpoints were also evaluated.</w:t>
      </w:r>
    </w:p>
    <w:p>
      <w:pPr>
        <w:spacing w:after="0" w:line="129" w:lineRule="exact"/>
        <w:rPr>
          <w:sz w:val="20"/>
          <w:szCs w:val="20"/>
          <w:color w:val="auto"/>
        </w:rPr>
      </w:pPr>
    </w:p>
    <w:p>
      <w:pPr>
        <w:jc w:val="both"/>
        <w:ind w:right="140" w:firstLine="620"/>
        <w:spacing w:after="0" w:line="261" w:lineRule="auto"/>
        <w:rPr>
          <w:sz w:val="20"/>
          <w:szCs w:val="20"/>
          <w:color w:val="auto"/>
        </w:rPr>
      </w:pPr>
      <w:r>
        <w:rPr>
          <w:rFonts w:ascii="Arial" w:cs="Arial" w:eastAsia="Arial" w:hAnsi="Arial"/>
          <w:sz w:val="17"/>
          <w:szCs w:val="17"/>
          <w:color w:val="auto"/>
        </w:rPr>
        <w:t>Roflumilast foam demonstrated statistically significant improvements compared to a matching vehicle foam on key efficacy endpoints. On the study’s primary endpoint of S-IGA Success assessed at week 8, roflumilast foam 0.3% achieved a rate of 59.1% compared to a vehicle rate of 11.4% (p&lt;0.0001). Onset was rapid, with significantly higher rates of S-IGA Success noted as early as 2 weeks.</w:t>
      </w:r>
    </w:p>
    <w:p>
      <w:pPr>
        <w:spacing w:after="0" w:line="125" w:lineRule="exact"/>
        <w:rPr>
          <w:sz w:val="20"/>
          <w:szCs w:val="20"/>
          <w:color w:val="auto"/>
        </w:rPr>
      </w:pPr>
    </w:p>
    <w:p>
      <w:pPr>
        <w:ind w:right="200" w:firstLine="620"/>
        <w:spacing w:after="0" w:line="253" w:lineRule="auto"/>
        <w:rPr>
          <w:sz w:val="20"/>
          <w:szCs w:val="20"/>
          <w:color w:val="auto"/>
        </w:rPr>
      </w:pPr>
      <w:r>
        <w:rPr>
          <w:rFonts w:ascii="Arial" w:cs="Arial" w:eastAsia="Arial" w:hAnsi="Arial"/>
          <w:sz w:val="17"/>
          <w:szCs w:val="17"/>
          <w:color w:val="auto"/>
        </w:rPr>
        <w:t>Multiple secondary endpoints were also met. On the key secondary endpoint of Body Investigator Global Assessment (B-IGA) success assessed at week 8, roflumilast foam 0.3% achieved a rate of 40.3% compared to a vehicle rate of 6.8% (p&lt;0.0001), with separation from vehicle on B-IGA Success as early as 2 weeks. Symptomatic improvement was also demonstrated, with 71.0% of subjects treated with roflumilast foam</w:t>
      </w:r>
    </w:p>
    <w:p>
      <w:pPr>
        <w:spacing w:after="0" w:line="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0.3% who had a baseline Scalp Itch Numeric Rating Scale score of 4 or greater achieving an itch reduction of at least 4 points at week 8 compared to 18.5% of vehicle treated subjects (p&lt;0.0001).</w:t>
      </w:r>
    </w:p>
    <w:p>
      <w:pPr>
        <w:spacing w:after="0" w:line="104"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Consistent with other clinical trials of topical roflumilast, roflumilast foam was well-tolerated, as evidenced by subject-reported local tolerability and rates of application site adverse events, treatment-related adverse events, and discontinuations due to adverse events low and similar to vehicle. Only 5 out of 200 subjects (2.5%) in the roflumilast foam treated group discontinued the study due to an adverse event, compared to 2 out of 104 subjects (1.9%) treated with the vehicle.</w:t>
      </w:r>
    </w:p>
    <w:p>
      <w:pPr>
        <w:spacing w:after="0" w:line="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Key Ongoing and Upcoming Trials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ARQ-154-309 (Phase 3 Study)</w:t>
      </w:r>
    </w:p>
    <w:p>
      <w:pPr>
        <w:spacing w:after="0" w:line="171" w:lineRule="exact"/>
        <w:rPr>
          <w:sz w:val="20"/>
          <w:szCs w:val="20"/>
          <w:color w:val="auto"/>
        </w:rPr>
      </w:pPr>
    </w:p>
    <w:p>
      <w:pPr>
        <w:ind w:right="160" w:firstLine="620"/>
        <w:spacing w:after="0" w:line="257"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A R</w:t>
      </w:r>
      <w:r>
        <w:rPr>
          <w:rFonts w:ascii="Arial" w:cs="Arial" w:eastAsia="Arial" w:hAnsi="Arial"/>
          <w:sz w:val="17"/>
          <w:szCs w:val="17"/>
          <w:color w:val="auto"/>
        </w:rPr>
        <w:t>andomized t</w:t>
      </w:r>
      <w:r>
        <w:rPr>
          <w:rFonts w:ascii="Arial" w:cs="Arial" w:eastAsia="Arial" w:hAnsi="Arial"/>
          <w:sz w:val="17"/>
          <w:szCs w:val="17"/>
          <w:u w:val="single" w:color="auto"/>
          <w:color w:val="auto"/>
        </w:rPr>
        <w:t>R</w:t>
      </w:r>
      <w:r>
        <w:rPr>
          <w:rFonts w:ascii="Arial" w:cs="Arial" w:eastAsia="Arial" w:hAnsi="Arial"/>
          <w:sz w:val="17"/>
          <w:szCs w:val="17"/>
          <w:color w:val="auto"/>
        </w:rPr>
        <w:t xml:space="preserve"> ial </w:t>
      </w:r>
      <w:r>
        <w:rPr>
          <w:rFonts w:ascii="Arial" w:cs="Arial" w:eastAsia="Arial" w:hAnsi="Arial"/>
          <w:sz w:val="17"/>
          <w:szCs w:val="17"/>
          <w:u w:val="single" w:color="auto"/>
          <w:color w:val="auto"/>
        </w:rPr>
        <w:t>E</w:t>
      </w:r>
      <w:r>
        <w:rPr>
          <w:rFonts w:ascii="Arial" w:cs="Arial" w:eastAsia="Arial" w:hAnsi="Arial"/>
          <w:sz w:val="17"/>
          <w:szCs w:val="17"/>
          <w:color w:val="auto"/>
        </w:rPr>
        <w:t>mploying topi</w:t>
      </w:r>
      <w:r>
        <w:rPr>
          <w:rFonts w:ascii="Arial" w:cs="Arial" w:eastAsia="Arial" w:hAnsi="Arial"/>
          <w:sz w:val="17"/>
          <w:szCs w:val="17"/>
          <w:u w:val="single" w:color="auto"/>
          <w:color w:val="auto"/>
        </w:rPr>
        <w:t>C</w:t>
      </w:r>
      <w:r>
        <w:rPr>
          <w:rFonts w:ascii="Arial" w:cs="Arial" w:eastAsia="Arial" w:hAnsi="Arial"/>
          <w:sz w:val="17"/>
          <w:szCs w:val="17"/>
          <w:color w:val="auto"/>
        </w:rPr>
        <w:t>al roflumilasT foam to treat scalp ps</w:t>
      </w:r>
      <w:r>
        <w:rPr>
          <w:rFonts w:ascii="Arial" w:cs="Arial" w:eastAsia="Arial" w:hAnsi="Arial"/>
          <w:sz w:val="17"/>
          <w:szCs w:val="17"/>
          <w:u w:val="single" w:color="auto"/>
          <w:color w:val="auto"/>
        </w:rPr>
        <w:t>OR</w:t>
      </w:r>
      <w:r>
        <w:rPr>
          <w:rFonts w:ascii="Arial" w:cs="Arial" w:eastAsia="Arial" w:hAnsi="Arial"/>
          <w:sz w:val="17"/>
          <w:szCs w:val="17"/>
          <w:color w:val="auto"/>
        </w:rPr>
        <w:t>iasis” (ARRECTOR) study is a parallel group, double blind, vehicle-controlled pivotal Phase 3 study of the safety and efficacy of roflumilast 0.3% foam or a matching vehicle administered once-daily in approximately 420 subjects with scalp and body psoriasis ages 12 and older. The co-primary endpoints of the study include the proportion of subjects achieving S-IGA success and the proportion of subjects achieving B-IGA success, with IGA success defined as an IGA score of ‘clear’ or ‘almost clear’ plus a 2-point improvement from baseline after eight weeks.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ARQ-252</w:t>
      </w:r>
    </w:p>
    <w:p>
      <w:pPr>
        <w:spacing w:after="0" w:line="162"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ARQ-252 is topical cream formulation of a potent and highly selective small molecule inhibitor of JAK1 that we are developing for chronic hand eczema and vitiligo. In a nonclinical study, ARQ-252 proved to be highly selective to JAK1 over JAK2. We believe that due to its high selectivity for JAK1 over JAK2, ARQ-252 has the potential to treat inflammatory diseases without causing the hematopoietic adverse effects associated with JAK2 inhibition. As the only JAK1-selective topical in development, we believe that ARQ-252 could offer a best-in-class topical JAK inhibitor, with a more favorable safety and tolerability profile than other topical JAK inhibitors due to its selectivity to JAK1 over JAK2, robust symptomatic improvement due to its high potency against JAK1, and a convenient and patient-friendly cream formulation.</w:t>
      </w:r>
    </w:p>
    <w:p>
      <w:pPr>
        <w:spacing w:after="0" w:line="132"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In May 2021, we announced that the Phase 1/2b study of ARQ-252 in chronic hand eczema did not meet its primary endpoint, with further analyses of the study pointing to inadequate local drug delivery to the skin. Importantly, there were no safety or tolerability issues seen in that study. Given these analyses, we also elected to terminate the Phase 2a clinical trial evaluating ARQ-252 as a potential treatment in vitiligo, as we began reformulation efforts to develop an enhanced formulation of ARQ-252 that delivers more active drug to targets in the skin. Additionally, we have formulation and nonclinical efforts continuing for ARQ-255, an alternative deep-penetrating topical formulation of ARQ-252 designed to reach deeper into the skin in order to potentially treat alopecia areata. The ARQ-255 formulation is separate and distinct from ARQ-252, and thus there are no implications to ARQ-255 from ARQ-252.</w:t>
      </w:r>
    </w:p>
    <w:p>
      <w:pPr>
        <w:spacing w:after="0" w:line="130" w:lineRule="exact"/>
        <w:rPr>
          <w:sz w:val="20"/>
          <w:szCs w:val="20"/>
          <w:color w:val="auto"/>
        </w:rPr>
      </w:pPr>
    </w:p>
    <w:p>
      <w:pPr>
        <w:ind w:right="60" w:firstLine="620"/>
        <w:spacing w:after="0" w:line="256" w:lineRule="auto"/>
        <w:rPr>
          <w:sz w:val="20"/>
          <w:szCs w:val="20"/>
          <w:color w:val="auto"/>
        </w:rPr>
      </w:pPr>
      <w:r>
        <w:rPr>
          <w:rFonts w:ascii="Arial" w:cs="Arial" w:eastAsia="Arial" w:hAnsi="Arial"/>
          <w:sz w:val="17"/>
          <w:szCs w:val="17"/>
          <w:color w:val="auto"/>
        </w:rPr>
        <w:t>In December 2019, we exercised our exclusive option under our Hengrui License Agreement to exclusively license the active pharmaceutical ingredient in ARQ-252 for all topical dermatological uses in the United States, Canada, Europe, and Japan. Jiangsu Hengrui Medicine Co., Ltd. (Hengrui) is developing SHR-0302, the active ingredient in ARQ-252, for the oral treatment of various inflammatory and immunological disorders, including rheumatoid arthritis, Crohn’s disease, and ulcerative colitis, and has completed a Phase 2b study in rheumatoid arthritis. Under our agreement, we have the right to reference their safety data, along with the systemic toxicology data supporting their program. Hengrui has built strong intellectual property protection around the active ingredient in ARQ-252, and holds U.S. composition of matter patents, including patents for the bisulfate form of the active ingredient that do not begin to expire until 2033. We believe there is the potential for additional intellectual property protection of ARQ-252 through possible future formulation and other patents.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Chronic Hand Eczema</w:t>
      </w:r>
    </w:p>
    <w:p>
      <w:pPr>
        <w:spacing w:after="0" w:line="173" w:lineRule="exact"/>
        <w:rPr>
          <w:sz w:val="20"/>
          <w:szCs w:val="20"/>
          <w:color w:val="auto"/>
        </w:rPr>
      </w:pPr>
    </w:p>
    <w:p>
      <w:pPr>
        <w:ind w:right="140" w:firstLine="620"/>
        <w:spacing w:after="0" w:line="261" w:lineRule="auto"/>
        <w:rPr>
          <w:sz w:val="20"/>
          <w:szCs w:val="20"/>
          <w:color w:val="auto"/>
        </w:rPr>
      </w:pPr>
      <w:r>
        <w:rPr>
          <w:rFonts w:ascii="Arial" w:cs="Arial" w:eastAsia="Arial" w:hAnsi="Arial"/>
          <w:sz w:val="17"/>
          <w:szCs w:val="17"/>
          <w:color w:val="auto"/>
        </w:rPr>
        <w:t>Eczema is a term used to describe a group of different diseases that cause the skin to become red, itchy and inflamed. There are multiple forms of eczema, including atopic dermatitis, contact dermatitis, hand eczema, dyshidrotic eczema, and seborrheic dermatitis. Eczema is very common, with some estimates that up to 30 million people in the United States may have some form of eczema.</w:t>
      </w:r>
    </w:p>
    <w:p>
      <w:pPr>
        <w:spacing w:after="0" w:line="125" w:lineRule="exact"/>
        <w:rPr>
          <w:sz w:val="20"/>
          <w:szCs w:val="20"/>
          <w:color w:val="auto"/>
        </w:rPr>
      </w:pPr>
    </w:p>
    <w:p>
      <w:pPr>
        <w:ind w:right="220" w:firstLine="620"/>
        <w:spacing w:after="0" w:line="258" w:lineRule="auto"/>
        <w:rPr>
          <w:sz w:val="20"/>
          <w:szCs w:val="20"/>
          <w:color w:val="auto"/>
        </w:rPr>
      </w:pPr>
      <w:r>
        <w:rPr>
          <w:rFonts w:ascii="Arial" w:cs="Arial" w:eastAsia="Arial" w:hAnsi="Arial"/>
          <w:sz w:val="17"/>
          <w:szCs w:val="17"/>
          <w:color w:val="auto"/>
        </w:rPr>
        <w:t>Hand eczema is a common, predominantly inflammatory, skin disease characterized variously by redness, fluid filled blisters or bumps, scaling, cracking, itching and pain occurring on the hands, especially the palms (see figures below). It is the most common skin disease affecting the hands, with prevalence estimated at up to 2.5% of the population. The impact of hand eczema on patients can be significant, leading to work absences or disability, social stigmatization, and psychosocial distress.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73660</wp:posOffset>
            </wp:positionV>
            <wp:extent cx="4233545" cy="1485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33545" cy="1485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Figures: Hand Eczema</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Current Hand Eczema Treatment Landscape</w:t>
      </w:r>
    </w:p>
    <w:p>
      <w:pPr>
        <w:spacing w:after="0" w:line="160"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Hand eczema is a difficult disease to treat. The palms of the hand have skin that can be up to ten times thicker than skin from other body areas, which inhibits drug absorption and the ability to deliver drugs topically. Hand eczema is typically treated with high potency topical steroids, mostly due to the aforementioned skin barrier challenges. In some cases, physicians also will incorporate barrier creams to aid in hydration and to prevent the irritant effect caused by occupational exposure, a common cause of hand eczema. There are currently no FDA-approved treatments specifically for the indication of hand eczema. However, LEO Pharma has demonstrated proof of concept for their topical JAK inhibitor, delgocitinib, in Phase 2 studies. Physicians report that a significant percentage of patients, including up to 40% of patients with severe dyshidrotic eczema (one type of hand eczema), have an inadequate response to currently available treatments. In those who respond to high potency topical steroids, skin atrophy becomes a problem with chronic use, even on the thick skin of the palms.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Vitiligo</w:t>
      </w:r>
    </w:p>
    <w:p>
      <w:pPr>
        <w:spacing w:after="0" w:line="173" w:lineRule="exact"/>
        <w:rPr>
          <w:sz w:val="20"/>
          <w:szCs w:val="20"/>
          <w:color w:val="auto"/>
        </w:rPr>
      </w:pPr>
    </w:p>
    <w:p>
      <w:pPr>
        <w:ind w:right="180" w:firstLine="620"/>
        <w:spacing w:after="0" w:line="261" w:lineRule="auto"/>
        <w:rPr>
          <w:sz w:val="20"/>
          <w:szCs w:val="20"/>
          <w:color w:val="auto"/>
        </w:rPr>
      </w:pPr>
      <w:r>
        <w:rPr>
          <w:rFonts w:ascii="Arial" w:cs="Arial" w:eastAsia="Arial" w:hAnsi="Arial"/>
          <w:sz w:val="17"/>
          <w:szCs w:val="17"/>
          <w:color w:val="auto"/>
        </w:rPr>
        <w:t>Vitiligo is a chronic and disfiguring autoimmune disease that causes the complete loss of skin color in blotches or patches, frequently in a symmetrical distribution, and has a significant impact on the patient's quality of life. The disease is caused by the localized destruction by the immune system of melanocytes, the skin cells that produce the skin pigment melanin, resulting in complete depigmentation in the affected area.</w:t>
      </w:r>
    </w:p>
    <w:p>
      <w:pPr>
        <w:spacing w:after="0" w:line="112"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Vitiligo can have profound psychological impact on patients, particularly those with skin of color. Patients may feel loss of self-esteem and experience stigmatization. At this point in time, there are no FDA-approved treatments for vitiligo, so patients are often treated with off-label combinations of steroids, TCIs, ultraviolet light, and lasers. As such, there is great unmet need for therapies that are more effective and less limiting than currently available treatment modalities.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ARQ-252 Clinical Development</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Chronic Hand Eczema</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ARQ-252-205 Study (Phase 2b Study)</w:t>
      </w:r>
    </w:p>
    <w:p>
      <w:pPr>
        <w:spacing w:after="0" w:line="173"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In May 2021, we announced that the Phase 1/2b study of ARQ-252 in chronic hand eczema did not meet its primary endpoint of IGA clear or almost clear at week 12, with further analyses of the study pointing to inadequate local drug delivery to the skin. Importantly, there were no safety or tolerability issues seen in that study. We are currently working on re-formulating ARQ-252 to develop an enhanced formulation that delivers more active drug to targets in the skin.</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Vitiligo</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ARQ-252-213 Study (Phase 2a Study)</w:t>
      </w:r>
    </w:p>
    <w:p>
      <w:pPr>
        <w:spacing w:after="0" w:line="173" w:lineRule="exact"/>
        <w:rPr>
          <w:sz w:val="20"/>
          <w:szCs w:val="20"/>
          <w:color w:val="auto"/>
        </w:rPr>
      </w:pPr>
    </w:p>
    <w:p>
      <w:pPr>
        <w:ind w:right="60" w:firstLine="620"/>
        <w:spacing w:after="0" w:line="261" w:lineRule="auto"/>
        <w:rPr>
          <w:sz w:val="20"/>
          <w:szCs w:val="20"/>
          <w:color w:val="auto"/>
        </w:rPr>
      </w:pPr>
      <w:r>
        <w:rPr>
          <w:rFonts w:ascii="Arial" w:cs="Arial" w:eastAsia="Arial" w:hAnsi="Arial"/>
          <w:sz w:val="17"/>
          <w:szCs w:val="17"/>
          <w:color w:val="auto"/>
        </w:rPr>
        <w:t>Given the failure of the Phase 1/2b study of ARQ-252 in chronic hand eczema, and the data pointing towards inadequate drug delivery, we elected to terminate the Phase 2a clinical trial evaluating ARQ-252 as a potential treatment in vitiligo. We are currently working on re-formulating ARQ-252 to develop an enhanced formulation that delivers more active drug to targets in the skin.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ARQ-255</w:t>
      </w:r>
    </w:p>
    <w:p>
      <w:pPr>
        <w:spacing w:after="0" w:line="160" w:lineRule="exact"/>
        <w:rPr>
          <w:sz w:val="20"/>
          <w:szCs w:val="20"/>
          <w:color w:val="auto"/>
        </w:rPr>
      </w:pPr>
    </w:p>
    <w:p>
      <w:pPr>
        <w:ind w:right="20" w:firstLine="620"/>
        <w:spacing w:after="0" w:line="255" w:lineRule="auto"/>
        <w:rPr>
          <w:sz w:val="20"/>
          <w:szCs w:val="20"/>
          <w:color w:val="auto"/>
        </w:rPr>
      </w:pPr>
      <w:r>
        <w:rPr>
          <w:rFonts w:ascii="Arial" w:cs="Arial" w:eastAsia="Arial" w:hAnsi="Arial"/>
          <w:sz w:val="17"/>
          <w:szCs w:val="17"/>
          <w:color w:val="auto"/>
        </w:rPr>
        <w:t>We are also developing ARQ-255, an alternative topical formulation of ARQ-252 designed to reach deeper into the skin in order to potentially treat alopecia areata. Alopecia areata is an autoimmune disorder that causes the immune system to incorrectly attack the body’s own cells, specifically the hair follicles, leading to loss of hair—usually in patches—on the scalp, face or sometimes other areas of the body. While oral JAK inhibitors have shown symptomatic improvement in the treatment of alopecia areata, multiple topically applied JAK inhibitors have failed to demonstrate symptomatic improvement in alopecia areata. It is our belief that this discrepancy is due to the site of inflammation driving alopecia areata, deep in the skin at the base (bulb) of the hair follicle. While oral JAK inhibitor administration can achieve required levels of drug at the site of inflammation, conventional topical applications are unlikely to deliver concentrations of JAK inhibitors to the site of inflammation adequate to treat alopecia areata. We have undertaken a formulation effort we refer to as Deep Dermal Drug Delivery (“4D” technology), that leverages some of the unique physical properties of the active pharmaceutical ingredient in ARQ-255, and which we believe may allow us to topically deliver sufficient concentrations of the drug to potentially treat alopecia areata via topical administration. Formulation and nonclinical efforts are continuing for ARQ-255.</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Competition</w:t>
      </w:r>
    </w:p>
    <w:p>
      <w:pPr>
        <w:spacing w:after="0" w:line="175"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The biotechnology and pharmaceutical industry is highly competitive, and is characterized by rapid and significant changes, intense competition and a bias towards proprietary products. We will face competition from many different sources, including major pharmaceutical, specialty pharmaceutical and biotechnology companies, and generic drug companies. Any product candidate that we successfully develop and commercialize will compete with existing treatments, including those that may have achieved broad market acceptance, and any new treatment that may become available in the future.</w:t>
      </w:r>
    </w:p>
    <w:p>
      <w:pPr>
        <w:spacing w:after="0" w:line="116" w:lineRule="exact"/>
        <w:rPr>
          <w:sz w:val="20"/>
          <w:szCs w:val="20"/>
          <w:color w:val="auto"/>
        </w:rPr>
      </w:pPr>
    </w:p>
    <w:p>
      <w:pPr>
        <w:ind w:right="200" w:firstLine="620"/>
        <w:spacing w:after="0" w:line="258" w:lineRule="auto"/>
        <w:rPr>
          <w:sz w:val="20"/>
          <w:szCs w:val="20"/>
          <w:color w:val="auto"/>
        </w:rPr>
      </w:pPr>
      <w:r>
        <w:rPr>
          <w:rFonts w:ascii="Arial" w:cs="Arial" w:eastAsia="Arial" w:hAnsi="Arial"/>
          <w:sz w:val="17"/>
          <w:szCs w:val="17"/>
          <w:color w:val="auto"/>
        </w:rPr>
        <w:t>Many of our competitors have greater financial, technical, and human resources than we have. Mergers and acquisitions in the pharmaceutical and biotechnology industries may result in even more resources being concentrated among a smaller number of our competitors. Our commercial opportunity could be reduced or eliminated if our competitors develop or market products or other novel therapies that offer more symptomatic improvement, have a lower risk of side effects, or are less costly than our current or future product candidates.</w:t>
      </w:r>
    </w:p>
    <w:p>
      <w:pPr>
        <w:spacing w:after="0" w:line="129" w:lineRule="exact"/>
        <w:rPr>
          <w:sz w:val="20"/>
          <w:szCs w:val="20"/>
          <w:color w:val="auto"/>
        </w:rPr>
      </w:pPr>
    </w:p>
    <w:p>
      <w:pPr>
        <w:ind w:right="260" w:firstLine="620"/>
        <w:spacing w:after="0" w:line="269" w:lineRule="auto"/>
        <w:rPr>
          <w:sz w:val="20"/>
          <w:szCs w:val="20"/>
          <w:color w:val="auto"/>
        </w:rPr>
      </w:pPr>
      <w:r>
        <w:rPr>
          <w:rFonts w:ascii="Arial" w:cs="Arial" w:eastAsia="Arial" w:hAnsi="Arial"/>
          <w:sz w:val="17"/>
          <w:szCs w:val="17"/>
          <w:color w:val="auto"/>
        </w:rPr>
        <w:t>Our success will be based in part on our ability to identify, develop and commercialize a portfolio of product candidates that have a lower risk of side effects and/or provide more symptomatic improvement than competing products.</w:t>
      </w:r>
    </w:p>
    <w:p>
      <w:pPr>
        <w:spacing w:after="0" w:line="117"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For psoriasis, our primary competitors include injected biologic therapies such as Humira, marketed by AbbVie Inc. and Eisai Co., Ltd., and Enbrel, marketed by Amgen Inc.; Pfizer Inc., and Takeda Pharmaceutical Company Limited; non-injectable systemic therapies used to treat plaque psoriasis such as Otezla, marketed by Amgen Inc.; topical therapies such as branded and generic versions of clobetasol, such as Clobex, marketed by Galderma Laboratories, LP; generic versions of calcipotriene and the combination of betamethasone dipropionate/calcipotriene; and other treatments including various lasers and ultraviolet light-based therapies. In addition, there are several prescription product candidates under development that could potentially be used to treat psoriasis and compete with roflumilast cream, including tapinarof, under development by Dermavant Sciences, Inc. and deucravacitinib, an oral Tyrosine kinase type 2 (Tyk2) inhibitor under development by BMS, Inc.</w:t>
      </w:r>
    </w:p>
    <w:p>
      <w:pPr>
        <w:spacing w:after="0" w:line="117" w:lineRule="exact"/>
        <w:rPr>
          <w:sz w:val="20"/>
          <w:szCs w:val="20"/>
          <w:color w:val="auto"/>
        </w:rPr>
      </w:pPr>
    </w:p>
    <w:p>
      <w:pPr>
        <w:ind w:right="240" w:firstLine="620"/>
        <w:spacing w:after="0" w:line="255" w:lineRule="auto"/>
        <w:rPr>
          <w:sz w:val="20"/>
          <w:szCs w:val="20"/>
          <w:color w:val="auto"/>
        </w:rPr>
      </w:pPr>
      <w:r>
        <w:rPr>
          <w:rFonts w:ascii="Arial" w:cs="Arial" w:eastAsia="Arial" w:hAnsi="Arial"/>
          <w:sz w:val="17"/>
          <w:szCs w:val="17"/>
          <w:color w:val="auto"/>
        </w:rPr>
        <w:t>For atopic dermatitis, our primary competitors include topical therapies such as Eucrisa, marketed by Pfizer Inc.; Opzelura, marketed by Incyte Corporation; which was approved in September 2021, and generic and branded versions of low to mid-potency steroids such as hydrocortisone and betamethasone. In the moderate-to-severe setting, the injected biologic therapy Dupixent, marketed by Regeneron Pharmaceuticals, Inc; is approved, as well as the recently approved injectable biologic therapy Adbry, marketed by LEO Pharma. Non-injectable systemic therapies RINVOQ and CIBINQO were also recently approved in moderate-to-severe atopic dermatitis. In addition, there are several prescription product candidates under development that could potentially be used to treat atopic dermatitis and compete with roflumilast cream, including but not limited to: topical tapinarof and topical cerdulatinib, both under development by Dermavant Sciences, Inc., topical delgocitinib, under development by LEO Pharma A/S and Japan Tobacco, Inc. (approved as Corectim in Japan), topical PF-06700841, topical difamilast ointment, under development by Medimetriks/Otsuka Pharma, oral PF-04965842, under development by Pfizer Inc., and injectable lebrikizumab, under development by Eli Lilly and Company.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180" w:firstLine="620"/>
        <w:spacing w:after="0" w:line="258" w:lineRule="auto"/>
        <w:rPr>
          <w:sz w:val="20"/>
          <w:szCs w:val="20"/>
          <w:color w:val="auto"/>
        </w:rPr>
      </w:pPr>
      <w:r>
        <w:rPr>
          <w:rFonts w:ascii="Arial" w:cs="Arial" w:eastAsia="Arial" w:hAnsi="Arial"/>
          <w:sz w:val="17"/>
          <w:szCs w:val="17"/>
          <w:color w:val="auto"/>
        </w:rPr>
        <w:t>For hand eczema, our primary competitors include topical therapies such as branded and generic versions of clobetasol, such as Clobex, and generic versions of betamethasone dipropionate. The only other prescription product candidate we are aware of under development for the treatment of hand eczema that would compete with ARQ-252 is delgocitinib, under development by LEO Pharma A/S, which showed proof of concept in a Phase 2B trial.</w:t>
      </w:r>
    </w:p>
    <w:p>
      <w:pPr>
        <w:spacing w:after="0" w:line="116"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For vitiligo, our primary competitors include topical therapies such as generic and branded versions of calcineurin inhibitors, including Elidel, marketed by Bausch Health; branded and generic versions of high potency steroids, including Clobex, marketed by Galderma Laboratories, LP; and other treatments including various lasers and ultraviolet light-based therapies. In addition, there are several prescription product candidates under development that could potentially be used to treat vitiligo and compete with ARQ-252, including but not limited to: topical cerdulatinib, under development by Dermavant Sciences, Inc., Opzelura, under development by Incyte Corporation, and both oral PF-06651600 and oral PF-06700841, under development by Pfizer Inc.</w:t>
      </w:r>
    </w:p>
    <w:p>
      <w:pPr>
        <w:spacing w:after="0" w:line="132" w:lineRule="exact"/>
        <w:rPr>
          <w:sz w:val="20"/>
          <w:szCs w:val="20"/>
          <w:color w:val="auto"/>
        </w:rPr>
      </w:pPr>
    </w:p>
    <w:p>
      <w:pPr>
        <w:ind w:right="240" w:firstLine="620"/>
        <w:spacing w:after="0" w:line="256" w:lineRule="auto"/>
        <w:rPr>
          <w:sz w:val="20"/>
          <w:szCs w:val="20"/>
          <w:color w:val="auto"/>
        </w:rPr>
      </w:pPr>
      <w:r>
        <w:rPr>
          <w:rFonts w:ascii="Arial" w:cs="Arial" w:eastAsia="Arial" w:hAnsi="Arial"/>
          <w:sz w:val="17"/>
          <w:szCs w:val="17"/>
          <w:color w:val="auto"/>
        </w:rPr>
        <w:t>For alopecia areata, our primary competitors include topical therapies such as branded and generic versions of high potency steroids, including Clobex, marketed by Galderma Laboratories, LP; intralesional corticosteroid injections such as branded and generic versions of triamcinolone, including Kenalog, marketed by Bristol-Myers Squib; and systemic immunosuppressants including generic versions of systemic steroids such as prednisone, branded and generic versions of cyclosporine, including Sandimmune, marketed by Sandoz, and branded systemic JAK inhibitors, including Xeljanz, marketed by Pfizer, Inc.. In addition, there are several prescription product candidates under development that could potentially be used to treat alopecia areata and compete with ARQ-255, including but not limited to: PF-6700841 and PF-06651600, under development by Pfizer, Inc., CTP-543, under development by Concert Pharmaceuticals, and baricitinib, under development by Eli Lilly and Company.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Commercial Operations</w:t>
      </w:r>
    </w:p>
    <w:p>
      <w:pPr>
        <w:spacing w:after="0" w:line="162"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We intend to build our own commercial infrastructure in the United States and Canada to support the commercialization of our product candidates. We have begun to build commercial infrastructure given that regulatory approval of our first product candidate appears reasonably likely. We plan to build our own small specialty sales force to target dermatologists, with approximately 100 field-based staff. We may seek partnerships that allow us to target pediatricians and primary care physicians if required to maximize the potential of our product candidates. We have begun hiring the required sales, marketing, access and reimbursement, sales support, and distribution capabilities to prepare for commercialization. To develop the required commercial infrastructure, we will have to invest substantial financial and management resources, some of which will be committed prior to any confirmation that our product candidates will be approved, and we could invest resources and then later learn that a particular product candidate is not being approved. We may also seek other partners to help us access other geographic markets.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Intellectual Property</w:t>
      </w:r>
    </w:p>
    <w:p>
      <w:pPr>
        <w:spacing w:after="0" w:line="175" w:lineRule="exact"/>
        <w:rPr>
          <w:sz w:val="20"/>
          <w:szCs w:val="20"/>
          <w:color w:val="auto"/>
        </w:rPr>
      </w:pPr>
    </w:p>
    <w:p>
      <w:pPr>
        <w:ind w:right="40" w:firstLine="620"/>
        <w:spacing w:after="0" w:line="257" w:lineRule="auto"/>
        <w:rPr>
          <w:sz w:val="20"/>
          <w:szCs w:val="20"/>
          <w:color w:val="auto"/>
        </w:rPr>
      </w:pPr>
      <w:r>
        <w:rPr>
          <w:rFonts w:ascii="Arial" w:cs="Arial" w:eastAsia="Arial" w:hAnsi="Arial"/>
          <w:sz w:val="17"/>
          <w:szCs w:val="17"/>
          <w:color w:val="auto"/>
        </w:rPr>
        <w:t>Maintaining proprietary rights in our product candidates and technologies will assist in achieving the success of our business. One way in which we obtain and maintain such proprietary rights is by filing patent applications and maintaining patents covering our core technologies and product candidates. Our policy is to file such patent applications in the United States and select foreign countries to better protect our worldwide interests. We also seek to avoid infringing the proprietary rights of others. For this reason, we routinely monitor and evaluate third-party patents and publications, and, if necessary, take appropriate action based on that evaluation.</w:t>
      </w:r>
    </w:p>
    <w:p>
      <w:pPr>
        <w:spacing w:after="0" w:line="116"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Patent term is based on the filing or grant date of the patent, as well as the governing law of the country in which the patent is obtained. In the United States, some pharmaceutical patents are also eligible for Patent Term Extension, or PTE, which can extend exclusivity for up to 5 additional years under certain conditions. The protection provided by a patent varies from country to country, and is dependent on the type of patent granted, the scope of the patent claims, and the legal remedies available in a given country.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60" w:firstLine="620"/>
        <w:spacing w:after="0" w:line="261" w:lineRule="auto"/>
        <w:rPr>
          <w:sz w:val="20"/>
          <w:szCs w:val="20"/>
          <w:color w:val="auto"/>
        </w:rPr>
      </w:pPr>
      <w:r>
        <w:rPr>
          <w:rFonts w:ascii="Arial" w:cs="Arial" w:eastAsia="Arial" w:hAnsi="Arial"/>
          <w:sz w:val="17"/>
          <w:szCs w:val="17"/>
          <w:color w:val="auto"/>
        </w:rPr>
        <w:t>As of February 22, 2022, we own or have an exclusive license to 13 issued U.S. patents and 15 issued foreign patents, which include granted European patent rights that have been validated in various European Union (EU) member states, and 11 pending U.S. patent applications, 43 pending foreign patent applications and two applications filed under the Patent Cooperation Treaty. Of these patents and patent applications:</w:t>
      </w:r>
    </w:p>
    <w:p>
      <w:pPr>
        <w:spacing w:after="0" w:line="180" w:lineRule="exact"/>
        <w:rPr>
          <w:sz w:val="20"/>
          <w:szCs w:val="20"/>
          <w:color w:val="auto"/>
        </w:rPr>
      </w:pPr>
    </w:p>
    <w:p>
      <w:pPr>
        <w:ind w:left="780" w:right="100" w:hanging="156"/>
        <w:spacing w:after="0" w:line="235" w:lineRule="auto"/>
        <w:tabs>
          <w:tab w:leader="none" w:pos="776"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Roflumilast cream &amp; roflumilast foam</w:t>
      </w:r>
      <w:r>
        <w:rPr>
          <w:rFonts w:ascii="Arial" w:cs="Arial" w:eastAsia="Arial" w:hAnsi="Arial"/>
          <w:sz w:val="17"/>
          <w:szCs w:val="17"/>
          <w:color w:val="auto"/>
        </w:rPr>
        <w:t>: As of February 22, 2022, we own seven issued U.S. patents, one issued Canadian patent, one</w:t>
      </w:r>
      <w:r>
        <w:rPr>
          <w:rFonts w:ascii="Arial" w:cs="Arial" w:eastAsia="Arial" w:hAnsi="Arial"/>
          <w:sz w:val="17"/>
          <w:szCs w:val="17"/>
          <w:b w:val="1"/>
          <w:bCs w:val="1"/>
          <w:color w:val="auto"/>
        </w:rPr>
        <w:t xml:space="preserve"> </w:t>
      </w:r>
      <w:r>
        <w:rPr>
          <w:rFonts w:ascii="Arial" w:cs="Arial" w:eastAsia="Arial" w:hAnsi="Arial"/>
          <w:sz w:val="17"/>
          <w:szCs w:val="17"/>
          <w:color w:val="auto"/>
        </w:rPr>
        <w:t>issued Japanese patent, one issued Chinese patent, one issued Hong Kong patent, seven pending U.S. patent applications, and</w:t>
      </w:r>
    </w:p>
    <w:p>
      <w:pPr>
        <w:ind w:left="780" w:right="20"/>
        <w:spacing w:after="0" w:line="225" w:lineRule="auto"/>
        <w:rPr>
          <w:rFonts w:ascii="Arial" w:cs="Arial" w:eastAsia="Arial" w:hAnsi="Arial"/>
          <w:sz w:val="17"/>
          <w:szCs w:val="17"/>
          <w:color w:val="auto"/>
        </w:rPr>
      </w:pPr>
      <w:r>
        <w:rPr>
          <w:rFonts w:ascii="Arial" w:cs="Arial" w:eastAsia="Arial" w:hAnsi="Arial"/>
          <w:sz w:val="17"/>
          <w:szCs w:val="17"/>
          <w:color w:val="auto"/>
        </w:rPr>
        <w:t>43 pending foreign applications (two in Canada; three each in Hong Kong, Japan, Mexico, New Zealand, India, Australia, Europe, Israel, Brazil, China, Korea and Eurasia; and five under the Patent Cooperation Treaty), relating to roflumilast cream and roflumilast foam. The issued U.S. patent that we have licensed from AstraZeneca claiming a composition of matter encompassing roflumilast, the active pharmaceutical ingredient in roflumilast cream and roflumilast foam, expired on January 27, 2020. Data exclusivity for oral roflumilast expired on January 23, 2021. Our issued patents relating to roflumilast cream and roflumilast foam contain claims directed to, among other things, formulating roflumilast in combination with hexylene glycol, methods of making such formulations, and methods of treatment using such formulations, and a method for improving treatment adherence by improving delivery and extending the plasma half-life of a roflumilast composition. These issued U.S. patents relating to roflumilast cream and roflumilast foam will expire not earlier than June 2037 (excluding any potential PTE). Our pending patents relating to roflumilast cream and roflumilast foam contain claims directed to, among other things, other aspects of our roflumilast formulations, as well as unique pharmacokinetic aspects of topical roflumilast.</w:t>
      </w:r>
    </w:p>
    <w:p>
      <w:pPr>
        <w:spacing w:after="0" w:line="225" w:lineRule="exact"/>
        <w:rPr>
          <w:rFonts w:ascii="Arial" w:cs="Arial" w:eastAsia="Arial" w:hAnsi="Arial"/>
          <w:sz w:val="17"/>
          <w:szCs w:val="17"/>
          <w:color w:val="auto"/>
        </w:rPr>
      </w:pPr>
    </w:p>
    <w:p>
      <w:pPr>
        <w:ind w:left="780" w:right="20" w:hanging="156"/>
        <w:spacing w:after="0" w:line="222" w:lineRule="auto"/>
        <w:tabs>
          <w:tab w:leader="none" w:pos="775" w:val="left"/>
        </w:tabs>
        <w:numPr>
          <w:ilvl w:val="0"/>
          <w:numId w:val="14"/>
        </w:numPr>
        <w:rPr>
          <w:rFonts w:ascii="Arial" w:cs="Arial" w:eastAsia="Arial" w:hAnsi="Arial"/>
          <w:sz w:val="21"/>
          <w:szCs w:val="21"/>
          <w:color w:val="auto"/>
        </w:rPr>
      </w:pPr>
      <w:r>
        <w:rPr>
          <w:rFonts w:ascii="Arial" w:cs="Arial" w:eastAsia="Arial" w:hAnsi="Arial"/>
          <w:sz w:val="17"/>
          <w:szCs w:val="17"/>
          <w:b w:val="1"/>
          <w:bCs w:val="1"/>
          <w:color w:val="auto"/>
        </w:rPr>
        <w:t>ARQ-252 &amp; ARQ-255</w:t>
      </w:r>
      <w:r>
        <w:rPr>
          <w:rFonts w:ascii="Arial" w:cs="Arial" w:eastAsia="Arial" w:hAnsi="Arial"/>
          <w:sz w:val="17"/>
          <w:szCs w:val="17"/>
          <w:color w:val="auto"/>
        </w:rPr>
        <w:t>: As of February 22, 2022, we have an exclusive license from Hengrui to six issued U.S. patents, five issued</w:t>
      </w:r>
      <w:r>
        <w:rPr>
          <w:rFonts w:ascii="Arial" w:cs="Arial" w:eastAsia="Arial" w:hAnsi="Arial"/>
          <w:sz w:val="17"/>
          <w:szCs w:val="17"/>
          <w:b w:val="1"/>
          <w:bCs w:val="1"/>
          <w:color w:val="auto"/>
        </w:rPr>
        <w:t xml:space="preserve"> </w:t>
      </w:r>
      <w:r>
        <w:rPr>
          <w:rFonts w:ascii="Arial" w:cs="Arial" w:eastAsia="Arial" w:hAnsi="Arial"/>
          <w:sz w:val="17"/>
          <w:szCs w:val="17"/>
          <w:color w:val="auto"/>
        </w:rPr>
        <w:t>Japanese patents, and five issued EU patents (validated in a number of EU member states, including for certain applications, Austria, Belgium, Bulgaria, Croatia, the Czech Republic, Estonia, Denmark, Finland, France, Germany, Greece, Hungary, Ireland, Italy, Lithuania, Luxemburg, Monaco, Norway, Poland, Portugal, Romania, San Marino, Serbia, Slovenia, Slovakia, Spain, Sweden, Switzerland, Turkey, and the United Kingdom), one pending U.S. patent application, three pending Japanese patent applications, and two pending EU patent applications relating to SHR0302. These patents and patent applications contain claims directed towards the composition of matter of the SHR0302 compound and bisulfate and crystalline forms thereof, pharmaceutical compositions and treatment methods. The issued patents and pending applications, if issued, relating to SHR0302 will not begin to expire until 2033. We have filed three pending U.S. patent applications and three patent applications under the Patent Cooperation Treaty relating to, among other things, SHR0302 formulations and methods of treatment. We anticipate filing additional patent applications directed towards formulations, methods and other aspects of our technology relating to ARQ-252 and ARQ-255 which we may develop in the future.</w:t>
      </w:r>
    </w:p>
    <w:p>
      <w:pPr>
        <w:spacing w:after="0" w:line="122" w:lineRule="exact"/>
        <w:rPr>
          <w:sz w:val="20"/>
          <w:szCs w:val="20"/>
          <w:color w:val="auto"/>
        </w:rPr>
      </w:pPr>
    </w:p>
    <w:p>
      <w:pPr>
        <w:ind w:firstLine="620"/>
        <w:spacing w:after="0" w:line="261" w:lineRule="auto"/>
        <w:rPr>
          <w:sz w:val="20"/>
          <w:szCs w:val="20"/>
          <w:color w:val="auto"/>
        </w:rPr>
      </w:pPr>
      <w:r>
        <w:rPr>
          <w:rFonts w:ascii="Arial" w:cs="Arial" w:eastAsia="Arial" w:hAnsi="Arial"/>
          <w:sz w:val="17"/>
          <w:szCs w:val="17"/>
          <w:color w:val="auto"/>
        </w:rPr>
        <w:t>Obtaining patent protection is not the only method that we employ to protect our propriety rights. We also utilize other forms of intellectual property protection, including trademark, and trade secrets, when those other forms are better suited to protect a particular aspect of our intellectual property. Our belief is that our propriety rights are strengthened by our comprehensive approach to intellectual property protection.</w:t>
      </w:r>
    </w:p>
    <w:p>
      <w:pPr>
        <w:spacing w:after="0" w:line="125" w:lineRule="exact"/>
        <w:rPr>
          <w:sz w:val="20"/>
          <w:szCs w:val="20"/>
          <w:color w:val="auto"/>
        </w:rPr>
      </w:pPr>
    </w:p>
    <w:p>
      <w:pPr>
        <w:ind w:right="200" w:firstLine="620"/>
        <w:spacing w:after="0" w:line="257" w:lineRule="auto"/>
        <w:rPr>
          <w:sz w:val="20"/>
          <w:szCs w:val="20"/>
          <w:color w:val="auto"/>
        </w:rPr>
      </w:pPr>
      <w:r>
        <w:rPr>
          <w:rFonts w:ascii="Arial" w:cs="Arial" w:eastAsia="Arial" w:hAnsi="Arial"/>
          <w:sz w:val="17"/>
          <w:szCs w:val="17"/>
          <w:color w:val="auto"/>
        </w:rPr>
        <w:t>Maintaining the confidential nature of our non-publicly disclosed products and technologies is of paramount importance. For this reason, our employees, contractors, consultants and advisors are required to enter into nondisclosure and invention assignment agreements when their employment or engagement commences. Those individuals also enter into agreements that prohibit the communication or implementation of any third-party proprietary rights during the course of their employment with us. We also require any third-party that may receive our confidential information or materials to enter into confidentiality agreements prior to receipt of that information or material.</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Exclusive License and Option Agreements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AstraZeneca</w:t>
      </w:r>
    </w:p>
    <w:p>
      <w:pPr>
        <w:spacing w:after="0" w:line="173"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In July 2018, we entered into an exclusive license agreement, or the AstraZeneca License Agreement, with AstraZeneca, pursuant to which we obtained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We intend to develop topical formulations of roflumilast for the treatment of psoriasis and atopic dermatitis, as well as other dermatological conditions. Under this agreement, we have sole responsibility for development, regulatory, and commercialization activities for the AZ-Licensed Products in the Dermatology Field, at our expense, and we shall use commercially reasonable efforts to develop, obtain, and maintain regulatory approvals for, and commercialize the AZ-Licensed Products in the Dermatology Field in each of the United States, Italy, Spain, Germany, the United Kingdom, France, China, and Japan. Pursuant to the agreement, AstraZeneca provided us with certain quantities of roflumilast at a negotiated price for development purposes.</w:t>
      </w:r>
    </w:p>
    <w:p>
      <w:pPr>
        <w:spacing w:after="0" w:line="133"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We paid AstraZeneca an upfront non-refundable cash payment of $1.0 million and issued 484,388 shares of our Series B convertible preferred stock, valued at $3.0 million on the date of the AstraZeneca License Agreement. We subsequently paid AstraZeneca the first milestone cash payment of $2.0 million upon the completion of a Phase 2b study of roflumilast cream in plaque psoriasis in August 2019 for the achievement of positive Phase 2 data for an AZ-Licensed Product. We have agreed to make additional cash payments to AstraZeneca of up to an aggregate of $12.5 million upon the achievement of specific regulatory approval milestones with respect to the AZ-Licensed Products, which includes $7.5 million upon FDA approval of our first product, and payments up to an additional aggregate amount of $15.0 million upon the achievement of certain aggregate worldwide net sales milestones. With respect to any AZ-Licensed Products we commercialize under the AstraZeneca License Agreement, we will pay AstraZeneca a low to high single-digit percentage royalty rate on our, our affiliates’, and our sublicensees’ net sales of such AZ-Licensed Products, until, as determined on a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The agreement continues in effect until the expiration of all royalty obligations as described above, unless earlier terminated: (1) by either party upon written notice for the other party’s material breach or insolvency event if such party fails to cure such breach or the insolvency event is not dismissed within specified time periods; (2) by AstraZeneca if we, our affiliates, or our sublicensees take actions to invalidate AstraZeneca-licensed patent rights, or if we permanently cease development of all AZ-Licensed Products, and an AZ-Licensed Product is not being commercialized by us; or (3) by us upon 120 days’ written notice or in the event of certain adverse clinical trial or other regulatory outcomes. In the event the agreement is terminated, except by us for AstraZeneca’s material breach or in the event of certain adverse clinical trial or other regulatory outcomes, we will be obligated to pay a termination fee in the amount of $5.0 million or 3% of net sales of AZ-Licensed Products for the 3-year period following the first regulatory approval of an AZ-Licensed Product, whichever is greater.</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Jiangsu Hengrui Medicine Co., Ltd</w:t>
      </w:r>
    </w:p>
    <w:p>
      <w:pPr>
        <w:spacing w:after="0" w:line="173" w:lineRule="exact"/>
        <w:rPr>
          <w:sz w:val="20"/>
          <w:szCs w:val="20"/>
          <w:color w:val="auto"/>
        </w:rPr>
      </w:pPr>
    </w:p>
    <w:p>
      <w:pPr>
        <w:ind w:right="200" w:firstLine="620"/>
        <w:spacing w:after="0" w:line="257" w:lineRule="auto"/>
        <w:rPr>
          <w:sz w:val="20"/>
          <w:szCs w:val="20"/>
          <w:color w:val="auto"/>
        </w:rPr>
      </w:pPr>
      <w:r>
        <w:rPr>
          <w:rFonts w:ascii="Arial" w:cs="Arial" w:eastAsia="Arial" w:hAnsi="Arial"/>
          <w:sz w:val="17"/>
          <w:szCs w:val="17"/>
          <w:color w:val="auto"/>
        </w:rPr>
        <w:t>In January 2018, we entered into an exclusive option and license agreement, or the Hengrui License Agreement, with Jiangsu Hengrui Medicine Co., Ltd, or Hengrui, whereby Hengrui granted us an exclusive option to obtain certain exclusive rights to research, develop, and commercialize products containing the compound designated by Hengrui as SHR0302, a JAK inhibitor, in topical formulations for the treatment of skin diseases, disorders, and conditions, or the Field, in the United States, Japan, and the EU (including for clarity the United Kingdom), or the Territory.</w:t>
      </w:r>
    </w:p>
    <w:p>
      <w:pPr>
        <w:spacing w:after="0" w:line="129"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In December 2019, we exercised our exclusive option, and also contemporaneously amended the agreement to expand the territory to additionally include Canada, and therefore now have a license from Hengrui under certain patent rights and know-how controlled by Hengrui to research, develop and commercialize products containing SHR0302 in the Field in the Territory. Such license is sublicensable through multiple tiers, exclusive as to the patent rights licensed from Hengrui and nonexclusive with respect to the know-how licensed from Hengrui, and does not extend to patent rights for improvements to SHR0302 which Hengrui may come to control in the future unless otherwise mutually agreed by the parties. In addition, we have sole responsibility for development, regulatory, marketing and commercialization activities to be conducted for the licensed products in the Field and in the Territory, at our sole cost and discretion, and shall use commercially reasonable efforts to (1) develop at least one licensed product and to (2) commercialize the licensed products following regulatory approval thereof. Pursuant to the Hengrui License Agreement, a joint coordination committee reviews the progress of development and commercialization of each parties’ products containing SHR0302 in their respective territories and fields.</w:t>
      </w:r>
    </w:p>
    <w:p>
      <w:pPr>
        <w:spacing w:after="0" w:line="120"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During the term of the Hengrui License Agreement, if we acquire or develop certain JAK inhibitor products that are not controlled by Hengrui, or Competing Products, we must negotiate in good faith with Hengrui whether to terminate the agreement or license to Hengrui the right to develop and commercialize such Competing Product in China. During the term of the Hengrui License Agreement, Hengrui will not develop or commercialize SHR0302 or any licensed product in the Field in the Territory. Additionally, if Hengrui decides to develop or commercialize a non-topical formulation of SHR0302 for the treatment of certain dermatologic indications in the Territory, we have the first right to negotiate a co-development and/or co-commercialization agreement with Hengrui for the same. We also have the right of first refusal if Hengrui decides to out-license a non-topical formulation of SHR0302 for the treatment of certain dermatologic indications in the Territory to a third-party during such period.</w:t>
      </w:r>
    </w:p>
    <w:p>
      <w:pPr>
        <w:spacing w:after="0" w:line="130" w:lineRule="exact"/>
        <w:rPr>
          <w:sz w:val="20"/>
          <w:szCs w:val="20"/>
          <w:color w:val="auto"/>
        </w:rPr>
      </w:pPr>
    </w:p>
    <w:p>
      <w:pPr>
        <w:ind w:right="60" w:firstLine="620"/>
        <w:spacing w:after="0" w:line="253" w:lineRule="auto"/>
        <w:rPr>
          <w:sz w:val="20"/>
          <w:szCs w:val="20"/>
          <w:color w:val="auto"/>
        </w:rPr>
      </w:pPr>
      <w:r>
        <w:rPr>
          <w:rFonts w:ascii="Arial" w:cs="Arial" w:eastAsia="Arial" w:hAnsi="Arial"/>
          <w:sz w:val="17"/>
          <w:szCs w:val="17"/>
          <w:color w:val="auto"/>
        </w:rPr>
        <w:t>We made a $0.4 million upfront non-refundable cash payment to Hengrui upon execution of the Hengrui License Agreement option and license agreement. We also made a $1.5 million cash payment in connection with the exercise of our exclusive option. In addition, we have agreed to make cash payments of up to an aggregate of $20.5 million upon our achievement of specified clinical development and regulatory approval milestones with respect to the licensed products and cash payments of up to an additional $200.0 million in sales-based milestones based on achieving certain aggregate annual net sales volumes with respect to a licensed product. With respect to any products we commercialize under the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the expiration of the last valid claim of the licensed patent rights covering such licensed product in such country and</w:t>
      </w:r>
    </w:p>
    <w:p>
      <w:pPr>
        <w:spacing w:after="0" w:line="5" w:lineRule="exact"/>
        <w:rPr>
          <w:sz w:val="20"/>
          <w:szCs w:val="20"/>
          <w:color w:val="auto"/>
        </w:rPr>
      </w:pPr>
    </w:p>
    <w:p>
      <w:pPr>
        <w:ind w:right="260" w:firstLine="3"/>
        <w:spacing w:after="0" w:line="258" w:lineRule="auto"/>
        <w:tabs>
          <w:tab w:leader="none" w:pos="25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240" w:firstLine="620"/>
        <w:spacing w:after="0" w:line="258" w:lineRule="auto"/>
        <w:rPr>
          <w:sz w:val="20"/>
          <w:szCs w:val="20"/>
          <w:color w:val="auto"/>
        </w:rPr>
      </w:pPr>
      <w:r>
        <w:rPr>
          <w:rFonts w:ascii="Arial" w:cs="Arial" w:eastAsia="Arial" w:hAnsi="Arial"/>
          <w:sz w:val="17"/>
          <w:szCs w:val="17"/>
          <w:color w:val="auto"/>
        </w:rPr>
        <w:t>The agreement continues in effect until the expiration of our obligation to pay royalties as described above, unless earlier terminated in accordance with the following: (1) by either party upon written notice for the other party’s material breach or insolvency event if such party fails to cure such breach or the insolvency event is not dismissed within specified time periods; and (2) by us for convenience upon 90 days prior written notice to Hengrui and having discussed and consulted any potential cause or concern with Hengrui in good faith.</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Government Regulation</w:t>
      </w:r>
    </w:p>
    <w:p>
      <w:pPr>
        <w:spacing w:after="0" w:line="175"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We, along with any third-party contractors, will be required to navigate the various nonclinical, clinical, and commercial approval requirements of the governing regulatory agencies of the countries in which we wish to conduct studies or seek approval of our products and product candidates.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Drug Development Process</w:t>
      </w:r>
    </w:p>
    <w:p>
      <w:pPr>
        <w:spacing w:after="0" w:line="160" w:lineRule="exact"/>
        <w:rPr>
          <w:sz w:val="20"/>
          <w:szCs w:val="20"/>
          <w:color w:val="auto"/>
        </w:rPr>
      </w:pPr>
    </w:p>
    <w:p>
      <w:pPr>
        <w:ind w:right="60" w:firstLine="620"/>
        <w:spacing w:after="0" w:line="258" w:lineRule="auto"/>
        <w:rPr>
          <w:sz w:val="20"/>
          <w:szCs w:val="20"/>
          <w:color w:val="auto"/>
        </w:rPr>
      </w:pPr>
      <w:r>
        <w:rPr>
          <w:rFonts w:ascii="Arial" w:cs="Arial" w:eastAsia="Arial" w:hAnsi="Arial"/>
          <w:sz w:val="17"/>
          <w:szCs w:val="17"/>
          <w:color w:val="auto"/>
        </w:rPr>
        <w:t>In the United States, the FDA regulates drugs under the Federal Food, Drug, and Cosmetic Act (FDCA) and its implementing regulations. The process of obtaining regulatory approvals and the subsequent compliance with appropriate federal, state, local, and foreign statutes and regulations require the expenditure of substantial time and financial resources. The process required by the FDA before a drug may be marketed in the United States generally involves the following:</w:t>
      </w:r>
    </w:p>
    <w:p>
      <w:pPr>
        <w:spacing w:after="0" w:line="129" w:lineRule="exact"/>
        <w:rPr>
          <w:sz w:val="20"/>
          <w:szCs w:val="20"/>
          <w:color w:val="auto"/>
        </w:rPr>
      </w:pPr>
    </w:p>
    <w:p>
      <w:pPr>
        <w:ind w:left="780" w:right="300" w:hanging="156"/>
        <w:spacing w:after="0" w:line="269"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completion of nonclinical laboratory tests, animal studies, and formulation studies in accordance with FDA’s Good Laboratory Practice (GLP) requirements and other applicable regulations;</w:t>
      </w:r>
    </w:p>
    <w:p>
      <w:pPr>
        <w:spacing w:after="0" w:line="117" w:lineRule="exact"/>
        <w:rPr>
          <w:rFonts w:ascii="Arial" w:cs="Arial" w:eastAsia="Arial" w:hAnsi="Arial"/>
          <w:sz w:val="17"/>
          <w:szCs w:val="17"/>
          <w:color w:val="auto"/>
        </w:rPr>
      </w:pPr>
    </w:p>
    <w:p>
      <w:pPr>
        <w:ind w:left="780" w:right="300" w:hanging="156"/>
        <w:spacing w:after="0" w:line="269"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(IND) which must become effective before human clinical trials may begin;</w:t>
      </w:r>
    </w:p>
    <w:p>
      <w:pPr>
        <w:spacing w:after="0" w:line="143" w:lineRule="exact"/>
        <w:rPr>
          <w:rFonts w:ascii="Arial" w:cs="Arial" w:eastAsia="Arial" w:hAnsi="Arial"/>
          <w:sz w:val="17"/>
          <w:szCs w:val="17"/>
          <w:color w:val="auto"/>
        </w:rPr>
      </w:pPr>
    </w:p>
    <w:p>
      <w:pPr>
        <w:ind w:left="780" w:hanging="156"/>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or ethics committee at each clinical site before each trial may be initiated;</w:t>
      </w:r>
    </w:p>
    <w:p>
      <w:pPr>
        <w:spacing w:after="0" w:line="192" w:lineRule="exact"/>
        <w:rPr>
          <w:rFonts w:ascii="Arial" w:cs="Arial" w:eastAsia="Arial" w:hAnsi="Arial"/>
          <w:sz w:val="17"/>
          <w:szCs w:val="17"/>
          <w:color w:val="auto"/>
        </w:rPr>
      </w:pPr>
    </w:p>
    <w:p>
      <w:pPr>
        <w:ind w:left="780" w:right="20" w:hanging="156"/>
        <w:spacing w:after="0" w:line="269"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practices (GCP) to establish the safety and efficacy of the proposed drug for its intended use;</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preparation of and submission to the FDA of an NDA after completion of all pivotal trials;</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an NDA to file the application for review;</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153" w:lineRule="exact"/>
        <w:rPr>
          <w:rFonts w:ascii="Arial" w:cs="Arial" w:eastAsia="Arial" w:hAnsi="Arial"/>
          <w:sz w:val="17"/>
          <w:szCs w:val="17"/>
          <w:color w:val="auto"/>
        </w:rPr>
      </w:pPr>
    </w:p>
    <w:p>
      <w:pPr>
        <w:ind w:left="780" w:right="80" w:hanging="156"/>
        <w:spacing w:after="0" w:line="261"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of selected clinical investigation sites to assess compliance with GCPs; and</w:t>
      </w:r>
    </w:p>
    <w:p>
      <w:pPr>
        <w:spacing w:after="0" w:line="111" w:lineRule="exact"/>
        <w:rPr>
          <w:rFonts w:ascii="Arial" w:cs="Arial" w:eastAsia="Arial" w:hAnsi="Arial"/>
          <w:sz w:val="17"/>
          <w:szCs w:val="17"/>
          <w:color w:val="auto"/>
        </w:rPr>
      </w:pPr>
    </w:p>
    <w:p>
      <w:pPr>
        <w:ind w:left="780" w:hanging="156"/>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FDA review and approval of the NDA to permit commercial marketing of the product for particular indications for use in the United States.</w:t>
      </w:r>
    </w:p>
    <w:p>
      <w:pPr>
        <w:spacing w:after="0" w:line="153"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Pharmaceutical product development for a new product or certain changes to an approved product in the United States typically involves nonclinical laboratory and animal tests, the submission to the FDA of an IND, which must become effective before clinical testing may commence, and adequate and well -controlled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40" w:firstLine="620"/>
        <w:spacing w:after="0" w:line="255" w:lineRule="auto"/>
        <w:rPr>
          <w:sz w:val="20"/>
          <w:szCs w:val="20"/>
          <w:color w:val="auto"/>
        </w:rPr>
      </w:pPr>
      <w:r>
        <w:rPr>
          <w:rFonts w:ascii="Arial" w:cs="Arial" w:eastAsia="Arial" w:hAnsi="Arial"/>
          <w:sz w:val="17"/>
          <w:szCs w:val="17"/>
          <w:color w:val="auto"/>
        </w:rPr>
        <w:t>Nonclinical tests include laboratory evaluation of product chemistry, formulation, and toxicity, as well as animal studies to assess the characteristics and potential safety and activity of the product. The conduct of the nonclinical tests must comply with federal regulations and requirements, including GLP requirements, when applicable. The results of preclinical testing are submitted to the FDA as part of an IND along with other information, including information about product chemistry, manufacturing, and control, and a proposed clinical trial protocol. Long-term nonclinical tests, such as animal studies evaluating reproductive toxicity and carcinogenicity, may continue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21" w:lineRule="exact"/>
        <w:rPr>
          <w:sz w:val="20"/>
          <w:szCs w:val="20"/>
          <w:color w:val="auto"/>
        </w:rPr>
      </w:pPr>
    </w:p>
    <w:p>
      <w:pPr>
        <w:ind w:right="40" w:firstLine="620"/>
        <w:spacing w:after="0" w:line="255" w:lineRule="auto"/>
        <w:rPr>
          <w:sz w:val="20"/>
          <w:szCs w:val="20"/>
          <w:color w:val="auto"/>
        </w:rPr>
      </w:pPr>
      <w:r>
        <w:rPr>
          <w:rFonts w:ascii="Arial" w:cs="Arial" w:eastAsia="Arial" w:hAnsi="Arial"/>
          <w:sz w:val="17"/>
          <w:szCs w:val="17"/>
          <w:color w:val="auto"/>
        </w:rPr>
        <w:t>Clinical trials involve the administration of the investigational drug product to healthy volunteers or patients under the supervision of a qualified investigator. Clinical trials must be conducted in accordance with GCP requirements, an international standard meant to protect the rights and health of patients and to define the roles of clinical trial sponsors, administrators, and monitors. Clinical trials are conducted under protocols detailing, among other things, the objectives of the trial, the parameters to be used in monitoring safety, and the effectiveness criteria to be evaluated. Each protocol involving testing on U.S. patients and subsequent protocol amendments must be submitted to the FDA as part of the IND.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32"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Furthermore, an independent IRB for each site proposing to conduct each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30" w:lineRule="exact"/>
        <w:rPr>
          <w:sz w:val="20"/>
          <w:szCs w:val="20"/>
          <w:color w:val="auto"/>
        </w:rPr>
      </w:pPr>
    </w:p>
    <w:p>
      <w:pPr>
        <w:ind w:right="60" w:firstLine="620"/>
        <w:spacing w:after="0" w:line="269" w:lineRule="auto"/>
        <w:rPr>
          <w:sz w:val="20"/>
          <w:szCs w:val="20"/>
          <w:color w:val="auto"/>
        </w:rPr>
      </w:pPr>
      <w:r>
        <w:rPr>
          <w:rFonts w:ascii="Arial" w:cs="Arial" w:eastAsia="Arial" w:hAnsi="Arial"/>
          <w:sz w:val="17"/>
          <w:szCs w:val="17"/>
          <w:color w:val="auto"/>
        </w:rPr>
        <w:t>Clinical trials to support NDAs for marketing approval are typically conducted in three sequential phases, but the phases may overlap or be combined:</w:t>
      </w:r>
    </w:p>
    <w:p>
      <w:pPr>
        <w:spacing w:after="0" w:line="104" w:lineRule="exact"/>
        <w:rPr>
          <w:sz w:val="20"/>
          <w:szCs w:val="20"/>
          <w:color w:val="auto"/>
        </w:rPr>
      </w:pPr>
    </w:p>
    <w:p>
      <w:pPr>
        <w:ind w:left="780" w:right="120" w:hanging="156"/>
        <w:spacing w:after="0" w:line="261"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24" w:lineRule="exact"/>
        <w:rPr>
          <w:rFonts w:ascii="Arial" w:cs="Arial" w:eastAsia="Arial" w:hAnsi="Arial"/>
          <w:sz w:val="17"/>
          <w:szCs w:val="17"/>
          <w:color w:val="auto"/>
        </w:rPr>
      </w:pPr>
    </w:p>
    <w:p>
      <w:pPr>
        <w:ind w:left="780" w:right="140" w:hanging="156"/>
        <w:spacing w:after="0" w:line="261"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Phase 3 clinical trials.</w:t>
      </w:r>
    </w:p>
    <w:p>
      <w:pPr>
        <w:spacing w:after="0" w:line="124" w:lineRule="exact"/>
        <w:rPr>
          <w:rFonts w:ascii="Arial" w:cs="Arial" w:eastAsia="Arial" w:hAnsi="Arial"/>
          <w:sz w:val="17"/>
          <w:szCs w:val="17"/>
          <w:color w:val="auto"/>
        </w:rPr>
      </w:pPr>
    </w:p>
    <w:p>
      <w:pPr>
        <w:ind w:left="780" w:right="140" w:hanging="156"/>
        <w:spacing w:after="0" w:line="258"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w:t>
      </w:r>
    </w:p>
    <w:p>
      <w:pPr>
        <w:spacing w:after="0" w:line="116"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Concurrent with clinical trials, developers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Review and Approval Process</w:t>
      </w:r>
    </w:p>
    <w:p>
      <w:pPr>
        <w:spacing w:after="0" w:line="173"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Assuming successful completion of the required clinical studies in accordance with all applicable regulatory requirements, an NDA is prepared and submitted to the FDA. FDA approval of the NDA is required before marketing of the product may begin in the United States. The NDA must include the results of all nonclinical, clinical, and other testing, and a compilation of data relating to the product’s pharmacology, chemistry,</w:t>
      </w:r>
    </w:p>
    <w:p>
      <w:pPr>
        <w:spacing w:after="0" w:line="2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manufacture, and controls. Data can come from company-sponsored clinical studies intended to test the safety and effectiveness of a use of the product, or from a number of alternative sources, including studies initiated by independent investigators. The cost of preparing and submitting an NDA is substantial. The submission of most NDAs is additionally subject to a substantial application user fee, and the manufacturer and/or sponsor of an approved NDA is also subject to an annual program fee. Waivers of application user fees may be obtained in certain limited circumstances.</w:t>
      </w:r>
    </w:p>
    <w:p>
      <w:pPr>
        <w:spacing w:after="0" w:line="116"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The FDA has 60 days from its receipt of an NDA to determine whether the application will be accepted for review, or “filed” by FDA, based on the FDA’s threshold determination that it is sufficiently complete to permit substantive review. The FDA may refuse to file any NDA that it deems incomplete or not properly reviewable at the time of submission and may request additional information. In this event, the additional information must be included in any resubmitted NDA, which is subject to review before the FDA accepts it for filing. Once the submission is accepted for filing, the FDA begins an in-depth review. Under the PDUFA guidelines that are currently in effect, the FDA has a goal of ten months from the filing date to complete a standard review of an NDA for a drug that is a new molecular entity (NME), and of ten months from the date of NDA receipt to complete a standard review of an NDA for a drug that is not an NME. These review periods may be reduced from ten months to six months for an application designated for priority review.</w:t>
      </w:r>
    </w:p>
    <w:p>
      <w:pPr>
        <w:spacing w:after="0" w:line="128" w:lineRule="exact"/>
        <w:rPr>
          <w:sz w:val="20"/>
          <w:szCs w:val="20"/>
          <w:color w:val="auto"/>
        </w:rPr>
      </w:pPr>
    </w:p>
    <w:p>
      <w:pPr>
        <w:ind w:right="200" w:firstLine="620"/>
        <w:spacing w:after="0" w:line="258" w:lineRule="auto"/>
        <w:rPr>
          <w:sz w:val="20"/>
          <w:szCs w:val="20"/>
          <w:color w:val="auto"/>
        </w:rPr>
      </w:pPr>
      <w:r>
        <w:rPr>
          <w:rFonts w:ascii="Arial" w:cs="Arial" w:eastAsia="Arial" w:hAnsi="Arial"/>
          <w:sz w:val="17"/>
          <w:szCs w:val="17"/>
          <w:color w:val="auto"/>
        </w:rPr>
        <w:t>The FDA may also refer applications for novel drug products, or drug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w:t>
      </w:r>
    </w:p>
    <w:p>
      <w:pPr>
        <w:spacing w:after="0" w:line="129" w:lineRule="exact"/>
        <w:rPr>
          <w:sz w:val="20"/>
          <w:szCs w:val="20"/>
          <w:color w:val="auto"/>
        </w:rPr>
      </w:pPr>
    </w:p>
    <w:p>
      <w:pPr>
        <w:ind w:right="540" w:firstLine="620"/>
        <w:spacing w:after="0" w:line="269" w:lineRule="auto"/>
        <w:rPr>
          <w:sz w:val="20"/>
          <w:szCs w:val="20"/>
          <w:color w:val="auto"/>
        </w:rPr>
      </w:pPr>
      <w:r>
        <w:rPr>
          <w:rFonts w:ascii="Arial" w:cs="Arial" w:eastAsia="Arial" w:hAnsi="Arial"/>
          <w:sz w:val="17"/>
          <w:szCs w:val="17"/>
          <w:color w:val="auto"/>
        </w:rPr>
        <w:t>Before approving an NDA, the FDA will typically inspect one or more clinical sites to assure compliance with GCP requirements. Additionally, the FDA will inspect the facility or the facilities at which the drug is manufactured. The FDA will not approve the product unless it</w:t>
      </w:r>
    </w:p>
    <w:p>
      <w:pPr>
        <w:spacing w:after="0" w:line="14" w:lineRule="exact"/>
        <w:rPr>
          <w:sz w:val="20"/>
          <w:szCs w:val="20"/>
          <w:color w:val="auto"/>
        </w:rPr>
      </w:pPr>
    </w:p>
    <w:p>
      <w:pPr>
        <w:ind w:right="880"/>
        <w:spacing w:after="0" w:line="269" w:lineRule="auto"/>
        <w:rPr>
          <w:sz w:val="20"/>
          <w:szCs w:val="20"/>
          <w:color w:val="auto"/>
        </w:rPr>
      </w:pPr>
      <w:r>
        <w:rPr>
          <w:rFonts w:ascii="Arial" w:cs="Arial" w:eastAsia="Arial" w:hAnsi="Arial"/>
          <w:sz w:val="17"/>
          <w:szCs w:val="17"/>
          <w:color w:val="auto"/>
        </w:rPr>
        <w:t>determines the facility is compliant with cGMP requirements and adequate to assure consistent production of the product within required specifications.</w:t>
      </w:r>
    </w:p>
    <w:p>
      <w:pPr>
        <w:spacing w:after="0" w:line="143"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After the FDA evaluates the NDA and the manufacturing facilities, it issues either an approval letter or a complete response letter (CRL). An approval letter authorizes commercial marketing of the product with specific prescribing information for specific indications. A CRL will describe all of the deficiencies that the FDA has identified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If, or when, those deficiencies have been addressed to the FDA’s satisfaction in a resubmission of the NDA, the FDA will typically issue an approval letter. The FDA has committed to reviewing such resubmissions in two or six months depending on the type of information included.</w:t>
      </w:r>
    </w:p>
    <w:p>
      <w:pPr>
        <w:spacing w:after="0" w:line="128" w:lineRule="exact"/>
        <w:rPr>
          <w:sz w:val="20"/>
          <w:szCs w:val="20"/>
          <w:color w:val="auto"/>
        </w:rPr>
      </w:pPr>
    </w:p>
    <w:p>
      <w:pPr>
        <w:ind w:right="160" w:firstLine="620"/>
        <w:spacing w:after="0" w:line="261"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include limitations on the indicated uses for which such product may be marketed. For example, as a condition of approving an NDA, the FDA may require a risk evaluation and mitigation strategy (REMS) to help ensure that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benefits of the drug outweigh the potential risks. A REMS is a safety strategy to manage a known or potential serious risk associated with a medicine and to enable patients to have continued access to such medicine by managing its safe use, and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The FDA also may condition approval on, among other things, changes to proposed labeling or the development of adequate controls and specifications. The FDA may also require one or more Phase 4 post-market studies and surveillance to further assess and monitor the product’s safety and effectiveness after commercialization, and the labeling and prescribing information for the product may be changed based on the results of these post-marketing studies.</w:t>
      </w:r>
    </w:p>
    <w:p>
      <w:pPr>
        <w:spacing w:after="0" w:line="115" w:lineRule="exact"/>
        <w:rPr>
          <w:sz w:val="20"/>
          <w:szCs w:val="20"/>
          <w:color w:val="auto"/>
        </w:rPr>
      </w:pPr>
    </w:p>
    <w:p>
      <w:pPr>
        <w:ind w:right="80" w:firstLine="620"/>
        <w:spacing w:after="0" w:line="257" w:lineRule="auto"/>
        <w:rPr>
          <w:sz w:val="20"/>
          <w:szCs w:val="20"/>
          <w:color w:val="auto"/>
        </w:rPr>
      </w:pPr>
      <w:r>
        <w:rPr>
          <w:rFonts w:ascii="Arial" w:cs="Arial" w:eastAsia="Arial" w:hAnsi="Arial"/>
          <w:sz w:val="17"/>
          <w:szCs w:val="17"/>
          <w:color w:val="auto"/>
        </w:rPr>
        <w:t>Changes to the conditions established in an approved NDA, including changes in indications, labeling, or manufacturing processes or facilities, require a submission to the FDA in the form of an NDA supplement or as part of the NDA Annual Report. FDA approval prior to implementation is required for most major changes, and the FDA’s timeline for review varies according to the type of change being made. An NDA supplement for a new indication typically requires clinical data, and the FDA uses the same general procedures when reviewing such NDA efficacy supplements as it does in reviewing original NDAs.</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Pediatric Information</w:t>
      </w:r>
    </w:p>
    <w:p>
      <w:pPr>
        <w:spacing w:after="0" w:line="173"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The Pediatric Research Equity Act (PREA) as amended,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clinical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required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In addition, the Best Pharmaceuticals for Children Act, or BPCA, provides NDA holders a six month extension of any exclusivity—patent or nonpatent—for a drug, if a sponsor conducts clinical trials in children in response to a written request from the FDA. The issuance of a written request does not require the sponsor to undertake the described clinical trials.</w:t>
      </w:r>
    </w:p>
    <w:p>
      <w:pPr>
        <w:spacing w:after="0" w:line="30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173" w:lineRule="exact"/>
        <w:rPr>
          <w:sz w:val="20"/>
          <w:szCs w:val="20"/>
          <w:color w:val="auto"/>
        </w:rPr>
      </w:pPr>
    </w:p>
    <w:p>
      <w:pPr>
        <w:ind w:right="40" w:firstLine="620"/>
        <w:spacing w:after="0" w:line="255"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For example, the Fast Track program is intended to expedite or facilitate the process for reviewing new product candidates that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candidate has opportunities for more frequent interactions with the applicable FDA review team during development and, once an NDA is submitted, the product candidate may be eligible for priority review.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34" w:lineRule="exact"/>
        <w:rPr>
          <w:sz w:val="20"/>
          <w:szCs w:val="20"/>
          <w:color w:val="auto"/>
        </w:rPr>
      </w:pPr>
    </w:p>
    <w:p>
      <w:pPr>
        <w:ind w:right="120" w:firstLine="620"/>
        <w:spacing w:after="0" w:line="256" w:lineRule="auto"/>
        <w:rPr>
          <w:sz w:val="20"/>
          <w:szCs w:val="20"/>
          <w:color w:val="auto"/>
        </w:rPr>
      </w:pPr>
      <w:r>
        <w:rPr>
          <w:rFonts w:ascii="Arial" w:cs="Arial" w:eastAsia="Arial" w:hAnsi="Arial"/>
          <w:sz w:val="17"/>
          <w:szCs w:val="17"/>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Any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 product candidate is eligible for priority review if it is designed to treat a serious or life-threatening disease or condition, and if approved, would provide a significant improvement in safety or effectiveness compared to available alternatives for such disease or condition. For new-molecular-entity NDAs, priority review designation means the FDA’s goal is to take action on the marketing application within six months of the 60-day filing date.</w:t>
      </w:r>
    </w:p>
    <w:p>
      <w:pPr>
        <w:spacing w:after="0" w:line="119" w:lineRule="exact"/>
        <w:rPr>
          <w:sz w:val="20"/>
          <w:szCs w:val="20"/>
          <w:color w:val="auto"/>
        </w:rPr>
      </w:pPr>
    </w:p>
    <w:p>
      <w:pPr>
        <w:ind w:right="20" w:firstLine="620"/>
        <w:spacing w:after="0" w:line="255" w:lineRule="auto"/>
        <w:rPr>
          <w:sz w:val="20"/>
          <w:szCs w:val="20"/>
          <w:color w:val="auto"/>
        </w:rPr>
      </w:pPr>
      <w:r>
        <w:rPr>
          <w:rFonts w:ascii="Arial" w:cs="Arial" w:eastAsia="Arial" w:hAnsi="Arial"/>
          <w:sz w:val="17"/>
          <w:szCs w:val="17"/>
          <w:color w:val="auto"/>
        </w:rPr>
        <w:t>Additionally, product candidates studied for their safety and effectiveness in treating serious or life -threatening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340"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Orphan drug designation and exclusivity</w:t>
      </w:r>
    </w:p>
    <w:p>
      <w:pPr>
        <w:spacing w:after="0" w:line="160" w:lineRule="exact"/>
        <w:rPr>
          <w:sz w:val="20"/>
          <w:szCs w:val="20"/>
          <w:color w:val="auto"/>
        </w:rPr>
      </w:pPr>
    </w:p>
    <w:p>
      <w:pPr>
        <w:ind w:right="40" w:firstLine="620"/>
        <w:spacing w:after="0" w:line="257" w:lineRule="auto"/>
        <w:rPr>
          <w:sz w:val="20"/>
          <w:szCs w:val="20"/>
          <w:color w:val="auto"/>
        </w:rPr>
      </w:pPr>
      <w:r>
        <w:rPr>
          <w:rFonts w:ascii="Arial" w:cs="Arial" w:eastAsia="Arial" w:hAnsi="Arial"/>
          <w:sz w:val="17"/>
          <w:szCs w:val="17"/>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336"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28" w:lineRule="exact"/>
        <w:rPr>
          <w:sz w:val="20"/>
          <w:szCs w:val="20"/>
          <w:color w:val="auto"/>
        </w:rPr>
      </w:pPr>
    </w:p>
    <w:p>
      <w:pPr>
        <w:ind w:right="60" w:firstLine="620"/>
        <w:spacing w:after="0" w:line="257" w:lineRule="auto"/>
        <w:rPr>
          <w:sz w:val="20"/>
          <w:szCs w:val="20"/>
          <w:color w:val="auto"/>
        </w:rPr>
      </w:pPr>
      <w:r>
        <w:rPr>
          <w:rFonts w:ascii="Arial" w:cs="Arial" w:eastAsia="Arial" w:hAnsi="Arial"/>
          <w:sz w:val="17"/>
          <w:szCs w:val="17"/>
          <w:color w:val="auto"/>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9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173" w:lineRule="exact"/>
        <w:rPr>
          <w:sz w:val="20"/>
          <w:szCs w:val="20"/>
          <w:color w:val="auto"/>
        </w:rPr>
      </w:pPr>
    </w:p>
    <w:p>
      <w:pPr>
        <w:ind w:right="100" w:firstLine="620"/>
        <w:spacing w:after="0" w:line="261"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There also are continuing, annual program fee requirements for any marketed products.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60" w:firstLine="620"/>
        <w:spacing w:after="0" w:line="256" w:lineRule="auto"/>
        <w:rPr>
          <w:sz w:val="20"/>
          <w:szCs w:val="20"/>
          <w:color w:val="auto"/>
        </w:rPr>
      </w:pPr>
      <w:r>
        <w:rPr>
          <w:rFonts w:ascii="Arial" w:cs="Arial" w:eastAsia="Arial" w:hAnsi="Arial"/>
          <w:sz w:val="17"/>
          <w:szCs w:val="17"/>
          <w:color w:val="auto"/>
        </w:rPr>
        <w:t>Adverse event reporting and submission of periodic reports is required following FDA approval of an NDA. The FDA also may require post-marketing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 control to maintain compliance with cGMPs.</w:t>
      </w:r>
    </w:p>
    <w:p>
      <w:pPr>
        <w:spacing w:after="0" w:line="117" w:lineRule="exact"/>
        <w:rPr>
          <w:sz w:val="20"/>
          <w:szCs w:val="20"/>
          <w:color w:val="auto"/>
        </w:rPr>
      </w:pPr>
    </w:p>
    <w:p>
      <w:pPr>
        <w:ind w:right="300" w:firstLine="620"/>
        <w:spacing w:after="0" w:line="25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32" w:lineRule="exact"/>
        <w:rPr>
          <w:sz w:val="20"/>
          <w:szCs w:val="20"/>
          <w:color w:val="auto"/>
        </w:rPr>
      </w:pPr>
    </w:p>
    <w:p>
      <w:pPr>
        <w:ind w:left="780" w:hanging="156"/>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53" w:lineRule="exact"/>
        <w:rPr>
          <w:rFonts w:ascii="Arial" w:cs="Arial" w:eastAsia="Arial" w:hAnsi="Arial"/>
          <w:sz w:val="17"/>
          <w:szCs w:val="17"/>
          <w:color w:val="auto"/>
        </w:rPr>
      </w:pPr>
    </w:p>
    <w:p>
      <w:pPr>
        <w:ind w:left="780" w:right="260" w:hanging="156"/>
        <w:spacing w:after="0" w:line="269" w:lineRule="auto"/>
        <w:tabs>
          <w:tab w:leader="none" w:pos="7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safety alerts, Dear Healthcare Provider letters, press releases or other communications containing warning, or other safety information about the product;</w:t>
      </w:r>
    </w:p>
    <w:p>
      <w:pPr>
        <w:spacing w:after="0" w:line="104" w:lineRule="exact"/>
        <w:rPr>
          <w:rFonts w:ascii="Arial" w:cs="Arial" w:eastAsia="Arial" w:hAnsi="Arial"/>
          <w:sz w:val="17"/>
          <w:szCs w:val="17"/>
          <w:color w:val="auto"/>
        </w:rPr>
      </w:pPr>
    </w:p>
    <w:p>
      <w:pPr>
        <w:ind w:left="780" w:hanging="156"/>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fines, warning letters, or holds on post-approval clinical trials;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or</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53"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The Hatch-Waxman Act</w:t>
      </w:r>
    </w:p>
    <w:p>
      <w:pPr>
        <w:spacing w:after="0" w:line="160" w:lineRule="exact"/>
        <w:rPr>
          <w:sz w:val="20"/>
          <w:szCs w:val="20"/>
          <w:color w:val="auto"/>
        </w:rPr>
      </w:pPr>
    </w:p>
    <w:p>
      <w:pPr>
        <w:ind w:right="80" w:firstLine="620"/>
        <w:spacing w:after="0" w:line="254" w:lineRule="auto"/>
        <w:rPr>
          <w:sz w:val="20"/>
          <w:szCs w:val="20"/>
          <w:color w:val="auto"/>
        </w:rPr>
      </w:pPr>
      <w:r>
        <w:rPr>
          <w:rFonts w:ascii="Arial" w:cs="Arial" w:eastAsia="Arial" w:hAnsi="Arial"/>
          <w:sz w:val="17"/>
          <w:szCs w:val="17"/>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However, a drug must meet certain criteria relative to the Listed Drug to be eligible to use the Section 505(b)(2) pathway as opposed to the abbreviated NDA, or ANDA pathway, which is described below. Section 505(j) establishes an abbreviated approval process for a generic version of approved drug products through the submission of an ANDA. An ANDA generally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nonclinical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can often be substituted by pharmacists under prescriptions written for the reference listed drug.</w:t>
      </w:r>
    </w:p>
    <w:p>
      <w:pPr>
        <w:spacing w:after="0" w:line="12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Orange Book Listing</w:t>
      </w:r>
    </w:p>
    <w:p>
      <w:pPr>
        <w:spacing w:after="0" w:line="171" w:lineRule="exact"/>
        <w:rPr>
          <w:sz w:val="20"/>
          <w:szCs w:val="20"/>
          <w:color w:val="auto"/>
        </w:rPr>
      </w:pPr>
    </w:p>
    <w:p>
      <w:pPr>
        <w:ind w:right="80" w:firstLine="620"/>
        <w:spacing w:after="0" w:line="258" w:lineRule="auto"/>
        <w:rPr>
          <w:sz w:val="20"/>
          <w:szCs w:val="20"/>
          <w:color w:val="auto"/>
        </w:rPr>
      </w:pPr>
      <w:r>
        <w:rPr>
          <w:rFonts w:ascii="Arial" w:cs="Arial" w:eastAsia="Arial" w:hAnsi="Arial"/>
          <w:sz w:val="17"/>
          <w:szCs w:val="17"/>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a Section 505(b)(2) NDA.</w:t>
      </w:r>
    </w:p>
    <w:p>
      <w:pPr>
        <w:spacing w:after="0" w:line="116" w:lineRule="exact"/>
        <w:rPr>
          <w:sz w:val="20"/>
          <w:szCs w:val="20"/>
          <w:color w:val="auto"/>
        </w:rPr>
      </w:pPr>
    </w:p>
    <w:p>
      <w:pPr>
        <w:ind w:firstLine="620"/>
        <w:spacing w:after="0" w:line="253" w:lineRule="auto"/>
        <w:rPr>
          <w:sz w:val="20"/>
          <w:szCs w:val="20"/>
          <w:color w:val="auto"/>
        </w:rPr>
      </w:pPr>
      <w:r>
        <w:rPr>
          <w:rFonts w:ascii="Arial" w:cs="Arial" w:eastAsia="Arial" w:hAnsi="Arial"/>
          <w:sz w:val="17"/>
          <w:szCs w:val="17"/>
          <w:color w:val="auto"/>
        </w:rPr>
        <w:t>Upon submission of an ANDA or Section 505(b)(2) NDA, the applicant must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w:t>
      </w:r>
    </w:p>
    <w:p>
      <w:pPr>
        <w:spacing w:after="0" w:line="2" w:lineRule="exact"/>
        <w:rPr>
          <w:sz w:val="20"/>
          <w:szCs w:val="20"/>
          <w:color w:val="auto"/>
        </w:rPr>
      </w:pPr>
    </w:p>
    <w:p>
      <w:pPr>
        <w:ind w:right="140" w:firstLine="3"/>
        <w:spacing w:after="0" w:line="258" w:lineRule="auto"/>
        <w:tabs>
          <w:tab w:leader="none" w:pos="28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listed patent is invalid or will not be infringed by the new product. The applicant may also elect to submit a statement certifying that its proposed label does not contain (or carve out) any language regarding the patented method-of-use rather than certify to a listed method-of-use patent. If the applicant does not challenge the listed patents, the application will not be approved until all the listed patents claiming the referenced product have expired.</w:t>
      </w:r>
    </w:p>
    <w:p>
      <w:pPr>
        <w:spacing w:after="0" w:line="129"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is called a Paragraph IV certification. If the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application until the earlier of 30 months, expiration of the patent, settlement of the lawsuit, or a decision in the infringement case that is favorable to the applicant,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Hatch-Waxman Exclusivity</w:t>
      </w:r>
    </w:p>
    <w:p>
      <w:pPr>
        <w:spacing w:after="0" w:line="158" w:lineRule="exact"/>
        <w:rPr>
          <w:sz w:val="20"/>
          <w:szCs w:val="20"/>
          <w:color w:val="auto"/>
        </w:rPr>
      </w:pPr>
    </w:p>
    <w:p>
      <w:pPr>
        <w:ind w:right="200" w:firstLine="620"/>
        <w:spacing w:after="0" w:line="256" w:lineRule="auto"/>
        <w:rPr>
          <w:sz w:val="20"/>
          <w:szCs w:val="20"/>
          <w:color w:val="auto"/>
        </w:rPr>
      </w:pPr>
      <w:r>
        <w:rPr>
          <w:rFonts w:ascii="Arial" w:cs="Arial" w:eastAsia="Arial" w:hAnsi="Arial"/>
          <w:sz w:val="17"/>
          <w:szCs w:val="17"/>
          <w:color w:val="auto"/>
        </w:rPr>
        <w:t>The Hatch-Waxman Act establishes a period of regulatory exclusivity for certain approved drug products during which the FDA cannot accept for review an ANDA or 505(b)(2) NDA that relies on the branded reference drug. For example, the holder of an NDA, including a 505(b)(2) NDA, may obtain five years of exclusivity upon NDA approval of a drug containing a new chemical entity, which is a drug that contains no active moiety that has been approved by the FDA in any other NDA. During the exclusivity period, the FDA may not accept for review an ANDA or a 505(b)(2) NDA submitted by another applicant that contains the previously approved active moiety. However, an ANDA or 505(b)(2) NDA may be submitted after four years if it contains a certification of patent invalidity or non-infringement.</w:t>
      </w:r>
    </w:p>
    <w:p>
      <w:pPr>
        <w:spacing w:after="0" w:line="132" w:lineRule="exact"/>
        <w:rPr>
          <w:sz w:val="20"/>
          <w:szCs w:val="20"/>
          <w:color w:val="auto"/>
        </w:rPr>
      </w:pPr>
    </w:p>
    <w:p>
      <w:pPr>
        <w:ind w:right="40" w:firstLine="620"/>
        <w:spacing w:after="0" w:line="257" w:lineRule="auto"/>
        <w:rPr>
          <w:sz w:val="20"/>
          <w:szCs w:val="20"/>
          <w:color w:val="auto"/>
        </w:rPr>
      </w:pPr>
      <w:r>
        <w:rPr>
          <w:rFonts w:ascii="Arial" w:cs="Arial" w:eastAsia="Arial" w:hAnsi="Arial"/>
          <w:sz w:val="17"/>
          <w:szCs w:val="17"/>
          <w:color w:val="auto"/>
        </w:rPr>
        <w:t>The Hatch-Waxman Act also provides three years of marketing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This three year exclusivity period protects against FDA approval of ANDAs and 505(b)(2) NDAs for the condition of the new drug’s approval.</w:t>
      </w:r>
    </w:p>
    <w:p>
      <w:pPr>
        <w:spacing w:after="0" w:line="129" w:lineRule="exact"/>
        <w:rPr>
          <w:sz w:val="20"/>
          <w:szCs w:val="20"/>
          <w:color w:val="auto"/>
        </w:rPr>
      </w:pPr>
    </w:p>
    <w:p>
      <w:pPr>
        <w:ind w:firstLine="620"/>
        <w:spacing w:after="0" w:line="261" w:lineRule="auto"/>
        <w:rPr>
          <w:sz w:val="20"/>
          <w:szCs w:val="20"/>
          <w:color w:val="auto"/>
        </w:rPr>
      </w:pPr>
      <w:r>
        <w:rPr>
          <w:rFonts w:ascii="Arial" w:cs="Arial" w:eastAsia="Arial" w:hAnsi="Arial"/>
          <w:sz w:val="17"/>
          <w:szCs w:val="17"/>
          <w:color w:val="auto"/>
        </w:rPr>
        <w:t>Five year and three year exclusivity will not delay the submission or approval of a full 505(b)(1) NDA; however, an applicant submitting a full NDA would be required to conduct or obtain a right of reference to all of the nonclinical studies and adequate and well-controlled clinical trials necessary to demonstrate safety and efficacy.</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173" w:lineRule="exact"/>
        <w:rPr>
          <w:sz w:val="20"/>
          <w:szCs w:val="20"/>
          <w:color w:val="auto"/>
        </w:rPr>
      </w:pPr>
    </w:p>
    <w:p>
      <w:pPr>
        <w:jc w:val="both"/>
        <w:ind w:right="80" w:firstLine="620"/>
        <w:spacing w:after="0" w:line="261" w:lineRule="auto"/>
        <w:rPr>
          <w:sz w:val="20"/>
          <w:szCs w:val="20"/>
          <w:color w:val="auto"/>
        </w:rPr>
      </w:pPr>
      <w:r>
        <w:rPr>
          <w:rFonts w:ascii="Arial" w:cs="Arial" w:eastAsia="Arial" w:hAnsi="Arial"/>
          <w:sz w:val="17"/>
          <w:szCs w:val="17"/>
          <w:color w:val="auto"/>
        </w:rPr>
        <w:t>In addition to FDA restrictions on marketing of pharmaceutical products, several other types of state and federal laws have been applied to restrict certain general business and marketing practices in the pharmaceutical industry in recent years. These laws include anti-kickback statutes, false claims statutes, and other healthcare laws and regulations.</w:t>
      </w:r>
    </w:p>
    <w:p>
      <w:pPr>
        <w:spacing w:after="0" w:line="125"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The U.S.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In addition, a person or entity does not need to have actual knowledge of the statute or specific intent to violate it in order to commit a violation.</w:t>
      </w:r>
    </w:p>
    <w:p>
      <w:pPr>
        <w:spacing w:after="0" w:line="115"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Medicaid, as well as programs where the federal government is a direct purchaser, such as when it purchases off the Federal Supply Schedule. Recently,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a violation of the U.S. federal Anti-Kickback Statute can serve as a basis for liability under the federal False Claims Act. The majority of states also have statutes or regulations similar to the federal Anti-Kickback Statute and False Claims Act, which apply to items and services reimbursed under Medicaid and other state programs, or, in several states, apply regardless of the payor.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a receive a reimbursable item or service from a particular supplier, and the additional federal criminal statutes created by the Health Insurance Portability and Accountability Act of 1996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 Similar to the federal Anti-Kickback Statute, a person or entity does not need to have actual knowledge of the statute or specific intent to violate it in order to commit a violation.</w:t>
      </w:r>
    </w:p>
    <w:p>
      <w:pPr>
        <w:spacing w:after="0" w:line="115" w:lineRule="exact"/>
        <w:rPr>
          <w:sz w:val="20"/>
          <w:szCs w:val="20"/>
          <w:color w:val="auto"/>
        </w:rPr>
      </w:pPr>
    </w:p>
    <w:p>
      <w:pPr>
        <w:ind w:right="40" w:firstLine="620"/>
        <w:spacing w:after="0" w:line="255" w:lineRule="auto"/>
        <w:rPr>
          <w:sz w:val="20"/>
          <w:szCs w:val="20"/>
          <w:color w:val="auto"/>
        </w:rPr>
      </w:pPr>
      <w:r>
        <w:rPr>
          <w:rFonts w:ascii="Arial" w:cs="Arial" w:eastAsia="Arial" w:hAnsi="Arial"/>
          <w:sz w:val="17"/>
          <w:szCs w:val="17"/>
          <w:color w:val="auto"/>
        </w:rPr>
        <w:t>In addition, HIPAA, as amended by the Health Information Technology for Clinical Health Act of 2009 (HITECH), and their respective implementing regulations, impose obligations on certain healthcare providers, health plans, and healthcare clearinghouses, known as covered entities, as well as their business associates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Entities that are found to be in violation of HIPAA,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In addition, many state laws govern the privacy and security of health information in certain circumstances, many of which differ from each other in significant ways and may not have the same effect.</w:t>
      </w:r>
    </w:p>
    <w:p>
      <w:pPr>
        <w:spacing w:after="0" w:line="133" w:lineRule="exact"/>
        <w:rPr>
          <w:sz w:val="20"/>
          <w:szCs w:val="20"/>
          <w:color w:val="auto"/>
        </w:rPr>
      </w:pPr>
    </w:p>
    <w:p>
      <w:pPr>
        <w:ind w:right="380" w:firstLine="620"/>
        <w:spacing w:after="0" w:line="256" w:lineRule="auto"/>
        <w:rPr>
          <w:sz w:val="20"/>
          <w:szCs w:val="20"/>
          <w:color w:val="auto"/>
        </w:rPr>
      </w:pPr>
      <w:r>
        <w:rPr>
          <w:rFonts w:ascii="Arial" w:cs="Arial" w:eastAsia="Arial" w:hAnsi="Arial"/>
          <w:sz w:val="17"/>
          <w:szCs w:val="17"/>
          <w:color w:val="auto"/>
        </w:rPr>
        <w:t>Further, the Physician Payments Sunshine Act requires certain manufacturers of prescription drugs to collect and report information on certain payments or transfers of value to physicians (defined broadly to include doctors, dentists, optometrists, podiatrists and chiropractors), certain non-physician practitioners (physician assistants, nurse practitioners or clinical nurse specialists, certified registered nurse anesthetists, anesthesiologist assistants and certified nurse-midwives) and teaching hospitals, as well as investment interests held by physicians and their immediate family members. The reported data is made available in searchable form on a public website on an annual basis. Failure to submit required information may result in civil monetary penalties.</w:t>
      </w:r>
    </w:p>
    <w:p>
      <w:pPr>
        <w:spacing w:after="0" w:line="132" w:lineRule="exact"/>
        <w:rPr>
          <w:sz w:val="20"/>
          <w:szCs w:val="20"/>
          <w:color w:val="auto"/>
        </w:rPr>
      </w:pPr>
    </w:p>
    <w:p>
      <w:pPr>
        <w:ind w:right="60" w:firstLine="620"/>
        <w:spacing w:after="0" w:line="256" w:lineRule="auto"/>
        <w:rPr>
          <w:sz w:val="20"/>
          <w:szCs w:val="20"/>
          <w:color w:val="auto"/>
        </w:rPr>
      </w:pPr>
      <w:r>
        <w:rPr>
          <w:rFonts w:ascii="Arial" w:cs="Arial" w:eastAsia="Arial" w:hAnsi="Arial"/>
          <w:sz w:val="17"/>
          <w:szCs w:val="17"/>
          <w:color w:val="auto"/>
        </w:rPr>
        <w:t>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time-consuming, and companies that do not comply with these state laws face civil penalties.</w:t>
      </w:r>
    </w:p>
    <w:p>
      <w:pPr>
        <w:spacing w:after="0" w:line="115"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160" w:lineRule="exact"/>
        <w:rPr>
          <w:sz w:val="20"/>
          <w:szCs w:val="20"/>
          <w:color w:val="auto"/>
        </w:rPr>
      </w:pPr>
    </w:p>
    <w:p>
      <w:pPr>
        <w:ind w:right="80" w:firstLine="620"/>
        <w:spacing w:after="0" w:line="257" w:lineRule="auto"/>
        <w:rPr>
          <w:sz w:val="20"/>
          <w:szCs w:val="20"/>
          <w:color w:val="auto"/>
        </w:rPr>
      </w:pPr>
      <w:r>
        <w:rPr>
          <w:rFonts w:ascii="Arial" w:cs="Arial" w:eastAsia="Arial" w:hAnsi="Arial"/>
          <w:sz w:val="17"/>
          <w:szCs w:val="17"/>
          <w:color w:val="auto"/>
        </w:rPr>
        <w:t>Significant uncertainty exists as to the coverage and reimbursement status of any new therapeutic product candidate.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reimbursement for therapeutic product candidates may be sought can be subject to challenge, reduction, or denial by payors.</w:t>
      </w:r>
    </w:p>
    <w:p>
      <w:pPr>
        <w:spacing w:after="0" w:line="129" w:lineRule="exact"/>
        <w:rPr>
          <w:sz w:val="20"/>
          <w:szCs w:val="20"/>
          <w:color w:val="auto"/>
        </w:rPr>
      </w:pPr>
    </w:p>
    <w:p>
      <w:pPr>
        <w:ind w:right="20" w:firstLine="620"/>
        <w:spacing w:after="0" w:line="257" w:lineRule="auto"/>
        <w:rPr>
          <w:sz w:val="20"/>
          <w:szCs w:val="20"/>
          <w:color w:val="auto"/>
        </w:rPr>
      </w:pPr>
      <w:r>
        <w:rPr>
          <w:rFonts w:ascii="Arial" w:cs="Arial" w:eastAsia="Arial" w:hAnsi="Arial"/>
          <w:sz w:val="17"/>
          <w:szCs w:val="17"/>
          <w:color w:val="auto"/>
        </w:rPr>
        <w:t>The regulations that govern coverage,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a drug company can obtain regulatory approval for a product in a particular country, but then be subject to price regulations that delay commercial launch of that product.</w:t>
      </w:r>
    </w:p>
    <w:p>
      <w:pPr>
        <w:spacing w:after="0" w:line="129"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A drug company’s ability to commercialize any products successfully will also depend in part on the extent to which coverage and adequate reimbursement for these products and related treatments will be available from government authorities, private health insurers, and other organizations. Even if one or more products are successfully brought to the market, these products may not be considered cost-effective, and the amount reimbursed for such products may be insufficient to allow them to be sold on a competitive basis. Increasingly,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w:t>
      </w:r>
    </w:p>
    <w:p>
      <w:pPr>
        <w:spacing w:after="0" w:line="119"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The process for determining whether a payor will provide coverage for a product is typically separate from the process for setting the reimbursement rate that the payor will pay for the product. A payor’s decision to provide coverage for a product does not imply that an adequate reimbursement rate will be available. Significant delays can occur in obtaining reimbursement for newly-approved drugs or therapeutic biologics, and coverage may be more limited than the purposes for which the drug or therapeutic biologic is approved by the FDA or similar foreign regulatory authorities. Moreover, eligibility for reimbursement does not imply that any drug or therapeutic biologic will be reimbursed in all cases or at a rate that covers a drug company’s costs, including research, development, manufacture, sale, and distribution.</w:t>
      </w:r>
    </w:p>
    <w:p>
      <w:pPr>
        <w:spacing w:after="0" w:line="132" w:lineRule="exact"/>
        <w:rPr>
          <w:sz w:val="20"/>
          <w:szCs w:val="20"/>
          <w:color w:val="auto"/>
        </w:rPr>
      </w:pPr>
    </w:p>
    <w:p>
      <w:pPr>
        <w:ind w:right="160" w:firstLine="620"/>
        <w:spacing w:after="0" w:line="256"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marketing, expensive studies in order to demonstrate the medical necessity and cost-effectiveness of any products, which would be in addition to the costs expended to obtain regulatory approvals, may need to be conducted. Third-party payors may not consider products to be medically necessary or cost-effective compared to other available therapies, or the rebate percentages required to secure favorable coverage may not yield an adequate margin over cost or may not enable maintenance of price levels sufficient to realize an appropriate return on a drug company’s investment in drug development.</w:t>
      </w:r>
    </w:p>
    <w:p>
      <w:pPr>
        <w:spacing w:after="0" w:line="130"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Interim reimbursement levels for new drugs, if applicable, may also be insufficient to cover a drug company’s costs and may not be made permanent. Reimbursement rates may be based on payments allowed for lower 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Further, no uniform policy for coverage and reimbursement exists in the United States. Third-party payors often rely upon Medicare coverage policy and payment limitations in setting their own reimbursement rates, but also have their own methods and approval process apart from Medicare determinations. Therefore, coverage and reimbursement can differ significantly from payor to payor.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Healthcare Reform</w:t>
      </w:r>
    </w:p>
    <w:p>
      <w:pPr>
        <w:spacing w:after="0" w:line="160" w:lineRule="exact"/>
        <w:rPr>
          <w:sz w:val="20"/>
          <w:szCs w:val="20"/>
          <w:color w:val="auto"/>
        </w:rPr>
      </w:pPr>
    </w:p>
    <w:p>
      <w:pPr>
        <w:ind w:right="20" w:firstLine="620"/>
        <w:spacing w:after="0" w:line="253" w:lineRule="auto"/>
        <w:rPr>
          <w:sz w:val="20"/>
          <w:szCs w:val="20"/>
          <w:color w:val="auto"/>
        </w:rPr>
      </w:pPr>
      <w:r>
        <w:rPr>
          <w:rFonts w:ascii="Arial" w:cs="Arial" w:eastAsia="Arial" w:hAnsi="Arial"/>
          <w:sz w:val="17"/>
          <w:szCs w:val="17"/>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Affordable Care Act (ACA) was enacted, which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ACA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established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point-of-sale discounts off negotiated prices of applicable brand drugs and therapeutic biologics to eligible beneficiaries during their coverage gap period, as a condition for the manufacturer’s outpatient drugs and therapeutic biologics to be covered under Medicare Part D, which has since been increased to 70%,</w:t>
      </w:r>
    </w:p>
    <w:p>
      <w:pPr>
        <w:spacing w:after="0" w:line="11" w:lineRule="exact"/>
        <w:rPr>
          <w:sz w:val="20"/>
          <w:szCs w:val="20"/>
          <w:color w:val="auto"/>
        </w:rPr>
      </w:pPr>
    </w:p>
    <w:p>
      <w:pPr>
        <w:ind w:right="40" w:firstLine="3"/>
        <w:spacing w:after="0" w:line="256" w:lineRule="auto"/>
        <w:tabs>
          <w:tab w:leader="none" w:pos="287"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Innovation at Centers for Medicare and Medicaid Services (CMS) to test innovative payment and service delivery models to lower Medicare and Medicaid spending, potentially including prescription drug spending.</w:t>
      </w:r>
    </w:p>
    <w:p>
      <w:pPr>
        <w:spacing w:after="0" w:line="132" w:lineRule="exact"/>
        <w:rPr>
          <w:sz w:val="20"/>
          <w:szCs w:val="20"/>
          <w:color w:val="auto"/>
        </w:rPr>
      </w:pPr>
    </w:p>
    <w:p>
      <w:pPr>
        <w:ind w:right="120" w:firstLine="620"/>
        <w:spacing w:after="0" w:line="256"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28"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to reduce healthcare expenditures. U.S. federal government agencies also currently face potentially significant spending reductions, which may further impact healthcare expenditures.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unless additional Congressional action is taken.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60" w:firstLine="620"/>
        <w:spacing w:after="0" w:line="255" w:lineRule="auto"/>
        <w:rPr>
          <w:sz w:val="20"/>
          <w:szCs w:val="20"/>
          <w:color w:val="auto"/>
        </w:rPr>
      </w:pPr>
      <w:r>
        <w:rPr>
          <w:rFonts w:ascii="Arial" w:cs="Arial" w:eastAsia="Arial" w:hAnsi="Arial"/>
          <w:sz w:val="17"/>
          <w:szCs w:val="17"/>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Although a number of these, and other potential, proposals will require authorization through additional legislation to become effective, the probability of success of these and any other Trump administration reform initiatives is uncertain, particularly in light of the new Biden administration.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21"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We anticipate that these new laws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In addition, it is possible that there will be further legislation or regulation that could harm our business, financial condition, and results of operations. Further, it is possible that additional governmental action is taken in response to the evolving effects of the COVID-19 pandemic. Additionally, health reform initiatives may arise in the future, particularly as a result of the 2020 presidential election.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Human Capital Resources and Employees</w:t>
      </w:r>
    </w:p>
    <w:p>
      <w:pPr>
        <w:spacing w:after="0" w:line="175"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As of December 31, 2021, we had 147 full-time employees. Of these full-time employees, 25 have an M.D., a Ph.D. or a Pharm. D and 3 have been Nurse Practitioners or Physician Assistants. From time to time, we also retain independent contractors to support our organization. None of our employees are represented by a labor union or covered by collective bargaining agreements, and we believe our relationship with our employees is good.</w:t>
      </w:r>
    </w:p>
    <w:p>
      <w:pPr>
        <w:spacing w:after="0" w:line="116" w:lineRule="exact"/>
        <w:rPr>
          <w:sz w:val="20"/>
          <w:szCs w:val="20"/>
          <w:color w:val="auto"/>
        </w:rPr>
      </w:pPr>
    </w:p>
    <w:p>
      <w:pPr>
        <w:ind w:right="160" w:firstLine="620"/>
        <w:spacing w:after="0" w:line="261"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through the granting of stock-based compensation awards and cash-based performance bonus awards.</w:t>
      </w:r>
    </w:p>
    <w:p>
      <w:pPr>
        <w:spacing w:after="0" w:line="125" w:lineRule="exact"/>
        <w:rPr>
          <w:sz w:val="20"/>
          <w:szCs w:val="20"/>
          <w:color w:val="auto"/>
        </w:rPr>
      </w:pPr>
    </w:p>
    <w:p>
      <w:pPr>
        <w:ind w:right="20" w:firstLine="620"/>
        <w:spacing w:after="0" w:line="257" w:lineRule="auto"/>
        <w:rPr>
          <w:sz w:val="20"/>
          <w:szCs w:val="20"/>
          <w:color w:val="auto"/>
        </w:rPr>
      </w:pPr>
      <w:r>
        <w:rPr>
          <w:rFonts w:ascii="Arial" w:cs="Arial" w:eastAsia="Arial" w:hAnsi="Arial"/>
          <w:sz w:val="17"/>
          <w:szCs w:val="17"/>
          <w:color w:val="auto"/>
        </w:rPr>
        <w:t>The pharmaceutical development business is fundamentally a people-centric, knowledge-based business. Additionally, one core element of our corporate strategy is to build an industry-leading team of dermatology experts. As such, we expend considerable management time and attention, and financial resources, to attracting, retaining, and motivating exceptional individuals at our company. These efforts include not only our recruitment and compensation programs, but equally importantly, include the corporate culture that we have built at the company, and the management practices we employ in order to obtain the best possible performance from our team.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Financial Information About Segments</w:t>
      </w:r>
    </w:p>
    <w:p>
      <w:pPr>
        <w:spacing w:after="0" w:line="162" w:lineRule="exact"/>
        <w:rPr>
          <w:sz w:val="20"/>
          <w:szCs w:val="20"/>
          <w:color w:val="auto"/>
        </w:rPr>
      </w:pPr>
    </w:p>
    <w:p>
      <w:pPr>
        <w:ind w:right="60" w:firstLine="620"/>
        <w:spacing w:after="0" w:line="261" w:lineRule="auto"/>
        <w:rPr>
          <w:sz w:val="20"/>
          <w:szCs w:val="20"/>
          <w:color w:val="auto"/>
        </w:rPr>
      </w:pPr>
      <w:r>
        <w:rPr>
          <w:rFonts w:ascii="Arial" w:cs="Arial" w:eastAsia="Arial" w:hAnsi="Arial"/>
          <w:sz w:val="17"/>
          <w:szCs w:val="17"/>
          <w:color w:val="auto"/>
        </w:rPr>
        <w:t>We view our operations and manage our business as one reportable segment. See Note 1 in the Notes to Financial Statements included in this Annual Report on Form 10-K. Additional information required by this item is incorporated herein by reference to Part II, Item 6, “Selected Financial Data.”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About Arcutis Biotherapeutics</w:t>
      </w:r>
    </w:p>
    <w:p>
      <w:pPr>
        <w:spacing w:after="0" w:line="175" w:lineRule="exact"/>
        <w:rPr>
          <w:sz w:val="20"/>
          <w:szCs w:val="20"/>
          <w:color w:val="auto"/>
        </w:rPr>
      </w:pPr>
    </w:p>
    <w:p>
      <w:pPr>
        <w:ind w:right="60" w:firstLine="620"/>
        <w:spacing w:after="0" w:line="258" w:lineRule="auto"/>
        <w:rPr>
          <w:sz w:val="20"/>
          <w:szCs w:val="20"/>
          <w:color w:val="auto"/>
        </w:rPr>
      </w:pPr>
      <w:r>
        <w:rPr>
          <w:rFonts w:ascii="Arial" w:cs="Arial" w:eastAsia="Arial" w:hAnsi="Arial"/>
          <w:sz w:val="17"/>
          <w:szCs w:val="17"/>
          <w:color w:val="auto"/>
        </w:rPr>
        <w:t>We were formed under the laws of the State of Delaware in June 2016 under the name Arcutis, Inc. and changed our name to Arcutis Biotherapeutics, Inc. in October 2019. Our principal executive offices are located at 3027 Townsgate Road, Suite 300, Westlake Village, California 91361, and our telephone number is (805) 418-5006. Our website address is www.arcutis.com. The information found on or accessible through our website is not incorporated into, and does not form a part of, this Annual Report on Form 10-K.</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Available Information</w:t>
      </w:r>
    </w:p>
    <w:p>
      <w:pPr>
        <w:spacing w:after="0" w:line="162" w:lineRule="exact"/>
        <w:rPr>
          <w:sz w:val="20"/>
          <w:szCs w:val="20"/>
          <w:color w:val="auto"/>
        </w:rPr>
      </w:pPr>
    </w:p>
    <w:p>
      <w:pPr>
        <w:ind w:firstLine="620"/>
        <w:spacing w:after="0" w:line="261" w:lineRule="auto"/>
        <w:rPr>
          <w:sz w:val="20"/>
          <w:szCs w:val="20"/>
          <w:color w:val="auto"/>
        </w:rPr>
      </w:pPr>
      <w:r>
        <w:rPr>
          <w:rFonts w:ascii="Arial" w:cs="Arial" w:eastAsia="Arial" w:hAnsi="Arial"/>
          <w:sz w:val="17"/>
          <w:szCs w:val="17"/>
          <w:color w:val="auto"/>
        </w:rPr>
        <w:t>We are subject to the information requirements of the Securities Exchange Act of 1934, as amended, and we therefore file periodic reports, proxy statements, and other information with the SEC relating to our business, financial statements, and other matters. The SEC maintains an Internet site, www.sec.gov, that contains reports, proxy statements, and other information regarding issuers such as Arcutis Biotherapeutics, Inc.</w:t>
      </w:r>
    </w:p>
    <w:p>
      <w:pPr>
        <w:spacing w:after="0" w:line="125" w:lineRule="exact"/>
        <w:rPr>
          <w:sz w:val="20"/>
          <w:szCs w:val="20"/>
          <w:color w:val="auto"/>
        </w:rPr>
      </w:pPr>
    </w:p>
    <w:p>
      <w:pPr>
        <w:jc w:val="both"/>
        <w:ind w:right="120" w:firstLine="620"/>
        <w:spacing w:after="0" w:line="261" w:lineRule="auto"/>
        <w:rPr>
          <w:sz w:val="20"/>
          <w:szCs w:val="20"/>
          <w:color w:val="auto"/>
        </w:rPr>
      </w:pPr>
      <w:r>
        <w:rPr>
          <w:rFonts w:ascii="Arial" w:cs="Arial" w:eastAsia="Arial" w:hAnsi="Arial"/>
          <w:sz w:val="17"/>
          <w:szCs w:val="17"/>
          <w:color w:val="auto"/>
        </w:rPr>
        <w:t>For more information about us, including free access to our annual reports on Form 10-K, quarterly reports on Form 10-Q, current reports on Form 8-K and amendments to those reports, visit our website, www.arcutis.com. The information found on or accessible through our website is not incorporated into, and does not form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44" w:lineRule="exact"/>
        <w:rPr>
          <w:sz w:val="20"/>
          <w:szCs w:val="20"/>
          <w:color w:val="auto"/>
        </w:rPr>
      </w:pPr>
    </w:p>
    <w:p>
      <w:pPr>
        <w:ind w:firstLine="620"/>
        <w:spacing w:after="0" w:line="259" w:lineRule="auto"/>
        <w:rPr>
          <w:sz w:val="20"/>
          <w:szCs w:val="20"/>
          <w:color w:val="auto"/>
        </w:rPr>
      </w:pPr>
      <w:r>
        <w:rPr>
          <w:rFonts w:ascii="Arial" w:cs="Arial" w:eastAsia="Arial" w:hAnsi="Arial"/>
          <w:sz w:val="17"/>
          <w:szCs w:val="17"/>
          <w:i w:val="1"/>
          <w:iCs w:val="1"/>
          <w:color w:val="auto"/>
        </w:rPr>
        <w:t>This Annual Report on Form 10-K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This discussion should be read in conjunction with the other information in this Annual Report on Form 10-K, including our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Additional risks and uncertainties not presently known to us or that we currently deem immaterial may also impair our business operations.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Limited Operating History, Financial Condition, and Capital Requirements</w:t>
      </w:r>
    </w:p>
    <w:p>
      <w:pPr>
        <w:spacing w:after="0" w:line="15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We are a late-stage biopharmaceutical company with a limited operating history and no products approved for commercial sale, and we have incurred significant losses since our inception. We anticipate that we will continue to incur losses for the foreseeable future, which, together with our limited operating history, makes it difficult to assess our future viability.</w:t>
      </w:r>
    </w:p>
    <w:p>
      <w:pPr>
        <w:spacing w:after="0" w:line="102" w:lineRule="exact"/>
        <w:rPr>
          <w:sz w:val="20"/>
          <w:szCs w:val="20"/>
          <w:color w:val="auto"/>
        </w:rPr>
      </w:pPr>
    </w:p>
    <w:p>
      <w:pPr>
        <w:ind w:right="80" w:firstLine="620"/>
        <w:spacing w:after="0" w:line="256" w:lineRule="auto"/>
        <w:rPr>
          <w:sz w:val="20"/>
          <w:szCs w:val="20"/>
          <w:color w:val="auto"/>
        </w:rPr>
      </w:pPr>
      <w:r>
        <w:rPr>
          <w:rFonts w:ascii="Arial" w:cs="Arial" w:eastAsia="Arial" w:hAnsi="Arial"/>
          <w:sz w:val="17"/>
          <w:szCs w:val="17"/>
          <w:color w:val="auto"/>
        </w:rPr>
        <w:t>We are a late-stage biopharmaceutical company with a limited operating history. Biopharmaceutical product development is a highly speculative undertaking and involves a substantial degree of risk. We have no products approved for commercial sale and have not generated any revenue from product sales and have incurred losses in each year since our inception in June 2016. We have a limited operating history upon which you can evaluate our business and prospects, and have not yet demonstrated an ability to successfully overcome many of the risks and uncertainties frequently encountered by companies in new and rapidly evolving fields. Our operations to date have been limited to organizing and staffing our company, business planning, raising capital, identifying potential product candidates, establishing licensing arrangements, undertaking various research and nonclinical studies, conducting clinical trials for our product candidates, and preparing for commercialization activities.</w:t>
      </w:r>
    </w:p>
    <w:p>
      <w:pPr>
        <w:spacing w:after="0" w:line="130"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We have never generated any revenue from product sales and have incurred losses in each year since our inception in June 2016. We have not yet demonstrated our ability to successfully obtain regulatory approvals or conduct sales and marketing activities necessary for successful commercialization.</w:t>
      </w:r>
    </w:p>
    <w:p>
      <w:pPr>
        <w:spacing w:after="0" w:line="125" w:lineRule="exact"/>
        <w:rPr>
          <w:sz w:val="20"/>
          <w:szCs w:val="20"/>
          <w:color w:val="auto"/>
        </w:rPr>
      </w:pPr>
    </w:p>
    <w:p>
      <w:pPr>
        <w:ind w:right="160" w:firstLine="620"/>
        <w:spacing w:after="0" w:line="256" w:lineRule="auto"/>
        <w:rPr>
          <w:sz w:val="20"/>
          <w:szCs w:val="20"/>
          <w:color w:val="auto"/>
        </w:rPr>
      </w:pPr>
      <w:r>
        <w:rPr>
          <w:rFonts w:ascii="Arial" w:cs="Arial" w:eastAsia="Arial" w:hAnsi="Arial"/>
          <w:sz w:val="17"/>
          <w:szCs w:val="17"/>
          <w:color w:val="auto"/>
        </w:rPr>
        <w:t>Our net loss for the years ended December 31, 2021 and 2020 was approximately $ 206.4 million and $135.7 million, respectively. As of December 31, 2021, we had an accumulated deficit of $408.3 million. We expect to continue to incur losses for the foreseeable future, and we anticipate these losses will increase as we continue to prepare for commercialization activities, develop our product candidates, conduct clinical trials, and pursue research and development activities. We may never achieve profitability and, even if we do, we may not be able to sustain profitability in subsequent periods. We will continue to incur significant research and development and other expenses related to our ongoing operations and the development of our product candidates. Our prior losses, combined with expected future losses, have had and will continue to have an adverse effect on our stockholders’ equity (deficit) and working capital.</w:t>
      </w:r>
    </w:p>
    <w:p>
      <w:pPr>
        <w:spacing w:after="0" w:line="117"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We may encounter unforeseen expenses, difficulties, complications, delays, and other known or unknown factors in achieving our business objectives. We will need to transition at some point from a company with a development focus to a company capable of supporting commercial activities. We may not be successful in such a transition.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right="560"/>
        <w:spacing w:after="0" w:line="273" w:lineRule="auto"/>
        <w:rPr>
          <w:sz w:val="20"/>
          <w:szCs w:val="20"/>
          <w:color w:val="auto"/>
        </w:rPr>
      </w:pPr>
      <w:r>
        <w:rPr>
          <w:rFonts w:ascii="Arial" w:cs="Arial" w:eastAsia="Arial" w:hAnsi="Arial"/>
          <w:sz w:val="17"/>
          <w:szCs w:val="17"/>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spacing w:after="0" w:line="102" w:lineRule="exact"/>
        <w:rPr>
          <w:sz w:val="20"/>
          <w:szCs w:val="20"/>
          <w:color w:val="auto"/>
        </w:rPr>
      </w:pPr>
    </w:p>
    <w:p>
      <w:pPr>
        <w:ind w:right="20" w:firstLine="620"/>
        <w:spacing w:after="0" w:line="255" w:lineRule="auto"/>
        <w:rPr>
          <w:sz w:val="20"/>
          <w:szCs w:val="20"/>
          <w:color w:val="auto"/>
        </w:rPr>
      </w:pPr>
      <w:r>
        <w:rPr>
          <w:rFonts w:ascii="Arial" w:cs="Arial" w:eastAsia="Arial" w:hAnsi="Arial"/>
          <w:sz w:val="17"/>
          <w:szCs w:val="17"/>
          <w:color w:val="auto"/>
        </w:rPr>
        <w:t>Since our inception, we have invested substantially all of our efforts and financial resources in research and development activities, and we expect to continue to expend substantial resources for the foreseeable future in connection with the development of our current product candidates, roflumilast cream, roflumilast foam, ARQ-252 and ARQ-255, the development or acquisition of additional product candidates, and the maintenance and expansion of our business operations and capabilities. These expenditures will include costs associated with conducting nonclinical studies and clinical trials, obtaining regulatory approvals, and securing manufacturing and supply of product candidates, and marketing and selling any products approved for sale. These expenditures may also include costs associated with in-licensing dermatology assets consistent with our core strategy. In addition, other unanticipated costs may arise. Because the outcome of any nonclinical study or clinical trial is highly uncertain, we cannot reasonably estimate the actual amounts necessary to successfully complete the development and commercialization of our lead product candidates and any future product candidates.</w:t>
      </w:r>
    </w:p>
    <w:p>
      <w:pPr>
        <w:spacing w:after="0" w:line="134"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As of December 31, 2021, we had capital resources consisting of cash, cash equivalents, and marketable securities of $387.1 million. In addition, as of December 31, 2021, we had $75.0 million outstanding under our Loan Agreement and an aggregate of up to $150.0 million in additional funding under our loan and security agreement that may become available subject to the satisfaction of specified conditions. Based on our planned operations, we believe that our existing cash, cash equivalents, and marketable securities, combined with committed funding under the Loan Agreement, will be sufficient to fund our operations into 2024. However, our operating plans may change as a result of many factors currently unknown to us, and we may need to seek additional funds sooner than planned, through public or private equity or debt financings or other sources, such as strategic collaborations. Such financing may result in dilution to stockholders, imposition of burdensome debt covenants and repayment obligations, or other restrictions that may affect our business. In addition, we may seek additional capital due to favorable market conditions or strategic considerations even if we believe we have sufficient funds for our current or future operating plans.</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future capital requirements depend on many factors, including, but not limited to:</w:t>
      </w:r>
    </w:p>
    <w:p>
      <w:pPr>
        <w:spacing w:after="0" w:line="140" w:lineRule="exact"/>
        <w:rPr>
          <w:sz w:val="20"/>
          <w:szCs w:val="20"/>
          <w:color w:val="auto"/>
        </w:rPr>
      </w:pPr>
    </w:p>
    <w:p>
      <w:pPr>
        <w:ind w:left="780" w:right="60" w:hanging="156"/>
        <w:spacing w:after="0" w:line="258"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lead product candidates or any future product candidates, and conducting nonclinical studies and clinical trials, in particular our planned or ongoing clinical studies of roflumilast cream in plaque psoriasis and atopic dermatitis, roflumilast foam in seborrheic dermatitis and scalp and body psoriasis, ARQ-252 in chronic hand eczema and vitiligo, and our formulation and nonclinical efforts for ARQ-255 in alopecia areata;</w:t>
      </w:r>
    </w:p>
    <w:p>
      <w:pPr>
        <w:spacing w:after="0" w:line="128" w:lineRule="exact"/>
        <w:rPr>
          <w:rFonts w:ascii="Arial" w:cs="Arial" w:eastAsia="Arial" w:hAnsi="Arial"/>
          <w:sz w:val="17"/>
          <w:szCs w:val="17"/>
          <w:color w:val="auto"/>
        </w:rPr>
      </w:pPr>
    </w:p>
    <w:p>
      <w:pPr>
        <w:ind w:left="780" w:right="460" w:hanging="156"/>
        <w:spacing w:after="0" w:line="269"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suspensions or delays in the enrollment, issues with data collection, or changes to the number of subjects we decide to enroll in our ongoing clinical trials as a result of the COVID-19 pandemic, competing trials or otherwise;</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number and scope of clinical programs we decide to pursue;</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timing, and outcome of regulatory review of our product candidates;</w:t>
      </w:r>
    </w:p>
    <w:p>
      <w:pPr>
        <w:spacing w:after="0" w:line="153" w:lineRule="exact"/>
        <w:rPr>
          <w:rFonts w:ascii="Arial" w:cs="Arial" w:eastAsia="Arial" w:hAnsi="Arial"/>
          <w:sz w:val="17"/>
          <w:szCs w:val="17"/>
          <w:color w:val="auto"/>
        </w:rPr>
      </w:pPr>
    </w:p>
    <w:p>
      <w:pPr>
        <w:ind w:left="780" w:right="280" w:hanging="156"/>
        <w:spacing w:after="0" w:line="269"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of manufacturing our product candidates and any products we commercialize, including costs associated with building out our supply chain;</w:t>
      </w:r>
    </w:p>
    <w:p>
      <w:pPr>
        <w:spacing w:after="0" w:line="117" w:lineRule="exact"/>
        <w:rPr>
          <w:rFonts w:ascii="Arial" w:cs="Arial" w:eastAsia="Arial" w:hAnsi="Arial"/>
          <w:sz w:val="17"/>
          <w:szCs w:val="17"/>
          <w:color w:val="auto"/>
        </w:rPr>
      </w:pPr>
    </w:p>
    <w:p>
      <w:pPr>
        <w:ind w:left="780" w:right="80" w:hanging="156"/>
        <w:spacing w:after="0" w:line="269"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of commercialization activities if any of our product candidates are approved for sale, including marketing, sales, and distribution costs, and any discounts or rebates to channel to obtain access;</w:t>
      </w:r>
    </w:p>
    <w:p>
      <w:pPr>
        <w:spacing w:after="0" w:line="104" w:lineRule="exact"/>
        <w:rPr>
          <w:rFonts w:ascii="Arial" w:cs="Arial" w:eastAsia="Arial" w:hAnsi="Arial"/>
          <w:sz w:val="17"/>
          <w:szCs w:val="17"/>
          <w:color w:val="auto"/>
        </w:rPr>
      </w:pPr>
    </w:p>
    <w:p>
      <w:pPr>
        <w:ind w:left="780" w:hanging="156"/>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of building a sales force in anticipation of product commercialization;</w:t>
      </w:r>
    </w:p>
    <w:p>
      <w:pPr>
        <w:spacing w:after="0" w:line="153" w:lineRule="exact"/>
        <w:rPr>
          <w:rFonts w:ascii="Arial" w:cs="Arial" w:eastAsia="Arial" w:hAnsi="Arial"/>
          <w:sz w:val="17"/>
          <w:szCs w:val="17"/>
          <w:color w:val="auto"/>
        </w:rPr>
      </w:pPr>
    </w:p>
    <w:p>
      <w:pPr>
        <w:ind w:left="780" w:right="700" w:hanging="156"/>
        <w:spacing w:after="0" w:line="269"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any such agreements that we may enter into;</w:t>
      </w:r>
    </w:p>
    <w:p>
      <w:pPr>
        <w:spacing w:after="0" w:line="117" w:lineRule="exact"/>
        <w:rPr>
          <w:rFonts w:ascii="Arial" w:cs="Arial" w:eastAsia="Arial" w:hAnsi="Arial"/>
          <w:sz w:val="17"/>
          <w:szCs w:val="17"/>
          <w:color w:val="auto"/>
        </w:rPr>
      </w:pPr>
    </w:p>
    <w:p>
      <w:pPr>
        <w:ind w:left="780" w:right="340" w:hanging="156"/>
        <w:spacing w:after="0" w:line="269"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and amount of milestone payments due to AstraZeneca, Hengrui, or any future collaboration or licensing partners upon the achievement of negotiated milestones;</w:t>
      </w:r>
    </w:p>
    <w:p>
      <w:pPr>
        <w:spacing w:after="0" w:line="104" w:lineRule="exact"/>
        <w:rPr>
          <w:rFonts w:ascii="Arial" w:cs="Arial" w:eastAsia="Arial" w:hAnsi="Arial"/>
          <w:sz w:val="17"/>
          <w:szCs w:val="17"/>
          <w:color w:val="auto"/>
        </w:rPr>
      </w:pPr>
    </w:p>
    <w:p>
      <w:pPr>
        <w:ind w:left="780" w:hanging="156"/>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expenses needed to attract and retain skilled personnel;</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left="780" w:hanging="156"/>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defending, and enforcing our intellectual property portfolio; and</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receipt, and amount of sales of any future approved products, if any.</w:t>
      </w:r>
    </w:p>
    <w:p>
      <w:pPr>
        <w:spacing w:after="0" w:line="153" w:lineRule="exact"/>
        <w:rPr>
          <w:sz w:val="20"/>
          <w:szCs w:val="20"/>
          <w:color w:val="auto"/>
        </w:rPr>
      </w:pPr>
    </w:p>
    <w:p>
      <w:pPr>
        <w:ind w:right="40" w:firstLine="620"/>
        <w:spacing w:after="0" w:line="258" w:lineRule="auto"/>
        <w:rPr>
          <w:sz w:val="20"/>
          <w:szCs w:val="20"/>
          <w:color w:val="auto"/>
        </w:rPr>
      </w:pPr>
      <w:r>
        <w:rPr>
          <w:rFonts w:ascii="Arial" w:cs="Arial" w:eastAsia="Arial" w:hAnsi="Arial"/>
          <w:sz w:val="17"/>
          <w:szCs w:val="17"/>
          <w:color w:val="auto"/>
        </w:rPr>
        <w:t>Adequate additional funds may not be available when we need them, on terms that are acceptable to us, or at all. If adequate funds are not available to us on a timely basis or on attractive terms, we may be required to reduce our workforce, delay, limit, reduce, or terminate our research and development activities, nonclinical studies, clinical trials or other development activities, and future commercialization efforts, or grant rights to develop and market product candidates, such as roflumilast cream, that we would otherwise develop and market ourselves.</w:t>
      </w:r>
    </w:p>
    <w:p>
      <w:pPr>
        <w:spacing w:after="0" w:line="109"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future operating results to fall below expectations.</w:t>
      </w:r>
    </w:p>
    <w:p>
      <w:pPr>
        <w:spacing w:after="0" w:line="85" w:lineRule="exact"/>
        <w:rPr>
          <w:sz w:val="20"/>
          <w:szCs w:val="20"/>
          <w:color w:val="auto"/>
        </w:rPr>
      </w:pPr>
    </w:p>
    <w:p>
      <w:pPr>
        <w:ind w:right="80" w:firstLine="620"/>
        <w:spacing w:after="0" w:line="258" w:lineRule="auto"/>
        <w:rPr>
          <w:sz w:val="20"/>
          <w:szCs w:val="20"/>
          <w:color w:val="auto"/>
        </w:rPr>
      </w:pPr>
      <w:r>
        <w:rPr>
          <w:rFonts w:ascii="Arial" w:cs="Arial" w:eastAsia="Arial" w:hAnsi="Arial"/>
          <w:sz w:val="17"/>
          <w:szCs w:val="17"/>
          <w:color w:val="auto"/>
        </w:rPr>
        <w:t>Our operations to date have been primarily limited to researching and developing our product candidates and undertaking nonclinical studies and clinical trials of our product candidates. We have not yet obtained regulatory approvals for any of our product candidates. Furthermore, our operating results may fluctuate due to a variety of factors, many of which are outside of our control and may be difficult to predict, including the following:</w:t>
      </w:r>
    </w:p>
    <w:p>
      <w:pPr>
        <w:spacing w:after="0" w:line="129" w:lineRule="exact"/>
        <w:rPr>
          <w:sz w:val="20"/>
          <w:szCs w:val="20"/>
          <w:color w:val="auto"/>
        </w:rPr>
      </w:pPr>
    </w:p>
    <w:p>
      <w:pPr>
        <w:ind w:left="780" w:right="40" w:hanging="156"/>
        <w:spacing w:after="0" w:line="269" w:lineRule="auto"/>
        <w:tabs>
          <w:tab w:leader="none" w:pos="776"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delays in the commencement, enrollment, and the timing of clinical testing for our product candidates, in light of the COVID-19 pandemic, competing trials or otherwise;</w:t>
      </w:r>
    </w:p>
    <w:p>
      <w:pPr>
        <w:spacing w:after="0" w:line="117" w:lineRule="exact"/>
        <w:rPr>
          <w:rFonts w:ascii="Arial" w:cs="Arial" w:eastAsia="Arial" w:hAnsi="Arial"/>
          <w:sz w:val="17"/>
          <w:szCs w:val="17"/>
          <w:color w:val="auto"/>
        </w:rPr>
      </w:pPr>
    </w:p>
    <w:p>
      <w:pPr>
        <w:ind w:left="780" w:right="140" w:hanging="156"/>
        <w:spacing w:after="0" w:line="269" w:lineRule="auto"/>
        <w:tabs>
          <w:tab w:leader="none" w:pos="77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04" w:lineRule="exact"/>
        <w:rPr>
          <w:rFonts w:ascii="Arial" w:cs="Arial" w:eastAsia="Arial" w:hAnsi="Arial"/>
          <w:sz w:val="17"/>
          <w:szCs w:val="17"/>
          <w:color w:val="auto"/>
        </w:rPr>
      </w:pPr>
    </w:p>
    <w:p>
      <w:pPr>
        <w:ind w:left="780" w:hanging="156"/>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delays in regulatory review and approval of product candidates in clinical development, or failure to obtain such approvals;</w:t>
      </w:r>
    </w:p>
    <w:p>
      <w:pPr>
        <w:spacing w:after="0" w:line="153" w:lineRule="exact"/>
        <w:rPr>
          <w:rFonts w:ascii="Arial" w:cs="Arial" w:eastAsia="Arial" w:hAnsi="Arial"/>
          <w:sz w:val="17"/>
          <w:szCs w:val="17"/>
          <w:color w:val="auto"/>
        </w:rPr>
      </w:pPr>
    </w:p>
    <w:p>
      <w:pPr>
        <w:ind w:left="780" w:right="440" w:hanging="156"/>
        <w:spacing w:after="0" w:line="269" w:lineRule="auto"/>
        <w:tabs>
          <w:tab w:leader="none" w:pos="77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117" w:lineRule="exact"/>
        <w:rPr>
          <w:rFonts w:ascii="Arial" w:cs="Arial" w:eastAsia="Arial" w:hAnsi="Arial"/>
          <w:sz w:val="17"/>
          <w:szCs w:val="17"/>
          <w:color w:val="auto"/>
        </w:rPr>
      </w:pPr>
    </w:p>
    <w:p>
      <w:pPr>
        <w:ind w:left="780" w:right="60" w:hanging="156"/>
        <w:spacing w:after="0" w:line="269" w:lineRule="auto"/>
        <w:tabs>
          <w:tab w:leader="none" w:pos="77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 of manufacturing our product candidates, which may vary depending on U.S. FDA guidelines and requirements, and the quantity of production;</w:t>
      </w:r>
    </w:p>
    <w:p>
      <w:pPr>
        <w:spacing w:after="0" w:line="104" w:lineRule="exact"/>
        <w:rPr>
          <w:rFonts w:ascii="Arial" w:cs="Arial" w:eastAsia="Arial" w:hAnsi="Arial"/>
          <w:sz w:val="17"/>
          <w:szCs w:val="17"/>
          <w:color w:val="auto"/>
        </w:rPr>
      </w:pPr>
    </w:p>
    <w:p>
      <w:pPr>
        <w:ind w:left="780" w:hanging="156"/>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obtain additional funding to develop our product candidates;</w:t>
      </w:r>
    </w:p>
    <w:p>
      <w:pPr>
        <w:spacing w:after="0" w:line="153" w:lineRule="exact"/>
        <w:rPr>
          <w:rFonts w:ascii="Arial" w:cs="Arial" w:eastAsia="Arial" w:hAnsi="Arial"/>
          <w:sz w:val="17"/>
          <w:szCs w:val="17"/>
          <w:color w:val="auto"/>
        </w:rPr>
      </w:pPr>
    </w:p>
    <w:p>
      <w:pPr>
        <w:ind w:left="780" w:right="800" w:hanging="156"/>
        <w:spacing w:after="0" w:line="269" w:lineRule="auto"/>
        <w:tabs>
          <w:tab w:leader="none" w:pos="776"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expenditures that we will or may incur to acquire or develop additional product candidates and technologies, which may include obligations to make significant upfront and milestone payments;</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40" w:lineRule="exact"/>
        <w:rPr>
          <w:rFonts w:ascii="Arial" w:cs="Arial" w:eastAsia="Arial" w:hAnsi="Arial"/>
          <w:sz w:val="17"/>
          <w:szCs w:val="17"/>
          <w:color w:val="auto"/>
        </w:rPr>
      </w:pPr>
    </w:p>
    <w:p>
      <w:pPr>
        <w:ind w:left="780" w:right="160" w:hanging="156"/>
        <w:spacing w:after="0" w:line="269" w:lineRule="auto"/>
        <w:tabs>
          <w:tab w:leader="none" w:pos="776"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side effects of our product candidates that could delay or prevent commercialization or cause an approved drug to be taken off the market;</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ability of patients or healthcare providers to obtain coverage of or sufficient reimbursement for our product candidates, if approved;</w:t>
      </w:r>
    </w:p>
    <w:p>
      <w:pPr>
        <w:spacing w:after="0" w:line="153" w:lineRule="exact"/>
        <w:rPr>
          <w:rFonts w:ascii="Arial" w:cs="Arial" w:eastAsia="Arial" w:hAnsi="Arial"/>
          <w:sz w:val="17"/>
          <w:szCs w:val="17"/>
          <w:color w:val="auto"/>
        </w:rPr>
      </w:pPr>
    </w:p>
    <w:p>
      <w:pPr>
        <w:ind w:left="780" w:right="260" w:hanging="156"/>
        <w:spacing w:after="0" w:line="269" w:lineRule="auto"/>
        <w:tabs>
          <w:tab w:leader="none" w:pos="77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willingness of patients to pay out-of-pocket for our product candidates, if approved, in the absence of health insurance coverage or sufficient reimbursement;</w:t>
      </w:r>
    </w:p>
    <w:p>
      <w:pPr>
        <w:spacing w:after="0" w:line="104" w:lineRule="exact"/>
        <w:rPr>
          <w:rFonts w:ascii="Arial" w:cs="Arial" w:eastAsia="Arial" w:hAnsi="Arial"/>
          <w:sz w:val="17"/>
          <w:szCs w:val="17"/>
          <w:color w:val="auto"/>
        </w:rPr>
      </w:pPr>
    </w:p>
    <w:p>
      <w:pPr>
        <w:ind w:left="780" w:right="160" w:hanging="156"/>
        <w:spacing w:after="0" w:line="269" w:lineRule="auto"/>
        <w:tabs>
          <w:tab w:leader="none" w:pos="776"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dependency on Contract Research Organizations (CROs) to help manage our clinical trials, and third-party manufacturers to supply or manufacture our product candidates;</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establish an effective sales, marketing, and distribution infrastructure in a timely manner;</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market acceptance of our product candidates, if approved, and our ability to forecast demand for those product candidates;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receive approval and commercialize our product candidates both within and outside of the United States;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licensing, or other arrangements with respect to our product candidates;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left="780" w:hanging="156"/>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maintain and enforce our intellectual property position;</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costs related to and outcomes of potential litigation or other disputes in respect of our product candidates and our business;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adequately support future growth;</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attract and retain key personnel to manage our business effectively;</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 liabilities associated with hazardous materials;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maintain adequate insurance policies; and</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w:t>
      </w:r>
    </w:p>
    <w:p>
      <w:pPr>
        <w:spacing w:after="0" w:line="140" w:lineRule="exact"/>
        <w:rPr>
          <w:sz w:val="20"/>
          <w:szCs w:val="20"/>
          <w:color w:val="auto"/>
        </w:rPr>
      </w:pPr>
    </w:p>
    <w:p>
      <w:pPr>
        <w:ind w:right="40" w:firstLine="620"/>
        <w:spacing w:after="0" w:line="258"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09"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b w:val="1"/>
          <w:bCs w:val="1"/>
          <w:i w:val="1"/>
          <w:iCs w:val="1"/>
          <w:color w:val="auto"/>
        </w:rPr>
        <w:t>Our estimated market opportunities for our product candidates are subject to numerous uncertainties and may prove to be inaccurate. If we have overestimated the size of our market opportunities, our future growth may be limited.</w:t>
      </w:r>
    </w:p>
    <w:p>
      <w:pPr>
        <w:spacing w:after="0" w:line="98"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Our estimated addressable markets and market opportunities for our product candidates are based on a variety of inputs, including data published by third parties, our own market insights and internal market intelligence, and internally generated data and assumptions. We have not independently verified any third-party information and there can be no assurance as to its accuracy or completeness. Market opportunity estimates, whether obtained or derived from third-party sources or developed internally, are subject to significant uncertainty and are based on assumptions and estimates that may not prove to be accurate. While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Annual Report on Form 10-K. If this third-party or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 The estimates of our market opportunities included in this Annual Report on Form 10-K should not be taken as indicative of our ability to grow our business.</w:t>
      </w:r>
    </w:p>
    <w:p>
      <w:pPr>
        <w:spacing w:after="0" w:line="9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The terms of our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15" w:lineRule="exact"/>
        <w:rPr>
          <w:sz w:val="20"/>
          <w:szCs w:val="20"/>
          <w:color w:val="auto"/>
        </w:rPr>
      </w:pPr>
    </w:p>
    <w:p>
      <w:pPr>
        <w:ind w:right="100" w:firstLine="620"/>
        <w:spacing w:after="0" w:line="255" w:lineRule="auto"/>
        <w:rPr>
          <w:sz w:val="20"/>
          <w:szCs w:val="20"/>
          <w:color w:val="auto"/>
        </w:rPr>
      </w:pPr>
      <w:r>
        <w:rPr>
          <w:rFonts w:ascii="Arial" w:cs="Arial" w:eastAsia="Arial" w:hAnsi="Arial"/>
          <w:sz w:val="17"/>
          <w:szCs w:val="17"/>
          <w:color w:val="auto"/>
        </w:rPr>
        <w:t>As of December 31, 2021, we had $75.0 million outstanding under our loan and security agreement, or the Loan Agreement, with SLR Investment Corp., or SLR, and the lenders party thereto. Pursuant to the Loan Agreement, the lenders agreed to extend us term loans in an aggregate principal amount of up to $ 225.0 million, comprised of: (i) a tranche A term loan of $75.0 million, (ii) a tranche B-1 term loan of $50.0 million, (iii) a tranche B-2 term loan of up to $75.0 million, available in minimum increments of $15.0 million, and (iv) a tranche C term loan of up to $25.0 million. We refer to the tranche A, tranche B and tranche C term loans together as our Term Loans. As security for the obligations under the Loan Agreement, we granted SLR, for the benefit of the lenders, a continuing security interest in substantially all of our assets, including our intellectual property, subject to certain exceptions. The Loan Agreement contains a number of representations and warranties and affirmative and restrictive covenants, including financial covenants, and the terms may restrict our current and future operations, particularly our ability to respond to certain changes in our business or industry, or take future actions. See “Management’s Discussion and Analysis of Financial Condition and Results of Operations—Liquidity and Capital Resources—Indebtedness.”</w:t>
      </w:r>
    </w:p>
    <w:p>
      <w:pPr>
        <w:spacing w:after="0" w:line="133" w:lineRule="exact"/>
        <w:rPr>
          <w:sz w:val="20"/>
          <w:szCs w:val="20"/>
          <w:color w:val="auto"/>
        </w:rPr>
      </w:pPr>
    </w:p>
    <w:p>
      <w:pPr>
        <w:ind w:right="20" w:firstLine="620"/>
        <w:spacing w:after="0" w:line="257" w:lineRule="auto"/>
        <w:rPr>
          <w:sz w:val="20"/>
          <w:szCs w:val="20"/>
          <w:color w:val="auto"/>
        </w:rPr>
      </w:pPr>
      <w:r>
        <w:rPr>
          <w:rFonts w:ascii="Arial" w:cs="Arial" w:eastAsia="Arial" w:hAnsi="Arial"/>
          <w:sz w:val="17"/>
          <w:szCs w:val="17"/>
          <w:color w:val="auto"/>
        </w:rPr>
        <w:t>If the debt under the Loan Agreement were accelerated due to an event of default or otherwise, we may not have sufficient cash or be able to sell sufficient assets to repay this debt, which would harm our business and financial condition. If we do not have or are unable to generate sufficient cash to repay our debt obligations when they become due and payable, either upon maturity or in the event of a default, our assets could be foreclosed upon and we may not be able to obtain additional debt or equity financing on favorable terms, if at all, which may negatively impact our ability to operate and continue our business as a going concern. Moreover, regardless of a</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potential event of default, the debt under the Loan Agreement matures and is due on January 1, 2027. As a result, we may need to refinance or secure separate financing in order to repay amounts outstanding when due, however, no assurance can be given that an extension will be granted, that we will be able to renegotiate the terms of the agreement with the lender or that we will be able to secure separate debt or equity financing on favorable terms, if at all.</w:t>
      </w:r>
    </w:p>
    <w:p>
      <w:pPr>
        <w:spacing w:after="0" w:line="116"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In order to service our indebtedness, we need to generate cash from our operating activities or additional equity or debt financing.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may place us at a competitive disadvantage compared to our competitors that have less indebtedness.</w:t>
      </w:r>
    </w:p>
    <w:p>
      <w:pPr>
        <w:spacing w:after="0" w:line="106"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Risks Related to Development and Commercialization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dependent on the development, regulatory approval, and commercialization of our current product candidates.</w:t>
      </w:r>
    </w:p>
    <w:p>
      <w:pPr>
        <w:spacing w:after="0" w:line="160" w:lineRule="exact"/>
        <w:rPr>
          <w:sz w:val="20"/>
          <w:szCs w:val="20"/>
          <w:color w:val="auto"/>
        </w:rPr>
      </w:pPr>
    </w:p>
    <w:p>
      <w:pPr>
        <w:ind w:right="40" w:firstLine="620"/>
        <w:spacing w:after="0" w:line="255" w:lineRule="auto"/>
        <w:rPr>
          <w:sz w:val="20"/>
          <w:szCs w:val="20"/>
          <w:color w:val="auto"/>
        </w:rPr>
      </w:pPr>
      <w:r>
        <w:rPr>
          <w:rFonts w:ascii="Arial" w:cs="Arial" w:eastAsia="Arial" w:hAnsi="Arial"/>
          <w:sz w:val="17"/>
          <w:szCs w:val="17"/>
          <w:color w:val="auto"/>
        </w:rPr>
        <w:t>We currently have no products that are approved for commercial sale. Our current portfolio includes our lead product candidate roflumilast cream, a potent PDE4 inhibitor topical cream for the treatment of plaque psoriasis and atopic dermatitis, and our additional product candidates roflumilast foam, a topical foam formulation of roflumilast for the treatment of scalp and body psoriasis and seborrheic dermatitis, ARQ-252, a potent and highly selective topical JAK1 inhibitor for the treatment of chronic hand eczema and vitiligo, and ARQ-255, a potential topical treatment for alopecia areata. We currently do not have drug discovery efforts, and we have no intention to develop these. The success of our business, including our ability to finance our company and generate any revenue in the future, will primarily depend on the successful development, regulatory approval, and commercialization of our current product candidates. We expect to conduct most of our clinical trials in the United States and Canada, with currently limited plans for clinical trials in Australia, the Caribbean, and the EU. We currently anticipate seeking regulatory approvals in the United States and Canada, but may in the future be subject to additional foreign regulatory authorities and may out-license our product candidates or approved products, if any, in additional foreign markets. In the future, we may also become dependent on other product candidates that we may develop, acquire, or in-license. The clinical and commercial success of our product candidates will depend on a number of factors, including the following:</w:t>
      </w:r>
    </w:p>
    <w:p>
      <w:pPr>
        <w:spacing w:after="0" w:line="131" w:lineRule="exact"/>
        <w:rPr>
          <w:sz w:val="20"/>
          <w:szCs w:val="20"/>
          <w:color w:val="auto"/>
        </w:rPr>
      </w:pPr>
    </w:p>
    <w:p>
      <w:pPr>
        <w:ind w:left="780" w:hanging="156"/>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ability to raise any additional required capital on acceptable terms, or at all;</w:t>
      </w:r>
    </w:p>
    <w:p>
      <w:pPr>
        <w:spacing w:after="0" w:line="153" w:lineRule="exact"/>
        <w:rPr>
          <w:rFonts w:ascii="Arial" w:cs="Arial" w:eastAsia="Arial" w:hAnsi="Arial"/>
          <w:sz w:val="17"/>
          <w:szCs w:val="17"/>
          <w:color w:val="auto"/>
        </w:rPr>
      </w:pPr>
    </w:p>
    <w:p>
      <w:pPr>
        <w:ind w:left="780" w:hanging="156"/>
        <w:spacing w:after="0" w:line="261" w:lineRule="auto"/>
        <w:tabs>
          <w:tab w:leader="none" w:pos="77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timely completion of our nonclinical studies and clinical trials, which may be significantly slower or cost more than we currently anticipate, particularly as a result of the impact of the COVID-19 pandemic and competitive trials, and will depend substantially upon the performance of third-party contractors;</w:t>
      </w:r>
    </w:p>
    <w:p>
      <w:pPr>
        <w:spacing w:after="0" w:line="111" w:lineRule="exact"/>
        <w:rPr>
          <w:rFonts w:ascii="Arial" w:cs="Arial" w:eastAsia="Arial" w:hAnsi="Arial"/>
          <w:sz w:val="17"/>
          <w:szCs w:val="17"/>
          <w:color w:val="auto"/>
        </w:rPr>
      </w:pPr>
    </w:p>
    <w:p>
      <w:pPr>
        <w:ind w:left="780" w:right="220" w:hanging="156"/>
        <w:spacing w:after="0" w:line="269" w:lineRule="auto"/>
        <w:tabs>
          <w:tab w:leader="none" w:pos="776"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117" w:lineRule="exact"/>
        <w:rPr>
          <w:rFonts w:ascii="Arial" w:cs="Arial" w:eastAsia="Arial" w:hAnsi="Arial"/>
          <w:sz w:val="17"/>
          <w:szCs w:val="17"/>
          <w:color w:val="auto"/>
        </w:rPr>
      </w:pPr>
    </w:p>
    <w:p>
      <w:pPr>
        <w:ind w:left="780" w:right="300" w:hanging="156"/>
        <w:spacing w:after="0" w:line="269" w:lineRule="auto"/>
        <w:tabs>
          <w:tab w:leader="none" w:pos="77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acceptance of our proposed indications and primary and secondary endpoint assessments relating to the proposed indications of our product candidates by the FDA and similar foreign regulatory authorities;</w:t>
      </w:r>
    </w:p>
    <w:p>
      <w:pPr>
        <w:spacing w:after="0" w:line="117" w:lineRule="exact"/>
        <w:rPr>
          <w:rFonts w:ascii="Arial" w:cs="Arial" w:eastAsia="Arial" w:hAnsi="Arial"/>
          <w:sz w:val="17"/>
          <w:szCs w:val="17"/>
          <w:color w:val="auto"/>
        </w:rPr>
      </w:pPr>
    </w:p>
    <w:p>
      <w:pPr>
        <w:ind w:left="780" w:right="220" w:hanging="156"/>
        <w:spacing w:after="0" w:line="269" w:lineRule="auto"/>
        <w:tabs>
          <w:tab w:leader="none" w:pos="77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prevalence, duration, and severity of potential side effects or other safety issues experienced with our product candidates or future approved products, if any;</w:t>
      </w:r>
    </w:p>
    <w:p>
      <w:pPr>
        <w:spacing w:after="0" w:line="104" w:lineRule="exact"/>
        <w:rPr>
          <w:rFonts w:ascii="Arial" w:cs="Arial" w:eastAsia="Arial" w:hAnsi="Arial"/>
          <w:sz w:val="17"/>
          <w:szCs w:val="17"/>
          <w:color w:val="auto"/>
        </w:rPr>
      </w:pPr>
    </w:p>
    <w:p>
      <w:pPr>
        <w:ind w:left="780" w:hanging="156"/>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timely receipt of necessary marketing approvals from the FDA and similar foreign regulatory authorities;</w:t>
      </w:r>
    </w:p>
    <w:p>
      <w:pPr>
        <w:spacing w:after="0" w:line="153" w:lineRule="exact"/>
        <w:rPr>
          <w:rFonts w:ascii="Arial" w:cs="Arial" w:eastAsia="Arial" w:hAnsi="Arial"/>
          <w:sz w:val="17"/>
          <w:szCs w:val="17"/>
          <w:color w:val="auto"/>
        </w:rPr>
      </w:pPr>
    </w:p>
    <w:p>
      <w:pPr>
        <w:ind w:left="780" w:hanging="156"/>
        <w:spacing w:after="0" w:line="261" w:lineRule="auto"/>
        <w:tabs>
          <w:tab w:leader="none" w:pos="77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achieving, maintaining, and, where applicable, ensuring that our third-party contractors achieve and maintain, compliance with our contractual obligations and with all regulatory requirements applicable to our lead product candidates or any future product candidates or approved products, if any;</w:t>
      </w:r>
    </w:p>
    <w:p>
      <w:pPr>
        <w:spacing w:after="0" w:line="124" w:lineRule="exact"/>
        <w:rPr>
          <w:rFonts w:ascii="Arial" w:cs="Arial" w:eastAsia="Arial" w:hAnsi="Arial"/>
          <w:sz w:val="17"/>
          <w:szCs w:val="17"/>
          <w:color w:val="auto"/>
        </w:rPr>
      </w:pPr>
    </w:p>
    <w:p>
      <w:pPr>
        <w:ind w:left="780" w:hanging="156"/>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willingness of physicians and patients to utilize or adopt our product candidates;</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left="780" w:right="60" w:hanging="156"/>
        <w:spacing w:after="0" w:line="261" w:lineRule="auto"/>
        <w:tabs>
          <w:tab w:leader="none" w:pos="77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of third parties upon which we rely to manufacture clinical trial and commercial supplies of our product candidates or any future product candidates to remain in good standing with relevant regulatory authorities and to develop, validate, and maintain commercially viable manufacturing processes that are compliant with cGMP;</w:t>
      </w:r>
    </w:p>
    <w:p>
      <w:pPr>
        <w:spacing w:after="0" w:line="111" w:lineRule="exact"/>
        <w:rPr>
          <w:rFonts w:ascii="Arial" w:cs="Arial" w:eastAsia="Arial" w:hAnsi="Arial"/>
          <w:sz w:val="17"/>
          <w:szCs w:val="17"/>
          <w:color w:val="auto"/>
        </w:rPr>
      </w:pPr>
    </w:p>
    <w:p>
      <w:pPr>
        <w:ind w:left="780" w:right="40" w:hanging="156"/>
        <w:spacing w:after="0" w:line="258" w:lineRule="auto"/>
        <w:tabs>
          <w:tab w:leader="none" w:pos="776"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 particularly in light of the challenges to sales, marketing, and commercialization activities resulting from the COVID-19 pandemic;</w:t>
      </w:r>
    </w:p>
    <w:p>
      <w:pPr>
        <w:spacing w:after="0" w:line="128" w:lineRule="exact"/>
        <w:rPr>
          <w:rFonts w:ascii="Arial" w:cs="Arial" w:eastAsia="Arial" w:hAnsi="Arial"/>
          <w:sz w:val="17"/>
          <w:szCs w:val="17"/>
          <w:color w:val="auto"/>
        </w:rPr>
      </w:pPr>
    </w:p>
    <w:p>
      <w:pPr>
        <w:ind w:left="780" w:right="540" w:hanging="156"/>
        <w:spacing w:after="0" w:line="269" w:lineRule="auto"/>
        <w:tabs>
          <w:tab w:leader="none" w:pos="77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acceptance by physicians, payors, and patients of the benefits, safety, and efficacy of our product candidates or any future product candidates, if approved, including relative to alternative and competing treatments;</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patient demand for our product candidates, if approved;</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establish and enforce intellectual property rights in and to our product candidates or any future product candidates; and</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avoid third-party patent interference, intellectual property challenges, or intellectual property infringement claims.</w:t>
      </w:r>
    </w:p>
    <w:p>
      <w:pPr>
        <w:spacing w:after="0" w:line="153"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Furthermore, because each of our product candidates targets one or more indications in the medical dermatology field, if any of our product candidates encounter safety or efficacy problems, developmental delays, regulatory issues, supply issues, or other problems, our development plans for the affected product candidate and some or all of our other product candidates could be significantly harmed, which would harm our business. Further, competitors who are developing products in the dermatology field or that target the same indications as us with products that have a similar mechanism of action may experience problems with their products that could indicate or result in class-wide problems or additional requirements that would potentially harm our business.</w:t>
      </w:r>
    </w:p>
    <w:p>
      <w:pPr>
        <w:spacing w:after="0" w:line="119" w:lineRule="exact"/>
        <w:rPr>
          <w:sz w:val="20"/>
          <w:szCs w:val="20"/>
          <w:color w:val="auto"/>
        </w:rPr>
      </w:pPr>
    </w:p>
    <w:p>
      <w:pPr>
        <w:ind w:right="220" w:firstLine="620"/>
        <w:spacing w:after="0" w:line="258" w:lineRule="auto"/>
        <w:rPr>
          <w:sz w:val="20"/>
          <w:szCs w:val="20"/>
          <w:color w:val="auto"/>
        </w:rPr>
      </w:pPr>
      <w:r>
        <w:rPr>
          <w:rFonts w:ascii="Arial" w:cs="Arial" w:eastAsia="Arial" w:hAnsi="Arial"/>
          <w:sz w:val="17"/>
          <w:szCs w:val="17"/>
          <w:color w:val="auto"/>
        </w:rPr>
        <w:t>The factors outlined above, many of which are beyond our control, including the impact on our business resulting from the COVID-19 pandemic, could cause us to experience significant delays or an inability to obtain regulatory approvals or commercialize our product candidates. Accordingly, we cannot provide assurances that we will be able to generate sufficient revenue through the sale of our product candidates or any future product candidates to continue our business.</w:t>
      </w:r>
    </w:p>
    <w:p>
      <w:pPr>
        <w:spacing w:after="0" w:line="109" w:lineRule="exact"/>
        <w:rPr>
          <w:sz w:val="20"/>
          <w:szCs w:val="20"/>
          <w:color w:val="auto"/>
        </w:rPr>
      </w:pPr>
    </w:p>
    <w:p>
      <w:pPr>
        <w:ind w:right="20"/>
        <w:spacing w:after="0" w:line="293"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98" w:lineRule="exact"/>
        <w:rPr>
          <w:sz w:val="20"/>
          <w:szCs w:val="20"/>
          <w:color w:val="auto"/>
        </w:rPr>
      </w:pPr>
    </w:p>
    <w:p>
      <w:pPr>
        <w:ind w:right="160" w:firstLine="620"/>
        <w:spacing w:after="0" w:line="254" w:lineRule="auto"/>
        <w:rPr>
          <w:sz w:val="20"/>
          <w:szCs w:val="20"/>
          <w:color w:val="auto"/>
        </w:rPr>
      </w:pPr>
      <w:r>
        <w:rPr>
          <w:rFonts w:ascii="Arial" w:cs="Arial" w:eastAsia="Arial" w:hAnsi="Arial"/>
          <w:sz w:val="17"/>
          <w:szCs w:val="17"/>
          <w:color w:val="auto"/>
        </w:rPr>
        <w:t>The risk of failure for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nonclinical development and then conduct extensive clinical trials to demonstrate the safety and efficacy of our product candidates in humans. Clinical testing is expensive, difficult to design and implement, can take many years to complete, and is inherently uncertain as to outcome. A failure of one or more clinical trials can occur at any stage of testing. The outcome of nonclinical testing and early clinical trials may not be predictive of the success of later clinical trials, and interim results of a clinical trial do not necessarily predict final results. For example, our Phase 2 proof of concept study in atopic dermatitis had a limited number of subjects and did not reach statistical significance for the primary endpoint of absolute change in EASI. However, this study did provide evidence that roflumilast cream could provide symptomatic improvement, with statistically significant difference from vehicle on several key secondary endpoints, and a favorable tolerability profile in adults with atopic dermatitis and, following an End of Phase 2 meeting with the FDA in September 2020, we omitted our previously planned Phase 2b study in that indication and recently initiated Phase 3 clinical trials. Additionally, our Phase 1/2b clinical study of ARQ-252 for the treatment of chronic hand eczema did not meet its primary end point of IGA clear or almost clear at week 12 and we terminated our Phase 2a clinical trial</w:t>
      </w:r>
    </w:p>
    <w:p>
      <w:pPr>
        <w:spacing w:after="0" w:line="6"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evaluating ARQ-252 as a potential treatment for vitiligo</w:t>
      </w:r>
      <w:r>
        <w:rPr>
          <w:rFonts w:ascii="Arial" w:cs="Arial" w:eastAsia="Arial" w:hAnsi="Arial"/>
          <w:sz w:val="20"/>
          <w:szCs w:val="20"/>
          <w:color w:val="008080"/>
        </w:rPr>
        <w:t>.</w:t>
      </w:r>
      <w:r>
        <w:rPr>
          <w:rFonts w:ascii="Arial" w:cs="Arial" w:eastAsia="Arial" w:hAnsi="Arial"/>
          <w:sz w:val="17"/>
          <w:szCs w:val="17"/>
          <w:color w:val="auto"/>
        </w:rPr>
        <w:t xml:space="preserve"> Moreover, nonclinical and clinical data are often susceptible to varying interpretations and analyses, and many companies that have believed their product candidates performed satisfactorily in nonclinical studies and clinical trials have nonetheless failed to obtain marketing approval of their drugs.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400" w:firstLine="620"/>
        <w:spacing w:after="0" w:line="269"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our ability to receive marketing approval or commercialize our product candidates, including:</w:t>
      </w:r>
    </w:p>
    <w:p>
      <w:pPr>
        <w:spacing w:after="0" w:line="104" w:lineRule="exact"/>
        <w:rPr>
          <w:sz w:val="20"/>
          <w:szCs w:val="20"/>
          <w:color w:val="auto"/>
        </w:rPr>
      </w:pPr>
    </w:p>
    <w:p>
      <w:pPr>
        <w:ind w:left="780" w:right="460" w:hanging="156"/>
        <w:spacing w:after="0" w:line="269" w:lineRule="auto"/>
        <w:tabs>
          <w:tab w:leader="none" w:pos="776" w:val="left"/>
        </w:tabs>
        <w:numPr>
          <w:ilvl w:val="0"/>
          <w:numId w:val="27"/>
        </w:numPr>
        <w:rPr>
          <w:rFonts w:ascii="Arial" w:cs="Arial" w:eastAsia="Arial" w:hAnsi="Arial"/>
          <w:sz w:val="17"/>
          <w:szCs w:val="17"/>
          <w:color w:val="auto"/>
        </w:rPr>
      </w:pPr>
      <w:r>
        <w:rPr>
          <w:rFonts w:ascii="Arial" w:cs="Arial" w:eastAsia="Arial" w:hAnsi="Arial"/>
          <w:sz w:val="17"/>
          <w:szCs w:val="17"/>
          <w:color w:val="auto"/>
        </w:rPr>
        <w:t>clinical site closures, delays to patient enrollment, subjects discontinuing treatment or follow-up visits, issues with data collection, or changes to trial protocols as a result of the COVID-19 pandemic, competing trials, or otherwise;</w:t>
      </w:r>
    </w:p>
    <w:p>
      <w:pPr>
        <w:spacing w:after="0" w:line="117" w:lineRule="exact"/>
        <w:rPr>
          <w:rFonts w:ascii="Arial" w:cs="Arial" w:eastAsia="Arial" w:hAnsi="Arial"/>
          <w:sz w:val="17"/>
          <w:szCs w:val="17"/>
          <w:color w:val="auto"/>
        </w:rPr>
      </w:pPr>
    </w:p>
    <w:p>
      <w:pPr>
        <w:ind w:left="780" w:right="560" w:hanging="156"/>
        <w:spacing w:after="0" w:line="269" w:lineRule="auto"/>
        <w:tabs>
          <w:tab w:leader="none" w:pos="776"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regulators or independent IRBs may not authorize us or our investigators to commence a clinical trial or conduct a clinical trial at a prospective trial site;</w:t>
      </w:r>
    </w:p>
    <w:p>
      <w:pPr>
        <w:spacing w:after="0" w:line="117" w:lineRule="exact"/>
        <w:rPr>
          <w:rFonts w:ascii="Arial" w:cs="Arial" w:eastAsia="Arial" w:hAnsi="Arial"/>
          <w:sz w:val="17"/>
          <w:szCs w:val="17"/>
          <w:color w:val="auto"/>
        </w:rPr>
      </w:pPr>
    </w:p>
    <w:p>
      <w:pPr>
        <w:ind w:left="780" w:right="80" w:hanging="156"/>
        <w:spacing w:after="0" w:line="261" w:lineRule="auto"/>
        <w:tabs>
          <w:tab w:leader="none" w:pos="776"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clinical trial contracts or clinical trial protocols with prospective trial sites or prospective CROs, the terms of which can be subject to extensive negotiation and may vary significantly among different CROs and trial sites;</w:t>
      </w:r>
    </w:p>
    <w:p>
      <w:pPr>
        <w:spacing w:after="0" w:line="111" w:lineRule="exact"/>
        <w:rPr>
          <w:rFonts w:ascii="Arial" w:cs="Arial" w:eastAsia="Arial" w:hAnsi="Arial"/>
          <w:sz w:val="17"/>
          <w:szCs w:val="17"/>
          <w:color w:val="auto"/>
        </w:rPr>
      </w:pPr>
    </w:p>
    <w:p>
      <w:pPr>
        <w:ind w:left="780" w:right="720" w:hanging="156"/>
        <w:spacing w:after="0" w:line="261" w:lineRule="auto"/>
        <w:tabs>
          <w:tab w:leader="none" w:pos="776" w:val="left"/>
        </w:tabs>
        <w:numPr>
          <w:ilvl w:val="0"/>
          <w:numId w:val="27"/>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including failure to demonstrate statistical significance, and we may decide, or regulators may require us, to conduct additional clinical trials or abandon drug development programs;</w:t>
      </w:r>
    </w:p>
    <w:p>
      <w:pPr>
        <w:spacing w:after="0" w:line="124" w:lineRule="exact"/>
        <w:rPr>
          <w:rFonts w:ascii="Arial" w:cs="Arial" w:eastAsia="Arial" w:hAnsi="Arial"/>
          <w:sz w:val="17"/>
          <w:szCs w:val="17"/>
          <w:color w:val="auto"/>
        </w:rPr>
      </w:pPr>
    </w:p>
    <w:p>
      <w:pPr>
        <w:jc w:val="both"/>
        <w:ind w:left="780" w:right="140" w:hanging="156"/>
        <w:spacing w:after="0" w:line="261" w:lineRule="auto"/>
        <w:tabs>
          <w:tab w:leader="none" w:pos="77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number of subjects required for clinical trials of our product candidates may be larger than we anticipate, enrollment in these clinical trials may be slower than we anticipate, participants may drop out of these clinical trials, or fail to return for post-treatment follow-up at a higher rate than we anticipate;</w:t>
      </w:r>
    </w:p>
    <w:p>
      <w:pPr>
        <w:spacing w:after="0" w:line="124" w:lineRule="exact"/>
        <w:rPr>
          <w:rFonts w:ascii="Arial" w:cs="Arial" w:eastAsia="Arial" w:hAnsi="Arial"/>
          <w:sz w:val="17"/>
          <w:szCs w:val="17"/>
          <w:color w:val="auto"/>
        </w:rPr>
      </w:pPr>
    </w:p>
    <w:p>
      <w:pPr>
        <w:ind w:left="780" w:right="840" w:hanging="156"/>
        <w:spacing w:after="0" w:line="269" w:lineRule="auto"/>
        <w:tabs>
          <w:tab w:leader="none" w:pos="776"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product candidates may have undesirable side effects or other unexpected characteristics, causing us or our investigators, regulators, or IRBs to suspend or terminate the trials;</w:t>
      </w:r>
    </w:p>
    <w:p>
      <w:pPr>
        <w:spacing w:after="0" w:line="104" w:lineRule="exact"/>
        <w:rPr>
          <w:rFonts w:ascii="Arial" w:cs="Arial" w:eastAsia="Arial" w:hAnsi="Arial"/>
          <w:sz w:val="17"/>
          <w:szCs w:val="17"/>
          <w:color w:val="auto"/>
        </w:rPr>
      </w:pPr>
    </w:p>
    <w:p>
      <w:pPr>
        <w:ind w:left="780" w:right="140" w:hanging="156"/>
        <w:spacing w:after="0" w:line="269" w:lineRule="auto"/>
        <w:tabs>
          <w:tab w:leader="none" w:pos="776"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w:t>
      </w:r>
    </w:p>
    <w:p>
      <w:pPr>
        <w:spacing w:after="0" w:line="117" w:lineRule="exact"/>
        <w:rPr>
          <w:rFonts w:ascii="Arial" w:cs="Arial" w:eastAsia="Arial" w:hAnsi="Arial"/>
          <w:sz w:val="17"/>
          <w:szCs w:val="17"/>
          <w:color w:val="auto"/>
        </w:rPr>
      </w:pPr>
    </w:p>
    <w:p>
      <w:pPr>
        <w:ind w:left="780" w:right="440" w:hanging="156"/>
        <w:spacing w:after="0" w:line="269" w:lineRule="auto"/>
        <w:tabs>
          <w:tab w:leader="none" w:pos="776"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regulators or IRBs may require that we or our investigators suspend or terminate clinical development for various reasons, including noncompliance with regulatory requirements, or a finding that the participants are being exposed to unacceptable health risks;</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may be greater than we anticipate; and</w:t>
      </w:r>
    </w:p>
    <w:p>
      <w:pPr>
        <w:spacing w:after="0" w:line="140" w:lineRule="exact"/>
        <w:rPr>
          <w:rFonts w:ascii="Arial" w:cs="Arial" w:eastAsia="Arial" w:hAnsi="Arial"/>
          <w:sz w:val="17"/>
          <w:szCs w:val="17"/>
          <w:color w:val="auto"/>
        </w:rPr>
      </w:pPr>
    </w:p>
    <w:p>
      <w:pPr>
        <w:ind w:left="780" w:right="280" w:hanging="156"/>
        <w:spacing w:after="0" w:line="269" w:lineRule="auto"/>
        <w:tabs>
          <w:tab w:leader="none" w:pos="77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clinical trials of our product candidates may be insufficient or inadequate.</w:t>
      </w:r>
    </w:p>
    <w:p>
      <w:pPr>
        <w:spacing w:after="0" w:line="117"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side effects, failure to demonstrate a benefit from using a drug, changes in governmental regulations or administrative actions, or lack of adequate funding to continue the clinical trial.</w:t>
      </w:r>
    </w:p>
    <w:p>
      <w:pPr>
        <w:spacing w:after="0" w:line="336" w:lineRule="exact"/>
        <w:rPr>
          <w:sz w:val="20"/>
          <w:szCs w:val="20"/>
          <w:color w:val="auto"/>
        </w:rPr>
      </w:pPr>
    </w:p>
    <w:p>
      <w:pPr>
        <w:ind w:right="120" w:firstLine="620"/>
        <w:spacing w:after="0" w:line="257"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jc w:val="both"/>
        <w:ind w:right="320"/>
        <w:spacing w:after="0" w:line="273" w:lineRule="auto"/>
        <w:rPr>
          <w:sz w:val="20"/>
          <w:szCs w:val="20"/>
          <w:color w:val="auto"/>
        </w:rPr>
      </w:pPr>
      <w:r>
        <w:rPr>
          <w:rFonts w:ascii="Arial" w:cs="Arial" w:eastAsia="Arial" w:hAnsi="Arial"/>
          <w:sz w:val="17"/>
          <w:szCs w:val="17"/>
          <w:b w:val="1"/>
          <w:bCs w:val="1"/>
          <w:i w:val="1"/>
          <w:iCs w:val="1"/>
          <w:color w:val="auto"/>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spacing w:after="0" w:line="102"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To gain approval to market our product candidates, we must provide the FDA and foreign regulatory authorities with nonclinical and clinical data that adequately demonstrate the safety and efficacy of the product for the intended indication applied for in the applicable regulatory filing. Product development is a long, expensive, and uncertain process, and delay or failure can occur at any stage of any of our nonclinical and clinical development programs. A number of companies in the biotechnology and pharmaceutical industries have suffered significant setbacks in clinical trials, even after promising results in earlier nonclinical or clinical studies. These setbacks have been caused by, among other things, nonclinical findings made while clinical studies were underway and safety or efficacy observations made in clinical studies, including previously unreported adverse events. Success in nonclinical testing and early clinical trials does not ensure that later clinical trials will be successful, and the results of clinical trials by other parties may not be indicative of the results in trials we may conduct.</w:t>
      </w:r>
    </w:p>
    <w:p>
      <w:pPr>
        <w:spacing w:after="0" w:line="128" w:lineRule="exact"/>
        <w:rPr>
          <w:sz w:val="20"/>
          <w:szCs w:val="20"/>
          <w:color w:val="auto"/>
        </w:rPr>
      </w:pPr>
    </w:p>
    <w:p>
      <w:pPr>
        <w:ind w:right="100" w:firstLine="620"/>
        <w:spacing w:after="0" w:line="256" w:lineRule="auto"/>
        <w:rPr>
          <w:sz w:val="20"/>
          <w:szCs w:val="20"/>
          <w:color w:val="auto"/>
        </w:rPr>
      </w:pPr>
      <w:r>
        <w:rPr>
          <w:rFonts w:ascii="Arial" w:cs="Arial" w:eastAsia="Arial" w:hAnsi="Arial"/>
          <w:sz w:val="17"/>
          <w:szCs w:val="17"/>
          <w:color w:val="auto"/>
        </w:rPr>
        <w:t>We currently have no products approved for sale. In September 2021 we submitted our first NDA to the FDA for our lead product candidate, roflumilast cream, and our other product candidates remain in clinical development. Significant risk remains and we cannot provide assurance that our product candidates will obtain regulatory approval for commercialization as expected, or at all. The research, testing, manufacturing, labeling, approval, sale, marketing, and distribution of drug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 including pricing approval in the EU.</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FDA or any foreign regulatory authorities can delay, limit, or deny approval of our product candidates for many reasons, including:</w:t>
      </w:r>
    </w:p>
    <w:p>
      <w:pPr>
        <w:spacing w:after="0" w:line="140" w:lineRule="exact"/>
        <w:rPr>
          <w:sz w:val="20"/>
          <w:szCs w:val="20"/>
          <w:color w:val="auto"/>
        </w:rPr>
      </w:pPr>
    </w:p>
    <w:p>
      <w:pPr>
        <w:ind w:left="780" w:hanging="156"/>
        <w:spacing w:after="0" w:line="269" w:lineRule="auto"/>
        <w:tabs>
          <w:tab w:leader="none" w:pos="7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inability to demonstrate to the satisfaction of the FDA or the applicable foreign regulatory authority that any of our product candidates is safe and effective for the requested indication;</w:t>
      </w:r>
    </w:p>
    <w:p>
      <w:pPr>
        <w:spacing w:after="0" w:line="117" w:lineRule="exact"/>
        <w:rPr>
          <w:rFonts w:ascii="Arial" w:cs="Arial" w:eastAsia="Arial" w:hAnsi="Arial"/>
          <w:sz w:val="17"/>
          <w:szCs w:val="17"/>
          <w:color w:val="auto"/>
        </w:rPr>
      </w:pPr>
    </w:p>
    <w:p>
      <w:pPr>
        <w:ind w:left="780" w:right="220" w:hanging="156"/>
        <w:spacing w:after="0" w:line="269" w:lineRule="auto"/>
        <w:tabs>
          <w:tab w:leader="none" w:pos="7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FDA or other relevant foreign regulatory authorities may disagree with the number, design, size, conduct, or implementation of our clinical trials, including the design of our Phase 3 clinical trials of roflumilast cream for the treatment of plaque psoriasis;</w:t>
      </w:r>
    </w:p>
    <w:p>
      <w:pPr>
        <w:spacing w:after="0" w:line="117" w:lineRule="exact"/>
        <w:rPr>
          <w:rFonts w:ascii="Arial" w:cs="Arial" w:eastAsia="Arial" w:hAnsi="Arial"/>
          <w:sz w:val="17"/>
          <w:szCs w:val="17"/>
          <w:color w:val="auto"/>
        </w:rPr>
      </w:pPr>
    </w:p>
    <w:p>
      <w:pPr>
        <w:ind w:left="780" w:right="260" w:hanging="156"/>
        <w:spacing w:after="0" w:line="261" w:lineRule="auto"/>
        <w:tabs>
          <w:tab w:leader="none" w:pos="7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FDA or other relevant foreign regulatory authorities may not find the data from nonclinical studies or clinical trials sufficient to demonstrate that the clinical and other benefits of these products candidates outweigh their safety risks or that there is an acceptable risk-benefit profile;</w:t>
      </w:r>
    </w:p>
    <w:p>
      <w:pPr>
        <w:spacing w:after="0" w:line="111" w:lineRule="exact"/>
        <w:rPr>
          <w:rFonts w:ascii="Arial" w:cs="Arial" w:eastAsia="Arial" w:hAnsi="Arial"/>
          <w:sz w:val="17"/>
          <w:szCs w:val="17"/>
          <w:color w:val="auto"/>
        </w:rPr>
      </w:pPr>
    </w:p>
    <w:p>
      <w:pPr>
        <w:ind w:left="780" w:right="200" w:hanging="156"/>
        <w:spacing w:after="0" w:line="269" w:lineRule="auto"/>
        <w:tabs>
          <w:tab w:leader="none" w:pos="7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significance or clinical meaningfulness required by the FDA or other relevant foreign regulatory authorities for marketing approval;</w:t>
      </w:r>
    </w:p>
    <w:p>
      <w:pPr>
        <w:spacing w:after="0" w:line="117" w:lineRule="exact"/>
        <w:rPr>
          <w:rFonts w:ascii="Arial" w:cs="Arial" w:eastAsia="Arial" w:hAnsi="Arial"/>
          <w:sz w:val="17"/>
          <w:szCs w:val="17"/>
          <w:color w:val="auto"/>
        </w:rPr>
      </w:pPr>
    </w:p>
    <w:p>
      <w:pPr>
        <w:ind w:left="780" w:right="500" w:hanging="156"/>
        <w:spacing w:after="0" w:line="269" w:lineRule="auto"/>
        <w:tabs>
          <w:tab w:leader="none" w:pos="7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FDA’s or the applicable foreign regulatory authority’s requirement for additional nonclinical studies or clinical trials which would increase our costs and prolong our development timelines;</w:t>
      </w:r>
    </w:p>
    <w:p>
      <w:pPr>
        <w:spacing w:after="0" w:line="117" w:lineRule="exact"/>
        <w:rPr>
          <w:rFonts w:ascii="Arial" w:cs="Arial" w:eastAsia="Arial" w:hAnsi="Arial"/>
          <w:sz w:val="17"/>
          <w:szCs w:val="17"/>
          <w:color w:val="auto"/>
        </w:rPr>
      </w:pPr>
    </w:p>
    <w:p>
      <w:pPr>
        <w:ind w:left="780" w:right="280" w:hanging="156"/>
        <w:spacing w:after="0" w:line="269" w:lineRule="auto"/>
        <w:tabs>
          <w:tab w:leader="none" w:pos="7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FDA or other relevant foreign regulatory authorities may disagree with our interpretation of data or significance of results from the nonclinical studies and clinical trials of any product candidate, or may require that we conduct additional studies;</w:t>
      </w:r>
    </w:p>
    <w:p>
      <w:pPr>
        <w:spacing w:after="0" w:line="104" w:lineRule="exact"/>
        <w:rPr>
          <w:rFonts w:ascii="Arial" w:cs="Arial" w:eastAsia="Arial" w:hAnsi="Arial"/>
          <w:sz w:val="17"/>
          <w:szCs w:val="17"/>
          <w:color w:val="auto"/>
        </w:rPr>
      </w:pPr>
    </w:p>
    <w:p>
      <w:pPr>
        <w:ind w:left="780" w:hanging="156"/>
        <w:spacing w:after="0"/>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FDA or other relevant foreign regulatory authorities may not accept data generated from our clinical trial sites;</w:t>
      </w:r>
    </w:p>
    <w:p>
      <w:pPr>
        <w:spacing w:after="0" w:line="243" w:lineRule="exact"/>
        <w:rPr>
          <w:rFonts w:ascii="Arial" w:cs="Arial" w:eastAsia="Arial" w:hAnsi="Arial"/>
          <w:sz w:val="17"/>
          <w:szCs w:val="17"/>
          <w:color w:val="auto"/>
        </w:rPr>
      </w:pPr>
    </w:p>
    <w:p>
      <w:pPr>
        <w:ind w:left="780" w:right="260" w:hanging="156"/>
        <w:spacing w:after="0" w:line="269" w:lineRule="auto"/>
        <w:tabs>
          <w:tab w:leader="none" w:pos="7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FDA may delay consideration of our sNDA for roflumilast for the treatment of atopic dermatitis until the results of the pediatric trial (INTEGUMENT-PED) are included in the submission;</w:t>
      </w:r>
    </w:p>
    <w:p>
      <w:pPr>
        <w:spacing w:after="0" w:line="117" w:lineRule="exact"/>
        <w:rPr>
          <w:rFonts w:ascii="Arial" w:cs="Arial" w:eastAsia="Arial" w:hAnsi="Arial"/>
          <w:sz w:val="17"/>
          <w:szCs w:val="17"/>
          <w:color w:val="auto"/>
        </w:rPr>
      </w:pPr>
    </w:p>
    <w:p>
      <w:pPr>
        <w:ind w:left="780" w:right="460" w:hanging="156"/>
        <w:spacing w:after="0" w:line="269" w:lineRule="auto"/>
        <w:tabs>
          <w:tab w:leader="none" w:pos="7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CROs that we retain to conduct clinical trials may take actions outside of our control, or otherwise commit errors or breaches of protocols, that adversely impact our clinical trials and ability to obtain market approvals;</w:t>
      </w:r>
    </w:p>
    <w:p>
      <w:pPr>
        <w:spacing w:after="0" w:line="117" w:lineRule="exact"/>
        <w:rPr>
          <w:rFonts w:ascii="Arial" w:cs="Arial" w:eastAsia="Arial" w:hAnsi="Arial"/>
          <w:sz w:val="17"/>
          <w:szCs w:val="17"/>
          <w:color w:val="auto"/>
        </w:rPr>
      </w:pPr>
    </w:p>
    <w:p>
      <w:pPr>
        <w:ind w:left="780" w:right="200" w:hanging="156"/>
        <w:spacing w:after="0" w:line="261" w:lineRule="auto"/>
        <w:tabs>
          <w:tab w:leader="none" w:pos="7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our NDA or other foreign application is reviewed by an advisory committee, the FDA or other relevant foreign regulatory authority, as the case may be, may have difficulties scheduling an advisory committee meeting in a timely manner or the advisory committee may recommend against approval of our</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left="780" w:right="120"/>
        <w:spacing w:after="0" w:line="269" w:lineRule="auto"/>
        <w:rPr>
          <w:sz w:val="20"/>
          <w:szCs w:val="20"/>
          <w:color w:val="auto"/>
        </w:rPr>
      </w:pPr>
      <w:r>
        <w:rPr>
          <w:rFonts w:ascii="Arial" w:cs="Arial" w:eastAsia="Arial" w:hAnsi="Arial"/>
          <w:sz w:val="17"/>
          <w:szCs w:val="17"/>
          <w:color w:val="auto"/>
        </w:rPr>
        <w:t>application or may recommend that the FDA or other relevant foreign regulatory authority, as the case may be, require, as a condition of approval, additional nonclinical studies or clinical trials, limitations on approved labeling, or distribution and use restrictions;</w:t>
      </w:r>
    </w:p>
    <w:p>
      <w:pPr>
        <w:spacing w:after="0" w:line="104" w:lineRule="exact"/>
        <w:rPr>
          <w:sz w:val="20"/>
          <w:szCs w:val="20"/>
          <w:color w:val="auto"/>
        </w:rPr>
      </w:pPr>
    </w:p>
    <w:p>
      <w:pPr>
        <w:ind w:left="780" w:hanging="156"/>
        <w:spacing w:after="0"/>
        <w:tabs>
          <w:tab w:leader="none" w:pos="7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or other relevant foreign regulatory authorities may require development of a REMS, or its equivalent, as a condition of approval;</w:t>
      </w:r>
    </w:p>
    <w:p>
      <w:pPr>
        <w:spacing w:after="0" w:line="153" w:lineRule="exact"/>
        <w:rPr>
          <w:rFonts w:ascii="Arial" w:cs="Arial" w:eastAsia="Arial" w:hAnsi="Arial"/>
          <w:sz w:val="17"/>
          <w:szCs w:val="17"/>
          <w:color w:val="auto"/>
        </w:rPr>
      </w:pPr>
    </w:p>
    <w:p>
      <w:pPr>
        <w:ind w:left="780" w:right="380" w:hanging="156"/>
        <w:spacing w:after="0" w:line="269" w:lineRule="auto"/>
        <w:tabs>
          <w:tab w:leader="none" w:pos="77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or other relevant foreign regulatory authorities may require additional post-marketing studies and/or a patient registry, which would be costly;</w:t>
      </w:r>
    </w:p>
    <w:p>
      <w:pPr>
        <w:spacing w:after="0" w:line="117" w:lineRule="exact"/>
        <w:rPr>
          <w:rFonts w:ascii="Arial" w:cs="Arial" w:eastAsia="Arial" w:hAnsi="Arial"/>
          <w:sz w:val="17"/>
          <w:szCs w:val="17"/>
          <w:color w:val="auto"/>
        </w:rPr>
      </w:pPr>
    </w:p>
    <w:p>
      <w:pPr>
        <w:ind w:left="780" w:right="240" w:hanging="156"/>
        <w:spacing w:after="0" w:line="269" w:lineRule="auto"/>
        <w:tabs>
          <w:tab w:leader="none" w:pos="77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or other relevant foreign regulatory authorities may find the chemistry, manufacturing, and controls data insufficient to support the quality of our product candidates;</w:t>
      </w:r>
    </w:p>
    <w:p>
      <w:pPr>
        <w:spacing w:after="0" w:line="104" w:lineRule="exact"/>
        <w:rPr>
          <w:rFonts w:ascii="Arial" w:cs="Arial" w:eastAsia="Arial" w:hAnsi="Arial"/>
          <w:sz w:val="17"/>
          <w:szCs w:val="17"/>
          <w:color w:val="auto"/>
        </w:rPr>
      </w:pPr>
    </w:p>
    <w:p>
      <w:pPr>
        <w:ind w:left="780" w:right="140" w:hanging="156"/>
        <w:spacing w:after="0" w:line="269" w:lineRule="auto"/>
        <w:tabs>
          <w:tab w:leader="none" w:pos="77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or other relevant foreign regulatory authorities may identify deficiencies in the manufacturing processes or facilities of our third-party manufacturers;</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or other relevant foreign regulatory authorities may change their approval policies or adopt new regulations;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FDA’s or the applicable foreign regulatory authority’s non-approval of the formulation, dosing, labeling, or specifications;</w:t>
      </w:r>
    </w:p>
    <w:p>
      <w:pPr>
        <w:spacing w:after="0" w:line="140" w:lineRule="exact"/>
        <w:rPr>
          <w:rFonts w:ascii="Arial" w:cs="Arial" w:eastAsia="Arial" w:hAnsi="Arial"/>
          <w:sz w:val="17"/>
          <w:szCs w:val="17"/>
          <w:color w:val="auto"/>
        </w:rPr>
      </w:pPr>
    </w:p>
    <w:p>
      <w:pPr>
        <w:ind w:left="780" w:right="160" w:hanging="156"/>
        <w:spacing w:after="0" w:line="261" w:lineRule="auto"/>
        <w:tabs>
          <w:tab w:leader="none" w:pos="77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FDA’s or the applicable foreign regulatory authority’s failure to approve the manufacturing processes of third-party manufacturers upon which we rely or the failure of the facilities of our third-party manufacturers to maintain a compliance status acceptable to the FDA or the applicable foreign regulatory authority; or</w:t>
      </w:r>
    </w:p>
    <w:p>
      <w:pPr>
        <w:spacing w:after="0" w:line="124" w:lineRule="exact"/>
        <w:rPr>
          <w:rFonts w:ascii="Arial" w:cs="Arial" w:eastAsia="Arial" w:hAnsi="Arial"/>
          <w:sz w:val="17"/>
          <w:szCs w:val="17"/>
          <w:color w:val="auto"/>
        </w:rPr>
      </w:pPr>
    </w:p>
    <w:p>
      <w:pPr>
        <w:ind w:left="780" w:right="360" w:hanging="156"/>
        <w:spacing w:after="0" w:line="269" w:lineRule="auto"/>
        <w:tabs>
          <w:tab w:leader="none" w:pos="77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potential for approval policies or regulations of the FDA or the applicable foreign regulatory authorities to significantly change in a manner rendering our clinical data insufficient for approval.</w:t>
      </w:r>
    </w:p>
    <w:p>
      <w:pPr>
        <w:spacing w:after="0" w:line="208" w:lineRule="exact"/>
        <w:rPr>
          <w:sz w:val="20"/>
          <w:szCs w:val="20"/>
          <w:color w:val="auto"/>
        </w:rPr>
      </w:pPr>
    </w:p>
    <w:p>
      <w:pPr>
        <w:ind w:right="540" w:firstLine="620"/>
        <w:spacing w:after="0" w:line="269" w:lineRule="auto"/>
        <w:rPr>
          <w:sz w:val="20"/>
          <w:szCs w:val="20"/>
          <w:color w:val="auto"/>
        </w:rPr>
      </w:pPr>
      <w:r>
        <w:rPr>
          <w:rFonts w:ascii="Arial" w:cs="Arial" w:eastAsia="Arial" w:hAnsi="Arial"/>
          <w:sz w:val="17"/>
          <w:szCs w:val="17"/>
          <w:color w:val="auto"/>
        </w:rPr>
        <w:t>Of the large number of biopharmaceutical products in development, only a small percentage successfully complete the FDA or other regulatory approval processes and are commercialized.</w:t>
      </w:r>
    </w:p>
    <w:p>
      <w:pPr>
        <w:spacing w:after="0" w:line="117"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Even if we eventually complete clinical testing and receive approval from the FDA or applicable foreign agencies for any of our product candidates, the FDA or the applicable foreign regulatory authority may grant approval contingent on the performance of costly additional clinical trials which may be required after approval. The FDA or the applicable foreign regulatory authority also may approve our lead product candidates for a more limited indication or a narrower patient population than we originally requested, and the FDA, or applicable foreign regulatory authority, may not approve our product candidates with the labeling that we believe is necessary or desirable, or may approve them with labeling that includes warnings or precautions or limitations of use that may not be desirable, for the successful commercialization of such product candidates. Any delay in obtaining, or inability to obtain, applicable regulatory approval would delay or prevent commercialization of our product candidates and would materially adversely impact our business and prospects.</w:t>
      </w:r>
    </w:p>
    <w:p>
      <w:pPr>
        <w:spacing w:after="0" w:line="95" w:lineRule="exact"/>
        <w:rPr>
          <w:sz w:val="20"/>
          <w:szCs w:val="20"/>
          <w:color w:val="auto"/>
        </w:rPr>
      </w:pPr>
    </w:p>
    <w:p>
      <w:pPr>
        <w:ind w:right="580"/>
        <w:spacing w:after="0" w:line="293" w:lineRule="auto"/>
        <w:rPr>
          <w:sz w:val="20"/>
          <w:szCs w:val="20"/>
          <w:color w:val="auto"/>
        </w:rPr>
      </w:pPr>
      <w:r>
        <w:rPr>
          <w:rFonts w:ascii="Arial" w:cs="Arial" w:eastAsia="Arial" w:hAnsi="Arial"/>
          <w:sz w:val="17"/>
          <w:szCs w:val="17"/>
          <w:b w:val="1"/>
          <w:bCs w:val="1"/>
          <w:i w:val="1"/>
          <w:iCs w:val="1"/>
          <w:color w:val="auto"/>
        </w:rPr>
        <w:t>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98"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From time to time, we may publicly disclose topline or preliminary data from our clinical trials, which are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topline or preliminary results that we report may differ from future results of the same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preliminary data we previously published. As a result, topline and preliminary data should be viewed with caution until the final data are available.</w:t>
      </w:r>
    </w:p>
    <w:p>
      <w:pPr>
        <w:spacing w:after="0" w:line="336" w:lineRule="exact"/>
        <w:rPr>
          <w:sz w:val="20"/>
          <w:szCs w:val="20"/>
          <w:color w:val="auto"/>
        </w:rPr>
      </w:pPr>
    </w:p>
    <w:p>
      <w:pPr>
        <w:ind w:right="140" w:firstLine="620"/>
        <w:spacing w:after="0" w:line="261" w:lineRule="auto"/>
        <w:rPr>
          <w:sz w:val="20"/>
          <w:szCs w:val="20"/>
          <w:color w:val="auto"/>
        </w:rPr>
      </w:pPr>
      <w:r>
        <w:rPr>
          <w:rFonts w:ascii="Arial" w:cs="Arial" w:eastAsia="Arial" w:hAnsi="Arial"/>
          <w:sz w:val="17"/>
          <w:szCs w:val="17"/>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200" w:firstLine="620"/>
        <w:spacing w:after="0" w:line="255"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0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Certain of the endpoints in our planned clinical trials rely on a subjective assessment of the effect of the product candidate in the subject by either the physician or patient, and may prove difficult to meet in patients with more severe disease, which exposes us to a variety of risks for the successful completion of our clinical trials.</w:t>
      </w:r>
    </w:p>
    <w:p>
      <w:pPr>
        <w:spacing w:after="0" w:line="115" w:lineRule="exact"/>
        <w:rPr>
          <w:sz w:val="20"/>
          <w:szCs w:val="20"/>
          <w:color w:val="auto"/>
        </w:rPr>
      </w:pPr>
    </w:p>
    <w:p>
      <w:pPr>
        <w:ind w:right="200" w:firstLine="620"/>
        <w:spacing w:after="0" w:line="255" w:lineRule="auto"/>
        <w:rPr>
          <w:sz w:val="20"/>
          <w:szCs w:val="20"/>
          <w:color w:val="auto"/>
        </w:rPr>
      </w:pPr>
      <w:r>
        <w:rPr>
          <w:rFonts w:ascii="Arial" w:cs="Arial" w:eastAsia="Arial" w:hAnsi="Arial"/>
          <w:sz w:val="17"/>
          <w:szCs w:val="17"/>
          <w:color w:val="auto"/>
        </w:rPr>
        <w:t>Certain of our primary and secondary endpoints in our clinical trials, including our Phase 3 clinical trials of roflumilast cream in plaque psoriasis, and our previous and planned clinical trials in atopic dermatitis, vitiligo, chronic hand eczema, scalp and body psoriasis and seborrheic dermatitis involve subjective assessments by physician and subjects, which can increase the uncertainty of clinical trial outcomes. For example, one of the secondary endpoints requires subjects to report pruritus (itching) as measured by the WI-NRS and complete or deliver patient or caregiver reported outcomes over the course of our clinical trials. This and other assessments are inherently subjective, which can increase the variability of clinical results across clinical trials and create a significant degree of uncertainty in determining overall clinical benefit. Such assessments can be influenced by factors outside of our control, and can vary widely from day-to-day for a particular patient, and from patient-to-patient and site-to-site within a clinical trial. In addition, frequent reporting requirements may lead to rating fatigue and a loss of accuracy and reliability of the data resulting from our clinical trials. Further, the FDA or comparable foreign regulatory authority may not accept such patient or caregiver reported outcomes as sufficiently validated. Accordingly, these subjective assessments can complicate clinical trial design, adversely impact the ability of a study to show a statistically significant improvement, and generally adversely impact a clinical development program by introducing additional uncertainties.</w:t>
      </w:r>
    </w:p>
    <w:p>
      <w:pPr>
        <w:spacing w:after="0" w:line="131" w:lineRule="exact"/>
        <w:rPr>
          <w:sz w:val="20"/>
          <w:szCs w:val="20"/>
          <w:color w:val="auto"/>
        </w:rPr>
      </w:pPr>
    </w:p>
    <w:p>
      <w:pPr>
        <w:ind w:right="420" w:firstLine="620"/>
        <w:spacing w:after="0" w:line="269" w:lineRule="auto"/>
        <w:rPr>
          <w:sz w:val="20"/>
          <w:szCs w:val="20"/>
          <w:color w:val="auto"/>
        </w:rPr>
      </w:pPr>
      <w:r>
        <w:rPr>
          <w:rFonts w:ascii="Arial" w:cs="Arial" w:eastAsia="Arial" w:hAnsi="Arial"/>
          <w:sz w:val="17"/>
          <w:szCs w:val="17"/>
          <w:color w:val="auto"/>
        </w:rPr>
        <w:t>The use of patient reported outcome instruments in our Phase 3 clinical trials of roflumilast cream and the inclusion of such data in the product labeling will depend on, but is not limited to, the FDA’s review of the following:</w:t>
      </w:r>
    </w:p>
    <w:p>
      <w:pPr>
        <w:spacing w:after="0" w:line="104" w:lineRule="exact"/>
        <w:rPr>
          <w:sz w:val="20"/>
          <w:szCs w:val="20"/>
          <w:color w:val="auto"/>
        </w:rPr>
      </w:pPr>
    </w:p>
    <w:p>
      <w:pPr>
        <w:ind w:left="780" w:hanging="156"/>
        <w:spacing w:after="0"/>
        <w:tabs>
          <w:tab w:leader="none" w:pos="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relevance and importance of the concept(s) of interest to the target patient population;</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strengths and limitations of the instrument within the given context of use;</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design and conduct of the trials;</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adequacy of the submitted data, for example, rigorous data collection and methods to handle missing data; and</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magnitude of the statistically significant treatment effect should be meaningful to subjects.</w:t>
      </w:r>
    </w:p>
    <w:p>
      <w:pPr>
        <w:spacing w:after="0" w:line="153"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Further, different results may be achieved depending upon the characteristics of the population enrolled in our studies and which analysis population is used to analyze results. For example, the primary endpoint in our Phase 3 clinical trials of roflumilast cream in plaque psoriasis and atopic dermatitis as well as our Phase 3 clinical trials of roflumilast foam in seborrheic dermatitis and scalp and body psoriasis is based on the percentage of subjects achieving a score of “clear” or “almost clear” plus at least a 2-grade improvement from baseline on the 5 point IGA scale, referred to as IGA Success. Success in our clinical trials with these or similar endpoints, requires the enrollment of subjects with conditions that are severe enough to facilitate a 2-grade improvement in the IGA scale, but not so severe that they cannot achieve a “clear” or “almost clear” in IGA score in light of the severity of their disease. It is therefore possible that we enroll subjects with conditions so severe that they do not or are unable to realize an IGA of 0 (clear) or 1 (almost clear) during the period covered by the clinical trial. As a result, there is no guarantee that our clinical trials will produce the same statistically significant results in IGA Success, which will serve as the primary endpoint, as our prior clinical trials, and there can be no guarantee that the characteristics of the population enrolled in our clinical trials, including our Phase 3 clinical trials, does not adversely impact the results reported for such trial, any of which could have an adverse effect on our ability to secure regulatory approval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right="180"/>
        <w:spacing w:after="0" w:line="293" w:lineRule="auto"/>
        <w:rPr>
          <w:sz w:val="20"/>
          <w:szCs w:val="20"/>
          <w:color w:val="auto"/>
        </w:rPr>
      </w:pPr>
      <w:r>
        <w:rPr>
          <w:rFonts w:ascii="Arial" w:cs="Arial" w:eastAsia="Arial" w:hAnsi="Arial"/>
          <w:sz w:val="17"/>
          <w:szCs w:val="17"/>
          <w:b w:val="1"/>
          <w:bCs w:val="1"/>
          <w:i w:val="1"/>
          <w:iCs w:val="1"/>
          <w:color w:val="auto"/>
        </w:rPr>
        <w:t>Enrollment and retention of subjects in clinical trials is expensive and time-consuming and may result in additional costs and delays in our product development activities, or in the failure of such activities.</w:t>
      </w:r>
    </w:p>
    <w:p>
      <w:pPr>
        <w:spacing w:after="0" w:line="85" w:lineRule="exact"/>
        <w:rPr>
          <w:sz w:val="20"/>
          <w:szCs w:val="20"/>
          <w:color w:val="auto"/>
        </w:rPr>
      </w:pPr>
    </w:p>
    <w:p>
      <w:pPr>
        <w:ind w:right="140" w:firstLine="620"/>
        <w:spacing w:after="0" w:line="257" w:lineRule="auto"/>
        <w:rPr>
          <w:sz w:val="20"/>
          <w:szCs w:val="20"/>
          <w:color w:val="auto"/>
        </w:rPr>
      </w:pPr>
      <w:r>
        <w:rPr>
          <w:rFonts w:ascii="Arial" w:cs="Arial" w:eastAsia="Arial" w:hAnsi="Arial"/>
          <w:sz w:val="17"/>
          <w:szCs w:val="17"/>
          <w:color w:val="auto"/>
        </w:rPr>
        <w:t>We may not be able to initiate, timely enroll or continue clinical trials for our product candidates if we are unable to locate and enroll a sufficient number of eligible subjects to participate in these trials as required by the FDA or similar regulatory authorities outside the United States, for reasons which include the COVID 19 pandemic and those listed below. In addition, some of our competitors are currently conducting clinical trials for product candidates that treat the same indications as our product candidates, and subjects who are otherwise eligible for our clinical trials may instead enroll in clinical trials of our competitors’ product candidates.</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Patient enrollment is affected by other factors including:</w:t>
      </w:r>
    </w:p>
    <w:p>
      <w:pPr>
        <w:spacing w:after="0" w:line="153" w:lineRule="exact"/>
        <w:rPr>
          <w:sz w:val="20"/>
          <w:szCs w:val="20"/>
          <w:color w:val="auto"/>
        </w:rPr>
      </w:pPr>
    </w:p>
    <w:p>
      <w:pPr>
        <w:ind w:left="780" w:hanging="156"/>
        <w:spacing w:after="0"/>
        <w:tabs>
          <w:tab w:leader="none" w:pos="7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severity of the disease under investigation;</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selection of the patient population required for analysis of the trial’s primary endpoints;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eligibility criteria for the study in question;</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frequency and extent of clinical trial site visits and study assessments;</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perceived risks and benefits of the product candidate under study;</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ability to monitor subjects adequately during and after treatment; and</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subjects.</w:t>
      </w:r>
    </w:p>
    <w:p>
      <w:pPr>
        <w:spacing w:after="0" w:line="153"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Furthermore, any negative results that we may report in nonclinical studies or clinical trials of our product candidates may make it difficult or impossible to recruit and retain subjects in other clinical trials of that same or any similar product candidate. Our inability to enroll a sufficient number of subjects for our clinical trials would result in significant delays, could require us to abandon one or more clinical trials altogether, and could delay or prevent our receipt of necessary regulatory approvals. In addition, it may be more challenging to identify and enroll certain patient populations or groups, such as pediatric patients. We have experienced enrollment delays in our INTEGUMENT-PED pediatric trial. Enrollment delays in our clinical trials may result in increased development costs for our product candidates, including as a result of launching additional clinical sites, which would cause the value of our company to decline and impede our ability to obtain additional financing.</w:t>
      </w:r>
    </w:p>
    <w:p>
      <w:pPr>
        <w:spacing w:after="0" w:line="9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15" w:lineRule="exact"/>
        <w:rPr>
          <w:sz w:val="20"/>
          <w:szCs w:val="20"/>
          <w:color w:val="auto"/>
        </w:rPr>
      </w:pPr>
    </w:p>
    <w:p>
      <w:pPr>
        <w:ind w:right="20" w:firstLine="620"/>
        <w:spacing w:after="0" w:line="257" w:lineRule="auto"/>
        <w:rPr>
          <w:sz w:val="20"/>
          <w:szCs w:val="20"/>
          <w:color w:val="auto"/>
        </w:rPr>
      </w:pPr>
      <w:r>
        <w:rPr>
          <w:rFonts w:ascii="Arial" w:cs="Arial" w:eastAsia="Arial" w:hAnsi="Arial"/>
          <w:sz w:val="17"/>
          <w:szCs w:val="17"/>
          <w:color w:val="auto"/>
        </w:rPr>
        <w:t>As we continue our development of our product candidates and initiate additional nonclinical studies or clinical trials of these or future product candidates, if any, serious adverse events, unacceptable levels of toxicity, undesirable side effects or unexpected characteristics may emerge, causing us to abandon these product candidates or limit their development to more narrow uses, lower potency levels or subpopulations in which the serious adverse events, unacceptable levels of toxicity, undesirable side effects or other characteristics are less prevalent, less severe or more acceptable from a risk/benefit perspective.</w:t>
      </w:r>
    </w:p>
    <w:p>
      <w:pPr>
        <w:spacing w:after="0" w:line="129" w:lineRule="exact"/>
        <w:rPr>
          <w:sz w:val="20"/>
          <w:szCs w:val="20"/>
          <w:color w:val="auto"/>
        </w:rPr>
      </w:pPr>
    </w:p>
    <w:p>
      <w:pPr>
        <w:ind w:right="80" w:firstLine="620"/>
        <w:spacing w:after="0" w:line="256" w:lineRule="auto"/>
        <w:rPr>
          <w:sz w:val="20"/>
          <w:szCs w:val="20"/>
          <w:color w:val="auto"/>
        </w:rPr>
      </w:pPr>
      <w:r>
        <w:rPr>
          <w:rFonts w:ascii="Arial" w:cs="Arial" w:eastAsia="Arial" w:hAnsi="Arial"/>
          <w:sz w:val="17"/>
          <w:szCs w:val="17"/>
          <w:color w:val="auto"/>
        </w:rPr>
        <w:t>If our product candidates are associated with adverse effects in clinical trials or have characteristics that are unexpected, we may need to abandon their development, institute burdensome monitoring programs, or limit development to more narrow uses, or lower or less frequent dosing in which the side effects or other characteristics are less prevalent, less severe, or more acceptable from a risk-benefit perspective. The FDA or an IRB, or similar regulatory authorities outside the United States, may also require that we suspend, discontinue, or limit our clinical trials based on safety information. Such findings could further result in regulatory authorities failing to provide marketing authorization for our product candidates. Many product candidates that initially showed promise in early stage testing have later been found to cause side effects that prevented further development of the product candidate.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580" w:firstLine="620"/>
        <w:spacing w:after="0" w:line="269" w:lineRule="auto"/>
        <w:rPr>
          <w:sz w:val="20"/>
          <w:szCs w:val="20"/>
          <w:color w:val="auto"/>
        </w:rPr>
      </w:pPr>
      <w:r>
        <w:rPr>
          <w:rFonts w:ascii="Arial" w:cs="Arial" w:eastAsia="Arial" w:hAnsi="Arial"/>
          <w:sz w:val="17"/>
          <w:szCs w:val="17"/>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104" w:lineRule="exact"/>
        <w:rPr>
          <w:sz w:val="20"/>
          <w:szCs w:val="20"/>
          <w:color w:val="auto"/>
        </w:rPr>
      </w:pPr>
    </w:p>
    <w:p>
      <w:pPr>
        <w:ind w:left="780" w:hanging="156"/>
        <w:spacing w:after="0"/>
        <w:tabs>
          <w:tab w:leader="none" w:pos="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regulatory authorities may withdraw approvals of such product;</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such side effects for distribution to patients;</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required to implement a REMS;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required to conduct Phase 4 clinical trials as post-marketing requirements;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 and</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reputation and physician or patient acceptance of our products may suffer.</w:t>
      </w:r>
    </w:p>
    <w:p>
      <w:pPr>
        <w:spacing w:after="0" w:line="153" w:lineRule="exact"/>
        <w:rPr>
          <w:sz w:val="20"/>
          <w:szCs w:val="20"/>
          <w:color w:val="auto"/>
        </w:rPr>
      </w:pPr>
    </w:p>
    <w:p>
      <w:pPr>
        <w:ind w:firstLine="620"/>
        <w:spacing w:after="0" w:line="269"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and could significantly harm our business, results of operations, and prospects.</w:t>
      </w:r>
    </w:p>
    <w:p>
      <w:pPr>
        <w:spacing w:after="0" w:line="97" w:lineRule="exact"/>
        <w:rPr>
          <w:sz w:val="20"/>
          <w:szCs w:val="20"/>
          <w:color w:val="auto"/>
        </w:rPr>
      </w:pPr>
    </w:p>
    <w:p>
      <w:pPr>
        <w:ind w:right="220"/>
        <w:spacing w:after="0" w:line="293" w:lineRule="auto"/>
        <w:rPr>
          <w:sz w:val="20"/>
          <w:szCs w:val="20"/>
          <w:color w:val="auto"/>
        </w:rPr>
      </w:pPr>
      <w:r>
        <w:rPr>
          <w:rFonts w:ascii="Arial" w:cs="Arial" w:eastAsia="Arial" w:hAnsi="Arial"/>
          <w:sz w:val="17"/>
          <w:szCs w:val="17"/>
          <w:b w:val="1"/>
          <w:bCs w:val="1"/>
          <w:i w:val="1"/>
          <w:iCs w:val="1"/>
          <w:color w:val="auto"/>
        </w:rPr>
        <w:t>As a company, we have never obtained marketing approval for any product candidate and we may be unable to successfully do so in a timely manner, if at all, for any of our product candidates.</w:t>
      </w:r>
    </w:p>
    <w:p>
      <w:pPr>
        <w:spacing w:after="0" w:line="85" w:lineRule="exact"/>
        <w:rPr>
          <w:sz w:val="20"/>
          <w:szCs w:val="20"/>
          <w:color w:val="auto"/>
        </w:rPr>
      </w:pPr>
    </w:p>
    <w:p>
      <w:pPr>
        <w:ind w:right="200" w:firstLine="620"/>
        <w:spacing w:after="0" w:line="258" w:lineRule="auto"/>
        <w:rPr>
          <w:sz w:val="20"/>
          <w:szCs w:val="20"/>
          <w:color w:val="auto"/>
        </w:rPr>
      </w:pPr>
      <w:r>
        <w:rPr>
          <w:rFonts w:ascii="Arial" w:cs="Arial" w:eastAsia="Arial" w:hAnsi="Arial"/>
          <w:sz w:val="17"/>
          <w:szCs w:val="17"/>
          <w:color w:val="auto"/>
        </w:rPr>
        <w:t>Obtaining marketing approval for a product candidate is a complicated process. Although members of our management team have participated in pivotal trials and obtained marketing approvals for product candidates in the past while employed at other companies, we as a company have limited experience doing so. As a result, the approval process and related activities may require more time and cost more than we anticipate, and we may be unable to successfully complete them for any of our product candidates.</w:t>
      </w:r>
    </w:p>
    <w:p>
      <w:pPr>
        <w:spacing w:after="0" w:line="129" w:lineRule="exact"/>
        <w:rPr>
          <w:sz w:val="20"/>
          <w:szCs w:val="20"/>
          <w:color w:val="auto"/>
        </w:rPr>
      </w:pPr>
    </w:p>
    <w:p>
      <w:pPr>
        <w:ind w:right="60" w:firstLine="620"/>
        <w:spacing w:after="0" w:line="254" w:lineRule="auto"/>
        <w:rPr>
          <w:sz w:val="20"/>
          <w:szCs w:val="20"/>
          <w:color w:val="auto"/>
        </w:rPr>
      </w:pPr>
      <w:r>
        <w:rPr>
          <w:rFonts w:ascii="Arial" w:cs="Arial" w:eastAsia="Arial" w:hAnsi="Arial"/>
          <w:sz w:val="17"/>
          <w:szCs w:val="17"/>
          <w:color w:val="auto"/>
        </w:rPr>
        <w:t>To date, we have submitted an NDA and have completed two Phase 3 studies and three Phase 2 studies in plaque psoriasis with roflumilast cream, a Phase 2 study in atopic dermatitis with roflumilast cream, and two Phase 2 studies in seborrheic dermatitis and scalp and body psoriasis with roflumilast foam. We also have pivotal Phase 3 clinical trials underway of roflumilast cream for the treatment of atopic dermatitis and of roflumilast foam in seborrheic dermatitis and scalp and body psoriasis. Failure to successfully complete, or delays in, our pivotal trials or related regulatory submissions would prevent us from or delay us in obtaining regulatory approval for our product candidates. In addition, it is possible that the FDA may refuse to accept for substantive review any NDAs that we submit for our product candidates or may conclude after review of our applications that they are insufficient to obtain marketing approval of our product candidates. While the FDA encouraged us at our atopic dermatitis End of Phase 2 meeting to generate additional clinical data in adolescents and adults on the two roflumilast cream doses studied in our Phase 2 study, they also did not raise objections to us proceeding into Phase 3. If the FDA does not accept our applications or issue marketing authorizations for our product candidates, it may require that we conduct additional clinical, nonclinical, or manufacturing validation studies and submit that data before it will reconsider our applications. Depending on the extent of these or any other FDA-required studies, approval of any NDA for any other applications that we submit may be delayed by several years, or may require us to expend more resources than we have available. It is also possible that additional studies, if performed and completed, may not be considered sufficient by the FDA to approve our NDAs. Additionally, similar risks could apply to receipt of marketing authorizations by comparable regulatory authorities in foreign jurisdictions.</w:t>
      </w:r>
    </w:p>
    <w:p>
      <w:pPr>
        <w:spacing w:after="0" w:line="140" w:lineRule="exact"/>
        <w:rPr>
          <w:sz w:val="20"/>
          <w:szCs w:val="20"/>
          <w:color w:val="auto"/>
        </w:rPr>
      </w:pPr>
    </w:p>
    <w:p>
      <w:pPr>
        <w:ind w:right="360" w:firstLine="620"/>
        <w:spacing w:after="0" w:line="261" w:lineRule="auto"/>
        <w:rPr>
          <w:sz w:val="20"/>
          <w:szCs w:val="20"/>
          <w:color w:val="auto"/>
        </w:rPr>
      </w:pPr>
      <w:r>
        <w:rPr>
          <w:rFonts w:ascii="Arial" w:cs="Arial" w:eastAsia="Arial" w:hAnsi="Arial"/>
          <w:sz w:val="17"/>
          <w:szCs w:val="17"/>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92" w:lineRule="exact"/>
        <w:rPr>
          <w:sz w:val="20"/>
          <w:szCs w:val="20"/>
          <w:color w:val="auto"/>
        </w:rPr>
      </w:pPr>
    </w:p>
    <w:p>
      <w:pPr>
        <w:jc w:val="both"/>
        <w:ind w:right="840"/>
        <w:spacing w:after="0" w:line="293" w:lineRule="auto"/>
        <w:rPr>
          <w:sz w:val="20"/>
          <w:szCs w:val="20"/>
          <w:color w:val="auto"/>
        </w:rPr>
      </w:pPr>
      <w:r>
        <w:rPr>
          <w:rFonts w:ascii="Arial" w:cs="Arial" w:eastAsia="Arial" w:hAnsi="Arial"/>
          <w:sz w:val="17"/>
          <w:szCs w:val="17"/>
          <w:b w:val="1"/>
          <w:bCs w:val="1"/>
          <w:i w:val="1"/>
          <w:iCs w:val="1"/>
          <w:color w:val="auto"/>
        </w:rPr>
        <w:t>Even if our lead product candidate or our other product candidates receive marketing approval, they may fail to achieve market acceptance by physicians, patients, third-party payors, or others in the medical community necessary for commercial success.</w:t>
      </w:r>
    </w:p>
    <w:p>
      <w:pPr>
        <w:spacing w:after="0" w:line="98" w:lineRule="exact"/>
        <w:rPr>
          <w:sz w:val="20"/>
          <w:szCs w:val="20"/>
          <w:color w:val="auto"/>
        </w:rPr>
      </w:pPr>
    </w:p>
    <w:p>
      <w:pPr>
        <w:ind w:right="120" w:firstLine="620"/>
        <w:spacing w:after="0" w:line="261" w:lineRule="auto"/>
        <w:rPr>
          <w:sz w:val="20"/>
          <w:szCs w:val="20"/>
          <w:color w:val="auto"/>
        </w:rPr>
      </w:pPr>
      <w:r>
        <w:rPr>
          <w:rFonts w:ascii="Arial" w:cs="Arial" w:eastAsia="Arial" w:hAnsi="Arial"/>
          <w:sz w:val="17"/>
          <w:szCs w:val="17"/>
          <w:color w:val="auto"/>
        </w:rPr>
        <w:t>Even if our lead product candidate or our other product candidates receive marketing approval, they may nonetheless fail to gain sufficient market acceptance by physicians, patients, third-party payors, and others in the medical community. If our product candidates do not achieve an adequate level of acceptance, we may not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340"/>
        <w:spacing w:after="0" w:line="269" w:lineRule="auto"/>
        <w:rPr>
          <w:sz w:val="20"/>
          <w:szCs w:val="20"/>
          <w:color w:val="auto"/>
        </w:rPr>
      </w:pPr>
      <w:r>
        <w:rPr>
          <w:rFonts w:ascii="Arial" w:cs="Arial" w:eastAsia="Arial" w:hAnsi="Arial"/>
          <w:sz w:val="17"/>
          <w:szCs w:val="17"/>
          <w:color w:val="auto"/>
        </w:rPr>
        <w:t>generate adequate product revenue or become profitable. The degree of market acceptance of a product candidate, if approved for commercial sale, will depend on a number of factors, including but not limited to:</w:t>
      </w:r>
    </w:p>
    <w:p>
      <w:pPr>
        <w:spacing w:after="0" w:line="104" w:lineRule="exact"/>
        <w:rPr>
          <w:sz w:val="20"/>
          <w:szCs w:val="20"/>
          <w:color w:val="auto"/>
        </w:rPr>
      </w:pPr>
    </w:p>
    <w:p>
      <w:pPr>
        <w:ind w:left="780" w:right="160" w:hanging="156"/>
        <w:spacing w:after="0" w:line="261" w:lineRule="auto"/>
        <w:tabs>
          <w:tab w:leader="none" w:pos="77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safety, efficacy, risk-benefit profile, and potential advantages compared to alternative or existing treatments, such as steroids topical treatments, oral treatments, and biologic injections for the treatment of psoriasis, which physicians may perceive to be adequately effective for some or all patients;</w:t>
      </w:r>
    </w:p>
    <w:p>
      <w:pPr>
        <w:spacing w:after="0" w:line="124" w:lineRule="exact"/>
        <w:rPr>
          <w:rFonts w:ascii="Arial" w:cs="Arial" w:eastAsia="Arial" w:hAnsi="Arial"/>
          <w:sz w:val="17"/>
          <w:szCs w:val="17"/>
          <w:color w:val="auto"/>
        </w:rPr>
      </w:pPr>
    </w:p>
    <w:p>
      <w:pPr>
        <w:ind w:left="780" w:hanging="156"/>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side effects that may be attributable to our product candidates and the difficulty of or costs associated with resolving such side effects;</w:t>
      </w:r>
    </w:p>
    <w:p>
      <w:pPr>
        <w:spacing w:after="0" w:line="153" w:lineRule="exact"/>
        <w:rPr>
          <w:rFonts w:ascii="Arial" w:cs="Arial" w:eastAsia="Arial" w:hAnsi="Arial"/>
          <w:sz w:val="17"/>
          <w:szCs w:val="17"/>
          <w:color w:val="auto"/>
        </w:rPr>
      </w:pPr>
    </w:p>
    <w:p>
      <w:pPr>
        <w:ind w:left="780" w:right="560" w:hanging="156"/>
        <w:spacing w:after="0" w:line="269" w:lineRule="auto"/>
        <w:tabs>
          <w:tab w:leader="none" w:pos="776"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approved for our product candidates by FDA or other applicable foreign regulatory authorities;</w:t>
      </w:r>
    </w:p>
    <w:p>
      <w:pPr>
        <w:spacing w:after="0" w:line="104" w:lineRule="exact"/>
        <w:rPr>
          <w:rFonts w:ascii="Arial" w:cs="Arial" w:eastAsia="Arial" w:hAnsi="Arial"/>
          <w:sz w:val="17"/>
          <w:szCs w:val="17"/>
          <w:color w:val="auto"/>
        </w:rPr>
      </w:pPr>
    </w:p>
    <w:p>
      <w:pPr>
        <w:ind w:left="780" w:hanging="156"/>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restrictions on the use of our products, and the prevalence and severity of any side effects;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content of the approved product label;</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effectiveness of sales and marketing efforts;</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cost of treatment in relation to alternative treatments, including any similar generic treatments and over-the-counter (OTC) treatments;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offer our products for sale at competitive prices;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convenience and ease of administration compared to alternative treatments;</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 over existing therapies;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availability of third-party coverage and adequate reimbursement at any given price level of each of our product candidates;</w:t>
      </w:r>
    </w:p>
    <w:p>
      <w:pPr>
        <w:spacing w:after="0" w:line="140" w:lineRule="exact"/>
        <w:rPr>
          <w:rFonts w:ascii="Arial" w:cs="Arial" w:eastAsia="Arial" w:hAnsi="Arial"/>
          <w:sz w:val="17"/>
          <w:szCs w:val="17"/>
          <w:color w:val="auto"/>
        </w:rPr>
      </w:pPr>
    </w:p>
    <w:p>
      <w:pPr>
        <w:ind w:left="780" w:right="260" w:hanging="156"/>
        <w:spacing w:after="0" w:line="269" w:lineRule="auto"/>
        <w:tabs>
          <w:tab w:leader="none" w:pos="77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willingness of patients to pay out-of-pocket for our product candidates, if approved, in the absence of health insurance coverage or sufficient reimbursement;</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utilization controls imposed by third-party payors, such as prior authorizations and step edits;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restrictions on the use of any of our product candidates; and</w:t>
      </w:r>
    </w:p>
    <w:p>
      <w:pPr>
        <w:spacing w:after="0" w:line="140" w:lineRule="exact"/>
        <w:rPr>
          <w:rFonts w:ascii="Arial" w:cs="Arial" w:eastAsia="Arial" w:hAnsi="Arial"/>
          <w:sz w:val="17"/>
          <w:szCs w:val="17"/>
          <w:color w:val="auto"/>
        </w:rPr>
      </w:pPr>
    </w:p>
    <w:p>
      <w:pPr>
        <w:ind w:left="780" w:right="40" w:hanging="156"/>
        <w:spacing w:after="0" w:line="269" w:lineRule="auto"/>
        <w:tabs>
          <w:tab w:leader="none" w:pos="77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impact on our business, including our sales, marketing and commercialization activities, of the COVID-19 pandemic and the impact of the pandemic on physicians' practices and their ability to see patients and prescribe our products.</w:t>
      </w:r>
    </w:p>
    <w:p>
      <w:pPr>
        <w:spacing w:after="0" w:line="117" w:lineRule="exact"/>
        <w:rPr>
          <w:sz w:val="20"/>
          <w:szCs w:val="20"/>
          <w:color w:val="auto"/>
        </w:rPr>
      </w:pPr>
    </w:p>
    <w:p>
      <w:pPr>
        <w:ind w:right="480" w:firstLine="620"/>
        <w:spacing w:after="0" w:line="261" w:lineRule="auto"/>
        <w:rPr>
          <w:sz w:val="20"/>
          <w:szCs w:val="20"/>
          <w:color w:val="auto"/>
        </w:rPr>
      </w:pPr>
      <w:r>
        <w:rPr>
          <w:rFonts w:ascii="Arial" w:cs="Arial" w:eastAsia="Arial" w:hAnsi="Arial"/>
          <w:sz w:val="17"/>
          <w:szCs w:val="17"/>
          <w:color w:val="auto"/>
        </w:rPr>
        <w:t>We cannot assure you that our current or future product candidates, if approved, will achieve market acceptance among physicians, patients, third-party payors, or others in the medical community necessary for commercial success. Any failure by our product candidates that obtain regulatory approval to achieve market acceptance or commercial success would harm our results of operations.</w:t>
      </w:r>
    </w:p>
    <w:p>
      <w:pPr>
        <w:spacing w:after="0" w:line="92" w:lineRule="exact"/>
        <w:rPr>
          <w:sz w:val="20"/>
          <w:szCs w:val="20"/>
          <w:color w:val="auto"/>
        </w:rPr>
      </w:pPr>
    </w:p>
    <w:p>
      <w:pPr>
        <w:ind w:right="280"/>
        <w:spacing w:after="0" w:line="293" w:lineRule="auto"/>
        <w:rPr>
          <w:sz w:val="20"/>
          <w:szCs w:val="20"/>
          <w:color w:val="auto"/>
        </w:rPr>
      </w:pPr>
      <w:r>
        <w:rPr>
          <w:rFonts w:ascii="Arial" w:cs="Arial" w:eastAsia="Arial" w:hAnsi="Arial"/>
          <w:sz w:val="17"/>
          <w:szCs w:val="17"/>
          <w:b w:val="1"/>
          <w:bCs w:val="1"/>
          <w:i w:val="1"/>
          <w:iCs w:val="1"/>
          <w:color w:val="auto"/>
        </w:rPr>
        <w:t>We may choose not to continue developing or commercializing any of our product candidates at any time during development or after approval, which would reduce or eliminate our potential return on investment for those product candidates.</w:t>
      </w:r>
    </w:p>
    <w:p>
      <w:pPr>
        <w:spacing w:after="0" w:line="98" w:lineRule="exact"/>
        <w:rPr>
          <w:sz w:val="20"/>
          <w:szCs w:val="20"/>
          <w:color w:val="auto"/>
        </w:rPr>
      </w:pPr>
    </w:p>
    <w:p>
      <w:pPr>
        <w:ind w:right="40" w:firstLine="620"/>
        <w:spacing w:after="0" w:line="258" w:lineRule="auto"/>
        <w:rPr>
          <w:sz w:val="20"/>
          <w:szCs w:val="20"/>
          <w:color w:val="auto"/>
        </w:rPr>
      </w:pPr>
      <w:r>
        <w:rPr>
          <w:rFonts w:ascii="Arial" w:cs="Arial" w:eastAsia="Arial" w:hAnsi="Arial"/>
          <w:sz w:val="17"/>
          <w:szCs w:val="17"/>
          <w:color w:val="auto"/>
        </w:rPr>
        <w:t>At any time, we may decide to discontinue the development or commercialization of any of our products or product candidates for a variety of reasons, including the appearance of new technologies that render our product obsolete, competition from a competing product, or changes in or inability to comply with applicable regulatory requirements. If we terminate a program in which we have invested significant resources, we will not receive any return on our investment and we will have missed the opportunity to allocate those resources to potentially more productive uses.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jc w:val="both"/>
        <w:ind w:right="60"/>
        <w:spacing w:after="0" w:line="293" w:lineRule="auto"/>
        <w:rPr>
          <w:sz w:val="20"/>
          <w:szCs w:val="20"/>
          <w:color w:val="auto"/>
        </w:rPr>
      </w:pPr>
      <w:r>
        <w:rPr>
          <w:rFonts w:ascii="Arial" w:cs="Arial" w:eastAsia="Arial" w:hAnsi="Arial"/>
          <w:sz w:val="17"/>
          <w:szCs w:val="17"/>
          <w:b w:val="1"/>
          <w:bCs w:val="1"/>
          <w:i w:val="1"/>
          <w:iCs w:val="1"/>
          <w:color w:val="auto"/>
        </w:rPr>
        <w:t>If we are unable to achieve and maintain coverage and adequate levels of reimbursement for any of our product candidates for which we receive regulatory approval, or any future products we may seek to commercialize, their commercial success may be severely hindered.</w:t>
      </w:r>
    </w:p>
    <w:p>
      <w:pPr>
        <w:spacing w:after="0" w:line="85" w:lineRule="exact"/>
        <w:rPr>
          <w:sz w:val="20"/>
          <w:szCs w:val="20"/>
          <w:color w:val="auto"/>
        </w:rPr>
      </w:pPr>
    </w:p>
    <w:p>
      <w:pPr>
        <w:ind w:right="80" w:firstLine="620"/>
        <w:spacing w:after="0" w:line="255" w:lineRule="auto"/>
        <w:rPr>
          <w:sz w:val="20"/>
          <w:szCs w:val="20"/>
          <w:color w:val="auto"/>
        </w:rPr>
      </w:pPr>
      <w:r>
        <w:rPr>
          <w:rFonts w:ascii="Arial" w:cs="Arial" w:eastAsia="Arial" w:hAnsi="Arial"/>
          <w:sz w:val="17"/>
          <w:szCs w:val="17"/>
          <w:color w:val="auto"/>
        </w:rPr>
        <w:t>As to any of our product candidates that become available by prescription only, our success will depend on the availability of coverage and adequate reimbursement for our product from third-party payors. Patients who are prescribed medicine for the treatment of their conditions generally rely on third-party payors to reimburse all or part of the costs associated with their prescription drugs. The availability of coverage and adequate reimbursement from governmental healthcare programs, such as Medicare and Medicaid, and private third-party payors is critical to new product acceptance. Coverage decisions may depend upon clinical and economic standards that disfavor new drug products when more established or lower cost therapeutic alternatives are already available or subsequently become available. If any of our product candidates fail to demonstrate attractive efficacy profiles, they may not qualify for coverage and reimbursement. Even if we obtain coverage for a given product, the resulting reimbursement payment rates might not be adequate or may require co-payments that patients find unacceptably high. Patients are unlikely to use our prescription-only products unless coverage is provided and reimbursement is adequate to cover a significant portion of the cost of our products.</w:t>
      </w:r>
    </w:p>
    <w:p>
      <w:pPr>
        <w:spacing w:after="0" w:line="340" w:lineRule="exact"/>
        <w:rPr>
          <w:sz w:val="20"/>
          <w:szCs w:val="20"/>
          <w:color w:val="auto"/>
        </w:rPr>
      </w:pPr>
    </w:p>
    <w:p>
      <w:pPr>
        <w:ind w:right="180" w:firstLine="620"/>
        <w:spacing w:after="0" w:line="261" w:lineRule="auto"/>
        <w:rPr>
          <w:sz w:val="20"/>
          <w:szCs w:val="20"/>
          <w:color w:val="auto"/>
        </w:rPr>
      </w:pPr>
      <w:r>
        <w:rPr>
          <w:rFonts w:ascii="Arial" w:cs="Arial" w:eastAsia="Arial" w:hAnsi="Arial"/>
          <w:sz w:val="17"/>
          <w:szCs w:val="17"/>
          <w:color w:val="auto"/>
        </w:rPr>
        <w:t>In addition, the market for certain of our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w:t>
      </w:r>
    </w:p>
    <w:p>
      <w:pPr>
        <w:spacing w:after="0" w:line="125" w:lineRule="exact"/>
        <w:rPr>
          <w:sz w:val="20"/>
          <w:szCs w:val="20"/>
          <w:color w:val="auto"/>
        </w:rPr>
      </w:pPr>
    </w:p>
    <w:p>
      <w:pPr>
        <w:ind w:right="80" w:firstLine="620"/>
        <w:spacing w:after="0" w:line="256" w:lineRule="auto"/>
        <w:rPr>
          <w:sz w:val="20"/>
          <w:szCs w:val="20"/>
          <w:color w:val="auto"/>
        </w:rPr>
      </w:pPr>
      <w:r>
        <w:rPr>
          <w:rFonts w:ascii="Arial" w:cs="Arial" w:eastAsia="Arial" w:hAnsi="Arial"/>
          <w:sz w:val="17"/>
          <w:szCs w:val="17"/>
          <w:color w:val="auto"/>
        </w:rPr>
        <w:t>Third-party payors, whether foreign or domestic, or governmental or commercial, are developing increasingly sophisticated methods of controlling healthcare costs. In addition, in the United States, although private third-party payors tend to follow Medicare, no uniform policy of coverage and reimbursement for drug products exists among third-party payors.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19" w:lineRule="exact"/>
        <w:rPr>
          <w:sz w:val="20"/>
          <w:szCs w:val="20"/>
          <w:color w:val="auto"/>
        </w:rPr>
      </w:pPr>
    </w:p>
    <w:p>
      <w:pPr>
        <w:ind w:right="80" w:firstLine="620"/>
        <w:spacing w:after="0" w:line="258" w:lineRule="auto"/>
        <w:rPr>
          <w:sz w:val="20"/>
          <w:szCs w:val="20"/>
          <w:color w:val="auto"/>
        </w:rPr>
      </w:pPr>
      <w:r>
        <w:rPr>
          <w:rFonts w:ascii="Arial" w:cs="Arial" w:eastAsia="Arial" w:hAnsi="Arial"/>
          <w:sz w:val="17"/>
          <w:szCs w:val="17"/>
          <w:color w:val="auto"/>
        </w:rPr>
        <w:t>Further, we believe that future coverage and reimbursement will likely be subject to increased restrictions in both the United States and in international markets. Third-party coverage and reimbursement for any of our product candidates for which we may receive regulatory approval may not be available or adequate in either the United States or international markets, which could harm our business, financial condition, operating results, and prospects.</w:t>
      </w:r>
    </w:p>
    <w:p>
      <w:pPr>
        <w:spacing w:after="0" w:line="109" w:lineRule="exact"/>
        <w:rPr>
          <w:sz w:val="20"/>
          <w:szCs w:val="20"/>
          <w:color w:val="auto"/>
        </w:rPr>
      </w:pPr>
    </w:p>
    <w:p>
      <w:pPr>
        <w:ind w:right="720"/>
        <w:spacing w:after="0" w:line="293" w:lineRule="auto"/>
        <w:rPr>
          <w:sz w:val="20"/>
          <w:szCs w:val="20"/>
          <w:color w:val="auto"/>
        </w:rPr>
      </w:pPr>
      <w:r>
        <w:rPr>
          <w:rFonts w:ascii="Arial" w:cs="Arial" w:eastAsia="Arial" w:hAnsi="Arial"/>
          <w:sz w:val="17"/>
          <w:szCs w:val="17"/>
          <w:b w:val="1"/>
          <w:bCs w:val="1"/>
          <w:i w:val="1"/>
          <w:iCs w:val="1"/>
          <w:color w:val="auto"/>
        </w:rPr>
        <w:t>We currently have limited sales, marketing, or distribution capabilities and have no experience as a company in commercializing products.</w:t>
      </w:r>
    </w:p>
    <w:p>
      <w:pPr>
        <w:spacing w:after="0" w:line="98" w:lineRule="exact"/>
        <w:rPr>
          <w:sz w:val="20"/>
          <w:szCs w:val="20"/>
          <w:color w:val="auto"/>
        </w:rPr>
      </w:pPr>
    </w:p>
    <w:p>
      <w:pPr>
        <w:ind w:right="80" w:firstLine="620"/>
        <w:spacing w:after="0" w:line="257" w:lineRule="auto"/>
        <w:rPr>
          <w:sz w:val="20"/>
          <w:szCs w:val="20"/>
          <w:color w:val="auto"/>
        </w:rPr>
      </w:pPr>
      <w:r>
        <w:rPr>
          <w:rFonts w:ascii="Arial" w:cs="Arial" w:eastAsia="Arial" w:hAnsi="Arial"/>
          <w:sz w:val="17"/>
          <w:szCs w:val="17"/>
          <w:color w:val="auto"/>
        </w:rPr>
        <w:t>To achieve commercial success for any product for which we obtain marketing approval, we will need to build a significantly more robust sales and marketing organization. We currently have limited infrastructure for the sales, marketing, or distribution of any product, and the cost of establishing and maintaining such an organization may exceed the cost-effectiveness of doing so. In order to market any product that may be approved, we must build our sales, distribution, marketing, managerial, and other nontechnical capabilities or make arrangements with third parties to perform these services.</w:t>
      </w:r>
    </w:p>
    <w:p>
      <w:pPr>
        <w:spacing w:after="0" w:line="116"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We have begun to build our commercial infrastructure and plan to build a dermatologist-focused sales, distribution, and marketing infrastructure to market our product candidates in North America. We have begun hiring in areas to prepare for commercialization, including in sales management, sales representatives, marketing, access and reimbursement, sales support, and distribution. There are significant expenses and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our internal sales, marketing, and distribution capabilities could delay or negatively affect the success of any product launch, which would adversely impact its commercialization. If the commercial launch of any of our product candidates, if approved,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If we are unable to establish adequate sales, marketing, and distribution capabilities, either on our own or in collaboration with third parties, we will not be successful in commercializing any of our product candidates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96" w:lineRule="exact"/>
        <w:rPr>
          <w:sz w:val="20"/>
          <w:szCs w:val="20"/>
          <w:color w:val="auto"/>
        </w:rPr>
      </w:pPr>
    </w:p>
    <w:p>
      <w:pPr>
        <w:ind w:right="20"/>
        <w:spacing w:after="0" w:line="293" w:lineRule="auto"/>
        <w:rPr>
          <w:sz w:val="20"/>
          <w:szCs w:val="20"/>
          <w:color w:val="auto"/>
        </w:rPr>
      </w:pPr>
      <w:r>
        <w:rPr>
          <w:rFonts w:ascii="Arial" w:cs="Arial" w:eastAsia="Arial" w:hAnsi="Arial"/>
          <w:sz w:val="17"/>
          <w:szCs w:val="17"/>
          <w:b w:val="1"/>
          <w:bCs w:val="1"/>
          <w:i w:val="1"/>
          <w:iCs w:val="1"/>
          <w:color w:val="auto"/>
        </w:rPr>
        <w:t>If we seek to market any products in our pipeline in countries other than the United States, we will need to comply with the regulations of each country in which we seek to market our products.</w:t>
      </w:r>
    </w:p>
    <w:p>
      <w:pPr>
        <w:spacing w:after="0" w:line="98"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None of our product candidates are currently approved for sale by any government authority in any jurisdiction. If we fail to comply with regulatory requirements in any market we decide to enter, or to obtain and maintain required approvals, or if regulatory approvals in the relevant markets are delayed, our target market will be reduced and our ability to realize the full market potential of our product candidates will be harmed. Marketing approval in one jurisdiction, including the United States, does not ensure marketing approval in another, but a failure or delay in obtaining marketing approval in one jurisdiction may have a negative effect on the regulatory process in others. Failure to obtain a marketing approval in countries in which we seek to market our products or any delay or setback in obtaining such approval would impair our ability to develop foreign markets for any of our products.</w:t>
      </w:r>
    </w:p>
    <w:p>
      <w:pPr>
        <w:spacing w:after="0" w:line="110" w:lineRule="exact"/>
        <w:rPr>
          <w:sz w:val="20"/>
          <w:szCs w:val="20"/>
          <w:color w:val="auto"/>
        </w:rPr>
      </w:pPr>
    </w:p>
    <w:p>
      <w:pPr>
        <w:ind w:right="100"/>
        <w:spacing w:after="0" w:line="293" w:lineRule="auto"/>
        <w:rPr>
          <w:sz w:val="20"/>
          <w:szCs w:val="20"/>
          <w:color w:val="auto"/>
        </w:rPr>
      </w:pPr>
      <w:r>
        <w:rPr>
          <w:rFonts w:ascii="Arial" w:cs="Arial" w:eastAsia="Arial" w:hAnsi="Arial"/>
          <w:sz w:val="17"/>
          <w:szCs w:val="17"/>
          <w:b w:val="1"/>
          <w:bCs w:val="1"/>
          <w:i w:val="1"/>
          <w:iCs w:val="1"/>
          <w:color w:val="auto"/>
        </w:rPr>
        <w:t>Our license agreements obligate us to make certain milestone payments, some of which will be triggered prior to our commercialization of any of our product candidates.</w:t>
      </w:r>
    </w:p>
    <w:p>
      <w:pPr>
        <w:spacing w:after="0" w:line="85" w:lineRule="exact"/>
        <w:rPr>
          <w:sz w:val="20"/>
          <w:szCs w:val="20"/>
          <w:color w:val="auto"/>
        </w:rPr>
      </w:pPr>
    </w:p>
    <w:p>
      <w:pPr>
        <w:ind w:right="180" w:firstLine="620"/>
        <w:spacing w:after="0" w:line="261" w:lineRule="auto"/>
        <w:rPr>
          <w:sz w:val="20"/>
          <w:szCs w:val="20"/>
          <w:color w:val="auto"/>
        </w:rPr>
      </w:pPr>
      <w:r>
        <w:rPr>
          <w:rFonts w:ascii="Arial" w:cs="Arial" w:eastAsia="Arial" w:hAnsi="Arial"/>
          <w:sz w:val="17"/>
          <w:szCs w:val="17"/>
          <w:color w:val="auto"/>
        </w:rPr>
        <w:t>Certain of the milestone payments payable by us to AstraZeneca and Hengrui, are due upon events that will occur prior to our planned commercialization of the applicable product candidates. Accordingly, we will be required to make such payments prior to the time at which we are able to generate revenue, if any, from sales of any of our product candidates, if approved.</w:t>
      </w:r>
    </w:p>
    <w:p>
      <w:pPr>
        <w:spacing w:after="0" w:line="125"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For example, upon regulatory approval from the FDA to commercialize roflumilast cream in the United States, but prior to commencement of commercialization or sales of roflumilast cream, we will be required to make certain milestone payments to AstraZeneca. We paid AstraZeneca the first milestone cash payment of $ 2.0 million upon the completion of a Phase 2b study of roflumilast cream in plaque psoriasis in August 2019 for the achievement of positive Phase 2 data for an AZ-Licensed Product (as defined below). We have agreed to make additional cash payments to AstraZeneca of up to an aggregate of $12.5 million upon the achievement of specified regulatory approval milestones with respect to products containing roflumilast in topical forms, as well as delivery systems sold with or for the administration of roflumilast, or collectively, AZ-Licensed Products, which includes $7.5 million upon FDA approval of our first product, and payments up to an additional aggregate amount of $15.0 million upon the achievement of certain aggregate worldwide net sales milestones. With respect to any AZ-Licensed Products we commercialize under the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131" w:lineRule="exact"/>
        <w:rPr>
          <w:sz w:val="20"/>
          <w:szCs w:val="20"/>
          <w:color w:val="auto"/>
        </w:rPr>
      </w:pPr>
    </w:p>
    <w:p>
      <w:pPr>
        <w:ind w:right="20" w:firstLine="620"/>
        <w:spacing w:after="0" w:line="255" w:lineRule="auto"/>
        <w:rPr>
          <w:sz w:val="20"/>
          <w:szCs w:val="20"/>
          <w:color w:val="auto"/>
        </w:rPr>
      </w:pPr>
      <w:r>
        <w:rPr>
          <w:rFonts w:ascii="Arial" w:cs="Arial" w:eastAsia="Arial" w:hAnsi="Arial"/>
          <w:sz w:val="17"/>
          <w:szCs w:val="17"/>
          <w:color w:val="auto"/>
        </w:rPr>
        <w:t>In connection with the exercise of our exclusive option with Hengrui in December 2019, we made a $1.5 million cash payment and also contemporaneously amended the agreement to expand the territory to additionally include Canada. In addition, we have agreed to make cash payments of up to an aggregate of $ 20.5 million upon our achievement of specified clinical development and regulatory approval milestones with respect to the licensed products and cash payments of up to an additional $200.0 million in sales-based milestones based on achieving certain aggregate annual net sales volumes with respect to a licensed product. With respect to any products we commercialize under the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the 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w:t>
      </w:r>
    </w:p>
    <w:p>
      <w:pPr>
        <w:spacing w:after="0" w:line="118" w:lineRule="exact"/>
        <w:rPr>
          <w:sz w:val="20"/>
          <w:szCs w:val="20"/>
          <w:color w:val="auto"/>
        </w:rPr>
      </w:pPr>
    </w:p>
    <w:p>
      <w:pPr>
        <w:jc w:val="both"/>
        <w:ind w:firstLine="620"/>
        <w:spacing w:after="0" w:line="261" w:lineRule="auto"/>
        <w:rPr>
          <w:sz w:val="20"/>
          <w:szCs w:val="20"/>
          <w:color w:val="auto"/>
        </w:rPr>
      </w:pPr>
      <w:r>
        <w:rPr>
          <w:rFonts w:ascii="Arial" w:cs="Arial" w:eastAsia="Arial" w:hAnsi="Arial"/>
          <w:sz w:val="17"/>
          <w:szCs w:val="17"/>
          <w:color w:val="auto"/>
        </w:rPr>
        <w:t>There can be no assurance that we will have the funds necessary to make such payments, or be able to raise such funds when needed, on terms acceptable to us, or at all. Furthermore, if we are forced to raise additional funds, we may be required to delay, limit, reduce, or terminate our product development or future commercialization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efforts, or grant rights to develop and market product candidates that we would otherwise develop and market ourselves. If we are unable to raise additional funds or maintain sufficient liquidity to make our payment obligations if and when they become due, including payment obligations under the license agreement with AstraZeneca and under the option and license agreement with Hengrui, we may be in material breach of our agreements and our counterparties may seek legal action or remedies against us (including by seeking to terminate the relevant agreements), which would harm our business, financial condition, results of operations, and prospects.</w:t>
      </w:r>
    </w:p>
    <w:p>
      <w:pPr>
        <w:spacing w:after="0" w:line="96" w:lineRule="exact"/>
        <w:rPr>
          <w:sz w:val="20"/>
          <w:szCs w:val="20"/>
          <w:color w:val="auto"/>
        </w:rPr>
      </w:pPr>
    </w:p>
    <w:p>
      <w:pPr>
        <w:ind w:right="140"/>
        <w:spacing w:after="0" w:line="293" w:lineRule="auto"/>
        <w:rPr>
          <w:sz w:val="20"/>
          <w:szCs w:val="20"/>
          <w:color w:val="auto"/>
        </w:rPr>
      </w:pPr>
      <w:r>
        <w:rPr>
          <w:rFonts w:ascii="Arial" w:cs="Arial" w:eastAsia="Arial" w:hAnsi="Arial"/>
          <w:sz w:val="17"/>
          <w:szCs w:val="17"/>
          <w:b w:val="1"/>
          <w:bCs w:val="1"/>
          <w:i w:val="1"/>
          <w:iCs w:val="1"/>
          <w:color w:val="auto"/>
        </w:rPr>
        <w:t>We face significant competition from other biotechnology and pharmaceutical companies targeting medical dermatological indications, and our operating results will suffer if we fail to compete effectively.</w:t>
      </w:r>
    </w:p>
    <w:p>
      <w:pPr>
        <w:spacing w:after="0" w:line="98" w:lineRule="exact"/>
        <w:rPr>
          <w:sz w:val="20"/>
          <w:szCs w:val="20"/>
          <w:color w:val="auto"/>
        </w:rPr>
      </w:pPr>
    </w:p>
    <w:p>
      <w:pPr>
        <w:ind w:right="80" w:firstLine="620"/>
        <w:spacing w:after="0" w:line="256" w:lineRule="auto"/>
        <w:rPr>
          <w:sz w:val="20"/>
          <w:szCs w:val="20"/>
          <w:color w:val="auto"/>
        </w:rPr>
      </w:pPr>
      <w:r>
        <w:rPr>
          <w:rFonts w:ascii="Arial" w:cs="Arial" w:eastAsia="Arial" w:hAnsi="Arial"/>
          <w:sz w:val="17"/>
          <w:szCs w:val="17"/>
          <w:color w:val="auto"/>
        </w:rPr>
        <w:t>The markets for dermatological therapies are competitive and are characterized by significant technological development and new product introduction. For example, there are several large and small pharmaceutical companies focused on delivering therapeutics for our targeted inflammatory and medical dermatological indications. We anticipate that, if we obtain regulatory approval of our product candidates, we will face significant competition from other approved therapies or drugs that become available in the future for the treatment of our target indications. If approved, our product candidates may also compete with unregulated, unapproved, and off-label treatments. Even if another branded or generic product or OTC product is less effective than our product candidates, a less effective branded, generic, or OTC product may be more quickly adopted by physicians and patients than our competing product candidates based upon cost or convenience.</w:t>
      </w:r>
    </w:p>
    <w:p>
      <w:pPr>
        <w:spacing w:after="0" w:line="130" w:lineRule="exact"/>
        <w:rPr>
          <w:sz w:val="20"/>
          <w:szCs w:val="20"/>
          <w:color w:val="auto"/>
        </w:rPr>
      </w:pPr>
    </w:p>
    <w:p>
      <w:pPr>
        <w:ind w:right="60" w:firstLine="620"/>
        <w:spacing w:after="0" w:line="256" w:lineRule="auto"/>
        <w:rPr>
          <w:sz w:val="20"/>
          <w:szCs w:val="20"/>
          <w:color w:val="auto"/>
        </w:rPr>
      </w:pPr>
      <w:r>
        <w:rPr>
          <w:rFonts w:ascii="Arial" w:cs="Arial" w:eastAsia="Arial" w:hAnsi="Arial"/>
          <w:sz w:val="17"/>
          <w:szCs w:val="17"/>
          <w:color w:val="auto"/>
        </w:rPr>
        <w:t>Certain of our product candidates, if approved, will have to compete with existing therapies, some of which are widely known and accepted by physicians and patients. To compete successfully in this market, we will have to demonstrate that the relative cost, safety, and efficacy of our approved products, if any, provide an attractive alternative to existing and other new therapies to gain a share of some patients’ discretionary budgets and for physicians’ attention within their clinical practices. Some of the companies that offer competing products also have a broad range of other product offerings, large direct sales forces, and long-term customer relationships with our target physicians, which could inhibit our market penetration efforts. Such competition could lead to reduced market share for our product candidates and contribute to downward pressure on the pricing of our product candidates, which could harm our business, financial condition, operating results, and prospects.</w:t>
      </w:r>
    </w:p>
    <w:p>
      <w:pPr>
        <w:spacing w:after="0" w:line="117" w:lineRule="exact"/>
        <w:rPr>
          <w:sz w:val="20"/>
          <w:szCs w:val="20"/>
          <w:color w:val="auto"/>
        </w:rPr>
      </w:pPr>
    </w:p>
    <w:p>
      <w:pPr>
        <w:ind w:firstLine="620"/>
        <w:spacing w:after="0" w:line="269" w:lineRule="auto"/>
        <w:rPr>
          <w:sz w:val="20"/>
          <w:szCs w:val="20"/>
          <w:color w:val="auto"/>
        </w:rPr>
      </w:pPr>
      <w:r>
        <w:rPr>
          <w:rFonts w:ascii="Arial" w:cs="Arial" w:eastAsia="Arial" w:hAnsi="Arial"/>
          <w:sz w:val="17"/>
          <w:szCs w:val="17"/>
          <w:color w:val="auto"/>
        </w:rPr>
        <w:t>We are aware of several companies that are working to develop drugs that would compete against our product candidates for the treatment of psoriasis, atopic dermatitis, chronic hand eczema, vitiligo, and alopecia areata.</w:t>
      </w:r>
    </w:p>
    <w:p>
      <w:pPr>
        <w:spacing w:after="0" w:line="117"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For psoriasis, our primary competitors include injected biologic therapies such as Humira, marketed by AbbVie Inc. and Eisai Co., Ltd., and Enbrel, marketed by Amgen Inc. and Pfizer Inc. and Takeda Pharmaceutical Company Limited; non-injectable systemic therapies used to treat plaque psoriasis such as Otezla, marketed by Amgen Inc.; topical therapies such as branded and generic versions of clobetasol, such as Clobex, marketed by Galderma Laboratories, LP, generic versions of calcipotriene and the combination of betamethasone dipropionate/calcipotriene; and other treatments including various lasers and ultraviolet light-based therapies. In addition, there are several prescription product candidates under development that could potentially be used to treat psoriasis and compete with roflumilast cream, including topical tapinarof, under development by Dermavant Sciences, Inc. and deucravacitinib, an oral Tyk2 inhibitor under development by BMS, Inc.</w:t>
      </w:r>
    </w:p>
    <w:p>
      <w:pPr>
        <w:spacing w:after="0" w:line="130" w:lineRule="exact"/>
        <w:rPr>
          <w:sz w:val="20"/>
          <w:szCs w:val="20"/>
          <w:color w:val="auto"/>
        </w:rPr>
      </w:pPr>
    </w:p>
    <w:p>
      <w:pPr>
        <w:ind w:right="40" w:firstLine="620"/>
        <w:spacing w:after="0" w:line="255" w:lineRule="auto"/>
        <w:rPr>
          <w:sz w:val="20"/>
          <w:szCs w:val="20"/>
          <w:color w:val="auto"/>
        </w:rPr>
      </w:pPr>
      <w:r>
        <w:rPr>
          <w:rFonts w:ascii="Arial" w:cs="Arial" w:eastAsia="Arial" w:hAnsi="Arial"/>
          <w:sz w:val="17"/>
          <w:szCs w:val="17"/>
          <w:color w:val="auto"/>
        </w:rPr>
        <w:t>For atopic dermatitis, our primary competitors include topical therapies such as Eucrisa, marketed by Pfizer Inc., Opzelura, marketed by Incyte Corporation, was approved in September 2021, and generic and branded versions of low to mid-potency steroids such as hydrocortisone and betamethasone. In the moderate-to-severe setting, the injected biologic therapy Dupixent, marketed by Regeneron Pharmaceuticals, Inc. is approved, as well as the recently approved injectable biologic therapy Adbry, marketed by LEO Pharma. Non-injectable systemic therapies RINVOQ and CIBINQO were also recently approved in moderate-to-severe atopic dermatitis. In addition, there are several prescription product candidates under development that could potentially be used to treat atopic dermatitis and compete with roflumilast cream, including but not limited to: topical tapinarof and topical cerdulatinib, both under development by Dermavant Sciences, Inc., topical delgocitinib, under development by LEO Pharma A/S and Japan Tobacco, Inc. (approved as Corectim in Japan), topical PF-06700841, topical difamilast ointment, under development by Medimetriks/Otsuka Pharma, oral PF-04965842, under development by Pfizer Inc., and injectable lebrikizumab, under development by Eli Lilly and Company.</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For chronic hand eczema, our primary competitors include topical therapies such as branded and generic versions of clobetasol, such as Clobex, and generic versions of betamethasone dipropionate. The only other prescription product candidate we are aware of under development for the treatment of chronic hand eczema that would compete with ARQ-252 is delgocitinib, which recently showed proof of concept in a Phase 2a trial and has been approved in a different formulation in Japan (Corectim).</w:t>
      </w:r>
    </w:p>
    <w:p>
      <w:pPr>
        <w:spacing w:after="0" w:line="116"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For vitiligo, our primary competitors include topical therapies such as generic and branded versions of calcineurin inhibitors, including Elidel, marketed by Bausch Health; branded and generic versions of high potency steroids, including Clobex, marketed by Galderma Laboratories, LP; and other treatments including various lasers and ultraviolet light-based therapies. In addition, there are several prescription product candidates under development that could potentially be used to treat vitiligo and compete with ARQ-252, including but not limited to: topical cerdulatinib, under development by Dermavant Sciences, Inc., Opzelura, under development by Incyte Corporation, and both oral PF-06651600 and oral PF-06700841, under development by Pfizer Inc.</w:t>
      </w:r>
    </w:p>
    <w:p>
      <w:pPr>
        <w:spacing w:after="0" w:line="132" w:lineRule="exact"/>
        <w:rPr>
          <w:sz w:val="20"/>
          <w:szCs w:val="20"/>
          <w:color w:val="auto"/>
        </w:rPr>
      </w:pPr>
    </w:p>
    <w:p>
      <w:pPr>
        <w:ind w:right="240" w:firstLine="620"/>
        <w:spacing w:after="0" w:line="256" w:lineRule="auto"/>
        <w:rPr>
          <w:sz w:val="20"/>
          <w:szCs w:val="20"/>
          <w:color w:val="auto"/>
        </w:rPr>
      </w:pPr>
      <w:r>
        <w:rPr>
          <w:rFonts w:ascii="Arial" w:cs="Arial" w:eastAsia="Arial" w:hAnsi="Arial"/>
          <w:sz w:val="17"/>
          <w:szCs w:val="17"/>
          <w:color w:val="auto"/>
        </w:rPr>
        <w:t>For alopecia areata, our primary competitors include topical therapies such as branded and generic versions of high potency steroids, including Clobex, marketed by Galderma Laboratories, LP; intralesional corticosteroid injections such as branded and generic versions of triamcinolone, including Kenalog, marketed by Bristol-Myers Squib; and systemic immunosuppressants including generic versions of systemic steroids such as prednisone, branded and generic versions of cyclosporine, including Sandimmune, marketed by Sandoz, and branded systemic JAK inhibitors, including Xeljanz, marketed by Pfizer, Inc. In addition, there are several prescription product candidates under development that could potentially be used to treat alopecia areata and compete with ARQ-255, including but not limited to: topical PF-06700841 and oral PF-06651600, under development by Pfizer, Inc., oral CTP-543, under development by Concert Pharmaceuticals, and oral baricitinib, under development by Eli Lilly and Company.</w:t>
      </w:r>
    </w:p>
    <w:p>
      <w:pPr>
        <w:spacing w:after="0" w:line="128" w:lineRule="exact"/>
        <w:rPr>
          <w:sz w:val="20"/>
          <w:szCs w:val="20"/>
          <w:color w:val="auto"/>
        </w:rPr>
      </w:pPr>
    </w:p>
    <w:p>
      <w:pPr>
        <w:ind w:right="100" w:firstLine="620"/>
        <w:spacing w:after="0" w:line="256" w:lineRule="auto"/>
        <w:rPr>
          <w:sz w:val="20"/>
          <w:szCs w:val="20"/>
          <w:color w:val="auto"/>
        </w:rPr>
      </w:pPr>
      <w:r>
        <w:rPr>
          <w:rFonts w:ascii="Arial" w:cs="Arial" w:eastAsia="Arial" w:hAnsi="Arial"/>
          <w:sz w:val="17"/>
          <w:szCs w:val="17"/>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Many of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smaller number of our competitors. Competition may reduce the number and types of subjects available to us to participate in clinical trials, because some subjects who might have opted to enroll in our trials may instead opt to enroll in a trial being conducted by one of our competitors.</w:t>
      </w:r>
    </w:p>
    <w:p>
      <w:pPr>
        <w:spacing w:after="0" w:line="117" w:lineRule="exact"/>
        <w:rPr>
          <w:sz w:val="20"/>
          <w:szCs w:val="20"/>
          <w:color w:val="auto"/>
        </w:rPr>
      </w:pPr>
    </w:p>
    <w:p>
      <w:pPr>
        <w:ind w:right="40" w:firstLine="620"/>
        <w:spacing w:after="0" w:line="258" w:lineRule="auto"/>
        <w:rPr>
          <w:sz w:val="20"/>
          <w:szCs w:val="20"/>
          <w:color w:val="auto"/>
        </w:rPr>
      </w:pPr>
      <w:r>
        <w:rPr>
          <w:rFonts w:ascii="Arial" w:cs="Arial" w:eastAsia="Arial" w:hAnsi="Arial"/>
          <w:sz w:val="17"/>
          <w:szCs w:val="17"/>
          <w:color w:val="auto"/>
        </w:rPr>
        <w:t>Due to less stringent regulatory requirements in certain foreign countries, there are many more dermatological products and procedures available for use in those international markets than are approved for use in the United States. In certain international markets, there are also fewer limitations on the claims that our competitors can make about the effectiveness of their products and the manner in which they can market their products. As a result, we expect to face more competition in these markets than in the United States.</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ability to compete successfully will depend largely on our ability to:</w:t>
      </w:r>
    </w:p>
    <w:p>
      <w:pPr>
        <w:spacing w:after="0" w:line="153" w:lineRule="exact"/>
        <w:rPr>
          <w:sz w:val="20"/>
          <w:szCs w:val="20"/>
          <w:color w:val="auto"/>
        </w:rPr>
      </w:pPr>
    </w:p>
    <w:p>
      <w:pPr>
        <w:ind w:left="780" w:hanging="156"/>
        <w:spacing w:after="0"/>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develop and commercialize therapies that have a competitive product profile or are superior to other products in the market;</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demonstrate through our clinical trials that our product candidates are differentiated from existing and future therapies;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attract qualified scientific, product development, and commercial personnel;</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obtain patent or other proprietary protection for our technologies and product candidates;</w:t>
      </w:r>
    </w:p>
    <w:p>
      <w:pPr>
        <w:spacing w:after="0" w:line="140" w:lineRule="exact"/>
        <w:rPr>
          <w:rFonts w:ascii="Arial" w:cs="Arial" w:eastAsia="Arial" w:hAnsi="Arial"/>
          <w:sz w:val="17"/>
          <w:szCs w:val="17"/>
          <w:color w:val="auto"/>
        </w:rPr>
      </w:pPr>
    </w:p>
    <w:p>
      <w:pPr>
        <w:ind w:left="780" w:right="260" w:hanging="156"/>
        <w:spacing w:after="0" w:line="269" w:lineRule="auto"/>
        <w:tabs>
          <w:tab w:leader="none" w:pos="776" w:val="left"/>
        </w:tabs>
        <w:numPr>
          <w:ilvl w:val="0"/>
          <w:numId w:val="34"/>
        </w:numPr>
        <w:rPr>
          <w:rFonts w:ascii="Arial" w:cs="Arial" w:eastAsia="Arial" w:hAnsi="Arial"/>
          <w:sz w:val="17"/>
          <w:szCs w:val="17"/>
          <w:color w:val="auto"/>
        </w:rPr>
      </w:pPr>
      <w:r>
        <w:rPr>
          <w:rFonts w:ascii="Arial" w:cs="Arial" w:eastAsia="Arial" w:hAnsi="Arial"/>
          <w:sz w:val="17"/>
          <w:szCs w:val="17"/>
          <w:color w:val="auto"/>
        </w:rPr>
        <w:t>obtain required regulatory approvals, including approvals to market our product candidates in ways that are differentiated from existing and future therapies and OTC products and treatments;</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successfully commercialize our product candidates, if approved;</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obtain coverage and adequate reimbursement from, and negotiate competitive pricing with, third-party payors; and</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therapies.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500" w:firstLine="620"/>
        <w:spacing w:after="0" w:line="261" w:lineRule="auto"/>
        <w:rPr>
          <w:sz w:val="20"/>
          <w:szCs w:val="20"/>
          <w:color w:val="auto"/>
        </w:rPr>
      </w:pPr>
      <w:r>
        <w:rPr>
          <w:rFonts w:ascii="Arial" w:cs="Arial" w:eastAsia="Arial" w:hAnsi="Arial"/>
          <w:sz w:val="17"/>
          <w:szCs w:val="17"/>
          <w:color w:val="auto"/>
        </w:rPr>
        <w:t>The availability of our competitors’ products could limit the demand and the price we are able to charge for any product candidate we develop. The inability to compete with existing or subsequently introduced drugs or OTC treatments would have an adverse impact on our business, financial condition, and prospects.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Business and Operations</w:t>
      </w:r>
    </w:p>
    <w:p>
      <w:pPr>
        <w:spacing w:after="0" w:line="155"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b w:val="1"/>
          <w:bCs w:val="1"/>
          <w:i w:val="1"/>
          <w:iCs w:val="1"/>
          <w:color w:val="auto"/>
        </w:rPr>
        <w:t>We will need to increase the size of our organization, and we may experience difficulties in executing our growth strategy, and managing any growth.</w:t>
      </w:r>
    </w:p>
    <w:p>
      <w:pPr>
        <w:spacing w:after="0" w:line="98" w:lineRule="exact"/>
        <w:rPr>
          <w:sz w:val="20"/>
          <w:szCs w:val="20"/>
          <w:color w:val="auto"/>
        </w:rPr>
      </w:pPr>
    </w:p>
    <w:p>
      <w:pPr>
        <w:ind w:right="520" w:firstLine="620"/>
        <w:spacing w:after="0" w:line="261" w:lineRule="auto"/>
        <w:rPr>
          <w:sz w:val="20"/>
          <w:szCs w:val="20"/>
          <w:color w:val="auto"/>
        </w:rPr>
      </w:pPr>
      <w:r>
        <w:rPr>
          <w:rFonts w:ascii="Arial" w:cs="Arial" w:eastAsia="Arial" w:hAnsi="Arial"/>
          <w:sz w:val="17"/>
          <w:szCs w:val="17"/>
          <w:color w:val="auto"/>
        </w:rPr>
        <w:t>As of December 31, 2021, we had 147 full-time employees. We will need to continue to expand our managerial, clinical, commercial, operational, financial, and other resources in order to manage our operations and clinical trials, continue our development activities, and commercialize our lead product candidates or any future product candidates.</w:t>
      </w:r>
    </w:p>
    <w:p>
      <w:pPr>
        <w:spacing w:after="0" w:line="112" w:lineRule="exact"/>
        <w:rPr>
          <w:sz w:val="20"/>
          <w:szCs w:val="20"/>
          <w:color w:val="auto"/>
        </w:rPr>
      </w:pPr>
    </w:p>
    <w:p>
      <w:pPr>
        <w:ind w:right="80" w:firstLine="620"/>
        <w:spacing w:after="0" w:line="269" w:lineRule="auto"/>
        <w:rPr>
          <w:sz w:val="20"/>
          <w:szCs w:val="20"/>
          <w:color w:val="auto"/>
        </w:rPr>
      </w:pPr>
      <w:r>
        <w:rPr>
          <w:rFonts w:ascii="Arial" w:cs="Arial" w:eastAsia="Arial" w:hAnsi="Arial"/>
          <w:sz w:val="17"/>
          <w:szCs w:val="17"/>
          <w:color w:val="auto"/>
        </w:rPr>
        <w:t>In order to effectively execute our growth strategy, we will need to identify, recruit, retain, incentivize, and integrate additional employees in order to expand our ability to:</w:t>
      </w:r>
    </w:p>
    <w:p>
      <w:pPr>
        <w:spacing w:after="0" w:line="117" w:lineRule="exact"/>
        <w:rPr>
          <w:sz w:val="20"/>
          <w:szCs w:val="20"/>
          <w:color w:val="auto"/>
        </w:rPr>
      </w:pPr>
    </w:p>
    <w:p>
      <w:pPr>
        <w:ind w:left="780" w:hanging="156"/>
        <w:spacing w:after="0"/>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develop a marketing, sales, and distribution capability;</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manage our commercialization activities for our product candidates effectively and in a cost-effective manner;</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establish and maintain relationships with development and commercialization partners;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manage our clinical trials effectively;</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manage our internal development and operational efforts effectively while carrying out our contractual obligations to third parties;</w:t>
      </w:r>
    </w:p>
    <w:p>
      <w:pPr>
        <w:spacing w:after="0" w:line="140" w:lineRule="exact"/>
        <w:rPr>
          <w:rFonts w:ascii="Arial" w:cs="Arial" w:eastAsia="Arial" w:hAnsi="Arial"/>
          <w:sz w:val="17"/>
          <w:szCs w:val="17"/>
          <w:color w:val="auto"/>
        </w:rPr>
      </w:pPr>
    </w:p>
    <w:p>
      <w:pPr>
        <w:ind w:left="780" w:right="1080" w:hanging="156"/>
        <w:spacing w:after="0" w:line="269" w:lineRule="auto"/>
        <w:tabs>
          <w:tab w:leader="none" w:pos="776"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continue to improve our operational, financial, management, and regulatory compliance controls and reporting systems and procedures; and</w:t>
      </w:r>
    </w:p>
    <w:p>
      <w:pPr>
        <w:spacing w:after="0" w:line="117" w:lineRule="exact"/>
        <w:rPr>
          <w:rFonts w:ascii="Arial" w:cs="Arial" w:eastAsia="Arial" w:hAnsi="Arial"/>
          <w:sz w:val="17"/>
          <w:szCs w:val="17"/>
          <w:color w:val="auto"/>
        </w:rPr>
      </w:pPr>
    </w:p>
    <w:p>
      <w:pPr>
        <w:ind w:left="780" w:right="500" w:hanging="156"/>
        <w:spacing w:after="0" w:line="269" w:lineRule="auto"/>
        <w:tabs>
          <w:tab w:leader="none" w:pos="776"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manage our third-party supply and manufacturing operations effectively and in a cost-effective manner, while increasing production capabilities for our current product candidates to commercial levels.</w:t>
      </w:r>
    </w:p>
    <w:p>
      <w:pPr>
        <w:spacing w:after="0" w:line="117" w:lineRule="exact"/>
        <w:rPr>
          <w:sz w:val="20"/>
          <w:szCs w:val="20"/>
          <w:color w:val="auto"/>
        </w:rPr>
      </w:pPr>
    </w:p>
    <w:p>
      <w:pPr>
        <w:ind w:right="600" w:firstLine="620"/>
        <w:spacing w:after="0" w:line="269" w:lineRule="auto"/>
        <w:rPr>
          <w:sz w:val="20"/>
          <w:szCs w:val="20"/>
          <w:color w:val="auto"/>
        </w:rPr>
      </w:pPr>
      <w:r>
        <w:rPr>
          <w:rFonts w:ascii="Arial" w:cs="Arial" w:eastAsia="Arial" w:hAnsi="Arial"/>
          <w:sz w:val="17"/>
          <w:szCs w:val="17"/>
          <w:color w:val="auto"/>
        </w:rPr>
        <w:t>If we are unable to successfully identify, recruit, retain, incentivize, and integrate additional employees and otherwise expand our managerial, operational, financial, and other resources, our business and operational performance will be materially and adversely affected.</w:t>
      </w:r>
    </w:p>
    <w:p>
      <w:pPr>
        <w:spacing w:after="0" w:line="84"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b w:val="1"/>
          <w:bCs w:val="1"/>
          <w:i w:val="1"/>
          <w:iCs w:val="1"/>
          <w:color w:val="auto"/>
        </w:rPr>
        <w:t>If we are not successful in acquiring, developing, and commercializing additional product candidates, our ability to expand our business and achieve our strategic objectives would be impaired.</w:t>
      </w:r>
    </w:p>
    <w:p>
      <w:pPr>
        <w:spacing w:after="0" w:line="98" w:lineRule="exact"/>
        <w:rPr>
          <w:sz w:val="20"/>
          <w:szCs w:val="20"/>
          <w:color w:val="auto"/>
        </w:rPr>
      </w:pPr>
    </w:p>
    <w:p>
      <w:pPr>
        <w:jc w:val="both"/>
        <w:ind w:right="120" w:firstLine="620"/>
        <w:spacing w:after="0" w:line="257" w:lineRule="auto"/>
        <w:rPr>
          <w:sz w:val="20"/>
          <w:szCs w:val="20"/>
          <w:color w:val="auto"/>
        </w:rPr>
      </w:pPr>
      <w:r>
        <w:rPr>
          <w:rFonts w:ascii="Arial" w:cs="Arial" w:eastAsia="Arial" w:hAnsi="Arial"/>
          <w:sz w:val="17"/>
          <w:szCs w:val="17"/>
          <w:color w:val="auto"/>
        </w:rPr>
        <w:t>Although a substantial amount of our effort will focus on the continued nonclinical and clinical testing and potential approval of our current product candidates, a key element of our strategy is to acquire, develop, and commercialize a diverse portfolio of product candidates to serve the dermatology market. We do not currently intend to conduct drug discovery efforts, but rather we intend to formulate, acquire, or in-license rights to existing molecules to develop for dermatological indications. In addition, while we believe that our strategy allows us to move more rapidly through clinical development and at a potentially lower cost, we may be unable to progress product candidates more quickly or at a lower cost.</w:t>
      </w:r>
    </w:p>
    <w:p>
      <w:pPr>
        <w:spacing w:after="0" w:line="129" w:lineRule="exact"/>
        <w:rPr>
          <w:sz w:val="20"/>
          <w:szCs w:val="20"/>
          <w:color w:val="auto"/>
        </w:rPr>
      </w:pPr>
    </w:p>
    <w:p>
      <w:pPr>
        <w:ind w:right="240" w:firstLine="620"/>
        <w:spacing w:after="0" w:line="269" w:lineRule="auto"/>
        <w:rPr>
          <w:sz w:val="20"/>
          <w:szCs w:val="20"/>
          <w:color w:val="auto"/>
        </w:rPr>
      </w:pPr>
      <w:r>
        <w:rPr>
          <w:rFonts w:ascii="Arial" w:cs="Arial" w:eastAsia="Arial" w:hAnsi="Arial"/>
          <w:sz w:val="17"/>
          <w:szCs w:val="17"/>
          <w:color w:val="auto"/>
        </w:rPr>
        <w:t>In the event we seek to identify and acquire or in-license additional product candidates in the dermatology field, our process for doing so may be slow and may ultimately be unsuccessful for a number of reasons, including those discussed in these risk factors and also:</w:t>
      </w:r>
    </w:p>
    <w:p>
      <w:pPr>
        <w:spacing w:after="0" w:line="104" w:lineRule="exact"/>
        <w:rPr>
          <w:sz w:val="20"/>
          <w:szCs w:val="20"/>
          <w:color w:val="auto"/>
        </w:rPr>
      </w:pPr>
    </w:p>
    <w:p>
      <w:pPr>
        <w:ind w:left="780" w:hanging="156"/>
        <w:spacing w:after="0" w:line="269" w:lineRule="auto"/>
        <w:tabs>
          <w:tab w:leader="none" w:pos="776" w:val="left"/>
        </w:tabs>
        <w:numPr>
          <w:ilvl w:val="0"/>
          <w:numId w:val="36"/>
        </w:numPr>
        <w:rPr>
          <w:rFonts w:ascii="Arial" w:cs="Arial" w:eastAsia="Arial" w:hAnsi="Arial"/>
          <w:sz w:val="17"/>
          <w:szCs w:val="17"/>
          <w:color w:val="auto"/>
        </w:rPr>
      </w:pPr>
      <w:r>
        <w:rPr>
          <w:rFonts w:ascii="Arial" w:cs="Arial" w:eastAsia="Arial" w:hAnsi="Arial"/>
          <w:sz w:val="17"/>
          <w:szCs w:val="17"/>
          <w:color w:val="auto"/>
        </w:rPr>
        <w:t>potential product candidates may, upon further study, be shown to have harmful side effects or other characteristics that indicate that they are unlikely to be products that will receive marketing approval and achieve market acceptance;</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potential product candidates may not be effective in treating their targeted diseases; or</w:t>
      </w:r>
    </w:p>
    <w:p>
      <w:pPr>
        <w:spacing w:after="0" w:line="140" w:lineRule="exact"/>
        <w:rPr>
          <w:rFonts w:ascii="Arial" w:cs="Arial" w:eastAsia="Arial" w:hAnsi="Arial"/>
          <w:sz w:val="17"/>
          <w:szCs w:val="17"/>
          <w:color w:val="auto"/>
        </w:rPr>
      </w:pPr>
    </w:p>
    <w:p>
      <w:pPr>
        <w:ind w:left="780" w:right="40" w:hanging="156"/>
        <w:spacing w:after="0" w:line="261" w:lineRule="auto"/>
        <w:tabs>
          <w:tab w:leader="none" w:pos="77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acquisition or in-licensing transactions can entail numerous operational and functional risks, including exposure to unknown liabilities, disruption of our business, or incurrence of substantial debt or dilutive issuances of equity securities to pay transaction consideration or costs, or higher than expected acquisition or integration costs.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We may choose to focus our efforts and resources on in-licensing or acquiring a potential product candidate that ultimately proves to be unsuccessful. We also cannot be certain that, following an acquisition or in-licensing transaction, we will achieve the revenue or specific net income that justifies such transaction. If we are unable to identify and acquire suitable product candidates for clinical development, this would adversely impact our business strategy, our financial position, and share price.</w:t>
      </w:r>
    </w:p>
    <w:p>
      <w:pPr>
        <w:spacing w:after="0" w:line="96" w:lineRule="exact"/>
        <w:rPr>
          <w:sz w:val="20"/>
          <w:szCs w:val="20"/>
          <w:color w:val="auto"/>
        </w:rPr>
      </w:pPr>
    </w:p>
    <w:p>
      <w:pPr>
        <w:ind w:right="240"/>
        <w:spacing w:after="0" w:line="293" w:lineRule="auto"/>
        <w:rPr>
          <w:sz w:val="20"/>
          <w:szCs w:val="20"/>
          <w:color w:val="auto"/>
        </w:rPr>
      </w:pPr>
      <w:r>
        <w:rPr>
          <w:rFonts w:ascii="Arial" w:cs="Arial" w:eastAsia="Arial" w:hAnsi="Arial"/>
          <w:sz w:val="17"/>
          <w:szCs w:val="17"/>
          <w:b w:val="1"/>
          <w:bCs w:val="1"/>
          <w:i w:val="1"/>
          <w:iCs w:val="1"/>
          <w:color w:val="auto"/>
        </w:rPr>
        <w:t>Any collaboration arrangements that we may enter into in the future may not be successful, which could adversely affect our ability to develop and commercialize future product candidates.</w:t>
      </w:r>
    </w:p>
    <w:p>
      <w:pPr>
        <w:spacing w:after="0" w:line="98"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We may seek collaboration arrangements for the commercialization, or potentially for the development, of certain of our product candidates depending on the merits of retaining commercialization rights for ourselves as compared to entering into collaboration arrangements. We will face, to the extent that we decide to enter into collaboration agreements, significant competition in seeking appropriate collaborators. Moreover, collaboration arrangements are complex and time-consuming to negotiate, document, implement, and maintain. We may not be successful in our efforts to establish and implement collaborations or other alternative arrangements should we so chose to enter into such arrangements. The terms of any collaborations or other arrangements that we may establish may not be favorable to us. Any future collaborations that we enter into may not be successful. The success of our collaboration arrangements will depend heavily on the efforts and activities of our collaborators. Collaborations are subject to numerous risks, which may include risks that:</w:t>
      </w:r>
    </w:p>
    <w:p>
      <w:pPr>
        <w:spacing w:after="0" w:line="128" w:lineRule="exact"/>
        <w:rPr>
          <w:sz w:val="20"/>
          <w:szCs w:val="20"/>
          <w:color w:val="auto"/>
        </w:rPr>
      </w:pPr>
    </w:p>
    <w:p>
      <w:pPr>
        <w:ind w:left="780" w:hanging="156"/>
        <w:spacing w:after="0"/>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collaborations;</w:t>
      </w:r>
    </w:p>
    <w:p>
      <w:pPr>
        <w:spacing w:after="0" w:line="140" w:lineRule="exact"/>
        <w:rPr>
          <w:rFonts w:ascii="Arial" w:cs="Arial" w:eastAsia="Arial" w:hAnsi="Arial"/>
          <w:sz w:val="17"/>
          <w:szCs w:val="17"/>
          <w:color w:val="auto"/>
        </w:rPr>
      </w:pPr>
    </w:p>
    <w:p>
      <w:pPr>
        <w:ind w:left="780" w:right="400" w:hanging="156"/>
        <w:spacing w:after="0" w:line="258" w:lineRule="auto"/>
        <w:tabs>
          <w:tab w:leader="none" w:pos="776"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candidates or may elect not to continue or renew development or commercialization programs based on clinical trial results, changes in their strategic focus due to their acquisition of competitive products or their internal development of competitive products, availability of funding or other external factors, such as a business combination that diverts resources or creates competing priorities;</w:t>
      </w:r>
    </w:p>
    <w:p>
      <w:pPr>
        <w:spacing w:after="0" w:line="128" w:lineRule="exact"/>
        <w:rPr>
          <w:rFonts w:ascii="Arial" w:cs="Arial" w:eastAsia="Arial" w:hAnsi="Arial"/>
          <w:sz w:val="17"/>
          <w:szCs w:val="17"/>
          <w:color w:val="auto"/>
        </w:rPr>
      </w:pPr>
    </w:p>
    <w:p>
      <w:pPr>
        <w:ind w:left="780" w:right="540" w:hanging="156"/>
        <w:spacing w:after="0" w:line="269" w:lineRule="auto"/>
        <w:tabs>
          <w:tab w:leader="none" w:pos="776"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117" w:lineRule="exact"/>
        <w:rPr>
          <w:rFonts w:ascii="Arial" w:cs="Arial" w:eastAsia="Arial" w:hAnsi="Arial"/>
          <w:sz w:val="17"/>
          <w:szCs w:val="17"/>
          <w:color w:val="auto"/>
        </w:rPr>
      </w:pPr>
    </w:p>
    <w:p>
      <w:pPr>
        <w:ind w:left="780" w:right="120" w:hanging="156"/>
        <w:spacing w:after="0" w:line="269" w:lineRule="auto"/>
        <w:tabs>
          <w:tab w:leader="none" w:pos="776"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w:t>
      </w:r>
    </w:p>
    <w:p>
      <w:pPr>
        <w:spacing w:after="0" w:line="104" w:lineRule="exact"/>
        <w:rPr>
          <w:rFonts w:ascii="Arial" w:cs="Arial" w:eastAsia="Arial" w:hAnsi="Arial"/>
          <w:sz w:val="17"/>
          <w:szCs w:val="17"/>
          <w:color w:val="auto"/>
        </w:rPr>
      </w:pPr>
    </w:p>
    <w:p>
      <w:pPr>
        <w:ind w:left="780" w:right="140" w:hanging="156"/>
        <w:spacing w:after="0" w:line="269" w:lineRule="auto"/>
        <w:tabs>
          <w:tab w:leader="none" w:pos="77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collaborator with sales, marketing, manufacturing, and distribution rights to one or more products may not commit sufficient resources to or otherwise not perform satisfactorily in carrying out these activities;</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could grant exclusive rights to our collaborators that would prevent us from collaborating with others;</w:t>
      </w:r>
    </w:p>
    <w:p>
      <w:pPr>
        <w:spacing w:after="0" w:line="153" w:lineRule="exact"/>
        <w:rPr>
          <w:rFonts w:ascii="Arial" w:cs="Arial" w:eastAsia="Arial" w:hAnsi="Arial"/>
          <w:sz w:val="17"/>
          <w:szCs w:val="17"/>
          <w:color w:val="auto"/>
        </w:rPr>
      </w:pPr>
    </w:p>
    <w:p>
      <w:pPr>
        <w:ind w:left="780" w:right="520" w:hanging="156"/>
        <w:spacing w:after="0" w:line="261" w:lineRule="auto"/>
        <w:tabs>
          <w:tab w:leader="none" w:pos="776"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11" w:lineRule="exact"/>
        <w:rPr>
          <w:rFonts w:ascii="Arial" w:cs="Arial" w:eastAsia="Arial" w:hAnsi="Arial"/>
          <w:sz w:val="17"/>
          <w:szCs w:val="17"/>
          <w:color w:val="auto"/>
        </w:rPr>
      </w:pPr>
    </w:p>
    <w:p>
      <w:pPr>
        <w:ind w:left="780" w:right="380" w:hanging="156"/>
        <w:spacing w:after="0" w:line="261" w:lineRule="auto"/>
        <w:tabs>
          <w:tab w:leader="none" w:pos="776"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disputes may arise between us and a collaborator that causes the delay or termination of the research, development, or commercialization of our current or future product candidates or that results in costly litigation or arbitration that diverts management attention and resources;</w:t>
      </w:r>
    </w:p>
    <w:p>
      <w:pPr>
        <w:spacing w:after="0" w:line="124" w:lineRule="exact"/>
        <w:rPr>
          <w:rFonts w:ascii="Arial" w:cs="Arial" w:eastAsia="Arial" w:hAnsi="Arial"/>
          <w:sz w:val="17"/>
          <w:szCs w:val="17"/>
          <w:color w:val="auto"/>
        </w:rPr>
      </w:pPr>
    </w:p>
    <w:p>
      <w:pPr>
        <w:ind w:left="780" w:right="380" w:hanging="156"/>
        <w:spacing w:after="0" w:line="269" w:lineRule="auto"/>
        <w:tabs>
          <w:tab w:leader="none" w:pos="776"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this may result in a need for additional capital to pursue further development or commercialization of the applicable current or future product candidates;</w:t>
      </w:r>
    </w:p>
    <w:p>
      <w:pPr>
        <w:spacing w:after="0" w:line="117" w:lineRule="exact"/>
        <w:rPr>
          <w:rFonts w:ascii="Arial" w:cs="Arial" w:eastAsia="Arial" w:hAnsi="Arial"/>
          <w:sz w:val="17"/>
          <w:szCs w:val="17"/>
          <w:color w:val="auto"/>
        </w:rPr>
      </w:pPr>
    </w:p>
    <w:p>
      <w:pPr>
        <w:ind w:left="780" w:right="40" w:hanging="156"/>
        <w:spacing w:after="0" w:line="269" w:lineRule="auto"/>
        <w:tabs>
          <w:tab w:leader="none" w:pos="776"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own or co-own intellectual property covering products that results from our collaborating with them, and in such cases, we would not have the exclusive right to develop or commercialize such intellectual property;</w:t>
      </w:r>
    </w:p>
    <w:p>
      <w:pPr>
        <w:spacing w:after="0" w:line="104" w:lineRule="exact"/>
        <w:rPr>
          <w:rFonts w:ascii="Arial" w:cs="Arial" w:eastAsia="Arial" w:hAnsi="Arial"/>
          <w:sz w:val="17"/>
          <w:szCs w:val="17"/>
          <w:color w:val="auto"/>
        </w:rPr>
      </w:pPr>
    </w:p>
    <w:p>
      <w:pPr>
        <w:ind w:left="780" w:hanging="156"/>
        <w:spacing w:after="0"/>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disputes may arise with respect to the ownership of any intellectual property developed pursuant to our collaborations; and</w:t>
      </w:r>
    </w:p>
    <w:p>
      <w:pPr>
        <w:spacing w:after="0" w:line="153" w:lineRule="exact"/>
        <w:rPr>
          <w:rFonts w:ascii="Arial" w:cs="Arial" w:eastAsia="Arial" w:hAnsi="Arial"/>
          <w:sz w:val="17"/>
          <w:szCs w:val="17"/>
          <w:color w:val="auto"/>
        </w:rPr>
      </w:pPr>
    </w:p>
    <w:p>
      <w:pPr>
        <w:ind w:left="780" w:right="480" w:hanging="156"/>
        <w:spacing w:after="0" w:line="269" w:lineRule="auto"/>
        <w:tabs>
          <w:tab w:leader="none" w:pos="77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collaborator’s sales and marketing activities or other operations may not be in compliance with applicable laws resulting in civil or criminal proceedings.</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Furthermore, we cannot assure you that following any such collaboration, or other strategic transaction, we will achieve the expected synergies to justify the transaction. For example, such transactions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w:t>
      </w:r>
    </w:p>
    <w:p>
      <w:pPr>
        <w:spacing w:after="0" w:line="100" w:lineRule="exact"/>
        <w:rPr>
          <w:sz w:val="20"/>
          <w:szCs w:val="20"/>
          <w:color w:val="auto"/>
        </w:rPr>
      </w:pPr>
    </w:p>
    <w:p>
      <w:pPr>
        <w:ind w:right="140"/>
        <w:spacing w:after="0" w:line="293"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be required to limit commercialization of our current or future product candidates.</w:t>
      </w:r>
    </w:p>
    <w:p>
      <w:pPr>
        <w:spacing w:after="0" w:line="98" w:lineRule="exact"/>
        <w:rPr>
          <w:sz w:val="20"/>
          <w:szCs w:val="20"/>
          <w:color w:val="auto"/>
        </w:rPr>
      </w:pPr>
    </w:p>
    <w:p>
      <w:pPr>
        <w:ind w:right="260" w:firstLine="620"/>
        <w:spacing w:after="0" w:line="256"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warranty.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30" w:lineRule="exact"/>
        <w:rPr>
          <w:sz w:val="20"/>
          <w:szCs w:val="20"/>
          <w:color w:val="auto"/>
        </w:rPr>
      </w:pPr>
    </w:p>
    <w:p>
      <w:pPr>
        <w:ind w:left="780" w:hanging="156"/>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decreased demand for our current or future product candidates;</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diversion of management’s time and our resources;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regulatory investigations, product recalls, withdrawals or labeling, marketing or promotional restrictions;</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inability to commercialize our current or any future product candidates.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40" w:firstLine="620"/>
        <w:spacing w:after="0" w:line="255" w:lineRule="auto"/>
        <w:rPr>
          <w:sz w:val="20"/>
          <w:szCs w:val="20"/>
          <w:color w:val="auto"/>
        </w:rPr>
      </w:pPr>
      <w:r>
        <w:rPr>
          <w:rFonts w:ascii="Arial" w:cs="Arial" w:eastAsia="Arial" w:hAnsi="Arial"/>
          <w:sz w:val="17"/>
          <w:szCs w:val="17"/>
          <w:color w:val="auto"/>
        </w:rPr>
        <w:t>Our inability to obtain and maintain sufficient product liability insurance at an acceptable cost and scope of coverage to protect against potential product liability claims could prevent or inhibit the commercialization of our current or any future product candidates we develop. Although we currently carry product liability insurance covering our clinical trials,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If and when we obtain approval for marketing any of our product candidates, we intend to expand our insurance coverage to include the sale of such product candidate; however, we may be unable to obtain this liability insurance on commercially reasonable terms or at all.</w:t>
      </w:r>
    </w:p>
    <w:p>
      <w:pPr>
        <w:spacing w:after="0" w:line="203"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b w:val="1"/>
          <w:bCs w:val="1"/>
          <w:i w:val="1"/>
          <w:iCs w:val="1"/>
          <w:color w:val="auto"/>
        </w:rPr>
        <w:t>If we fail to maintain proper and effective internal control over financial reporting, our ability to produce accurate and timely financial statements could be impaired, which could undermine the credibility of our operating results, harm investors' views of us and, as a result, the value of our common stock.</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Pursuant to Section 404 of the Sarbanes-Oxley Act of 2002, our management is required to report</w:t>
      </w:r>
    </w:p>
    <w:p>
      <w:pPr>
        <w:spacing w:after="0" w:line="11"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upon the effectiveness of our internal control over financial reporting and, as we are no longer an emerging growth company, our independent registered public accounting firm is required to attest to the effectiveness of our internal control over financial reporting beginning with this Annual Report on Form 10-K. The rules governing the standards that must be met for our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upgrade our systems, including information technology; implement additional financial and management controls, reporting systems and procedures; and hire additional accounting and finance staff.</w:t>
      </w:r>
    </w:p>
    <w:p>
      <w:pPr>
        <w:spacing w:after="0" w:line="220"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Any failure to implement required new or improved controls, or difficulties encountered in their implementation, could cause us to fail to meet our reporting obligations. In addition, any testing by us or our independent registered public accounting firm conducted in connection with Section 404 of the Sarbanes-Oxley Act of 2002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the stock exchange on which our securities are listed, or other regulatory authorities, which could require additional financial and management resources and could result in fines, trading suspensions, payment of damages, or other remedies.</w:t>
      </w:r>
    </w:p>
    <w:p>
      <w:pPr>
        <w:spacing w:after="0" w:line="134" w:lineRule="exact"/>
        <w:rPr>
          <w:sz w:val="20"/>
          <w:szCs w:val="20"/>
          <w:color w:val="auto"/>
        </w:rPr>
      </w:pPr>
    </w:p>
    <w:p>
      <w:pPr>
        <w:ind w:right="80" w:firstLine="620"/>
        <w:spacing w:after="0" w:line="261" w:lineRule="auto"/>
        <w:rPr>
          <w:sz w:val="20"/>
          <w:szCs w:val="20"/>
          <w:color w:val="auto"/>
        </w:rPr>
      </w:pPr>
      <w:r>
        <w:rPr>
          <w:rFonts w:ascii="Arial" w:cs="Arial" w:eastAsia="Arial" w:hAnsi="Arial"/>
          <w:sz w:val="17"/>
          <w:szCs w:val="17"/>
          <w:color w:val="auto"/>
        </w:rPr>
        <w:t>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w:t>
      </w:r>
    </w:p>
    <w:p>
      <w:pPr>
        <w:spacing w:after="0" w:line="105"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b w:val="1"/>
          <w:bCs w:val="1"/>
          <w:i w:val="1"/>
          <w:iCs w:val="1"/>
          <w:color w:val="auto"/>
        </w:rPr>
        <w:t>We depend on our information technology systems, and any failure of these systems, or those of our CROs or other contractors or consultants we may utilize, could harm our business. Security breaches, cyber-attacks, loss of data, and other disruptions could compromise sensitive information related to our business or prevent us from accessing critical information and expose us to liability, which could adversely affect our business, results of operations, financial condition, and prospects.</w:t>
      </w:r>
    </w:p>
    <w:p>
      <w:pPr>
        <w:spacing w:after="0" w:line="106" w:lineRule="exact"/>
        <w:rPr>
          <w:sz w:val="20"/>
          <w:szCs w:val="20"/>
          <w:color w:val="auto"/>
        </w:rPr>
      </w:pPr>
    </w:p>
    <w:p>
      <w:pPr>
        <w:ind w:right="60" w:firstLine="620"/>
        <w:spacing w:after="0" w:line="256" w:lineRule="auto"/>
        <w:rPr>
          <w:sz w:val="20"/>
          <w:szCs w:val="20"/>
          <w:color w:val="auto"/>
        </w:rPr>
      </w:pPr>
      <w:r>
        <w:rPr>
          <w:rFonts w:ascii="Arial" w:cs="Arial" w:eastAsia="Arial" w:hAnsi="Arial"/>
          <w:sz w:val="17"/>
          <w:szCs w:val="17"/>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16" w:lineRule="exact"/>
        <w:rPr>
          <w:sz w:val="20"/>
          <w:szCs w:val="20"/>
          <w:color w:val="auto"/>
        </w:rPr>
      </w:pPr>
    </w:p>
    <w:p>
      <w:pPr>
        <w:ind w:firstLine="620"/>
        <w:spacing w:after="0" w:line="254" w:lineRule="auto"/>
        <w:rPr>
          <w:sz w:val="20"/>
          <w:szCs w:val="20"/>
          <w:color w:val="auto"/>
        </w:rPr>
      </w:pPr>
      <w:r>
        <w:rPr>
          <w:rFonts w:ascii="Arial" w:cs="Arial" w:eastAsia="Arial" w:hAnsi="Arial"/>
          <w:sz w:val="17"/>
          <w:szCs w:val="17"/>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if applicable, including HIPAA, as amended by HITECH, and regulations implemented thereunder,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jc w:val="both"/>
        <w:ind w:right="200"/>
        <w:spacing w:after="0" w:line="273" w:lineRule="auto"/>
        <w:rPr>
          <w:sz w:val="20"/>
          <w:szCs w:val="20"/>
          <w:color w:val="auto"/>
        </w:rPr>
      </w:pPr>
      <w:r>
        <w:rPr>
          <w:rFonts w:ascii="Arial" w:cs="Arial" w:eastAsia="Arial" w:hAnsi="Arial"/>
          <w:sz w:val="17"/>
          <w:szCs w:val="17"/>
          <w:b w:val="1"/>
          <w:bCs w:val="1"/>
          <w:i w:val="1"/>
          <w:iCs w:val="1"/>
          <w:color w:val="auto"/>
        </w:rPr>
        <w:t>Our future commercial partners, as well as our employees and independent contractors, including principal investigators, consultants, suppliers, service providers, and other vendors may engage in misconduct or other improper activities, including noncompliance with regulatory standards and requirements, which could have an adverse effect on our results of operations.</w:t>
      </w:r>
    </w:p>
    <w:p>
      <w:pPr>
        <w:spacing w:after="0" w:line="102" w:lineRule="exact"/>
        <w:rPr>
          <w:sz w:val="20"/>
          <w:szCs w:val="20"/>
          <w:color w:val="auto"/>
        </w:rPr>
      </w:pPr>
    </w:p>
    <w:p>
      <w:pPr>
        <w:ind w:firstLine="620"/>
        <w:spacing w:after="0" w:line="254" w:lineRule="auto"/>
        <w:rPr>
          <w:sz w:val="20"/>
          <w:szCs w:val="20"/>
          <w:color w:val="auto"/>
        </w:rPr>
      </w:pPr>
      <w:r>
        <w:rPr>
          <w:rFonts w:ascii="Arial" w:cs="Arial" w:eastAsia="Arial" w:hAnsi="Arial"/>
          <w:sz w:val="17"/>
          <w:szCs w:val="17"/>
          <w:color w:val="auto"/>
        </w:rPr>
        <w:t>We are exposed to the risk that our future commercial partners, as well as our employees and independent contractors, including principal investigators,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20" w:lineRule="exact"/>
        <w:rPr>
          <w:sz w:val="20"/>
          <w:szCs w:val="20"/>
          <w:color w:val="auto"/>
        </w:rPr>
      </w:pPr>
    </w:p>
    <w:p>
      <w:pPr>
        <w:ind w:right="680"/>
        <w:spacing w:after="0" w:line="293"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98"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Our research and development activities and our third-party manufacturers’ and suppliers’ activities involve the controlled storage, use, and disposal of hazardous materials owned by us, including the components of our product and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4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i w:val="1"/>
          <w:iCs w:val="1"/>
          <w:color w:val="auto"/>
        </w:rPr>
        <w:t>We currently rely on third-party manufacturers to manufacture nonclinical and clinical supplies of our product candidates and we intend to rely on third parties to produce commercial supplies of any approved product candidate. Business changes at any of these manufacturers, or their failure to provide us with sufficient quantities at acceptable quality levels, or at all, would materially and adversely affect our business.</w:t>
      </w:r>
    </w:p>
    <w:p>
      <w:pPr>
        <w:spacing w:after="0" w:line="119" w:lineRule="exact"/>
        <w:rPr>
          <w:sz w:val="20"/>
          <w:szCs w:val="20"/>
          <w:color w:val="auto"/>
        </w:rPr>
      </w:pPr>
    </w:p>
    <w:p>
      <w:pPr>
        <w:ind w:right="80" w:firstLine="620"/>
        <w:spacing w:after="0" w:line="256" w:lineRule="auto"/>
        <w:rPr>
          <w:sz w:val="20"/>
          <w:szCs w:val="20"/>
          <w:color w:val="auto"/>
        </w:rPr>
      </w:pPr>
      <w:r>
        <w:rPr>
          <w:rFonts w:ascii="Arial" w:cs="Arial" w:eastAsia="Arial" w:hAnsi="Arial"/>
          <w:sz w:val="17"/>
          <w:szCs w:val="17"/>
          <w:color w:val="auto"/>
        </w:rPr>
        <w:t>We do not currently have the infrastructure or capability internally to manufacture supplies of our product candidates or the materials necessary to produce our product candidates for use in the conduct of our nonclinical studies or clinical trials, and we lack the internal resources and the capability to manufacture any of our product candidates on a nonclinical, clinical or commercial scale. Instead, we currently rely on single source third-party manufacturers to manufacture nonclinical and clinical supplies of our product candidates and we intend to rely on third parties to produce commercial supplies of any approved product candidate. We have successfully manufactured and tested several batches of our topical roflumilast product candidates at our primary commercial contract manufacturing site at the initial commercial scale. However, as a late-stage company with no prior history of product sales or commercialization of products, representative batches of our product candidate received to date may not represent what will be required to meet our future commercial requirements or be manufactured at final commercial scale.</w:t>
      </w:r>
    </w:p>
    <w:p>
      <w:pPr>
        <w:spacing w:after="0" w:line="128"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We and the manufacturers of our products rely on suppliers of raw materials used in the production of our products. Some of these materials are available from only one source. If there is a disruption to one or more of our third-party suppliers’ relevant operations, we will have no other means of producing our lead product candidates until they restore the affected facilities or they procure alternative manufacturing facilities or sources of supply. Our ability to progress our nonclinical and clinical programs could be materially and adversely impacted if any of the third-party suppliers upon which we rely were to experience a significant business challenge, disruption or failure due to issues such as financial difficulties or bankruptcy, issues relating to other customers such as regulatory or quality compliance issues, or other financial, legal, regulatory, or reputational issues. Additionally, any damage to or destruction of our third-party manufacturer’s facilities or equipment may significantly impair our ability to manufacture our product candidates on a timely basis.</w:t>
      </w:r>
    </w:p>
    <w:p>
      <w:pPr>
        <w:spacing w:after="0" w:line="115"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Furthermore, there are a limited number of suppliers for materials we use in our product candidates, which exposes us to the risk of disruption in the supply of the materials necessary to manufacture our product candidates for our nonclinical studies and clinical trials, and if approved, ultimately for commercial sale. In the case of ARQ-252 and ARQ-255, we have an agreement with Hengrui for the supply of SHR0302 API for nonclinical studies and clinical trials. We do not have control over the process or timing of the acquisition or manufacture of materials by our manufacturers. In addition, any significant delay in, or quality control problems with respect to, the supply of a product candidate, or the raw material components thereof, for an ongoing study or trial could considerably delay completion of our nonclinical studies or clinical trials, product testing and potential regulatory approval of our product candidates.</w:t>
      </w:r>
    </w:p>
    <w:p>
      <w:pPr>
        <w:spacing w:after="0" w:line="130"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In addition, to manufacture our product candidates in the quantities that we believe would be required to meet anticipated market demand, our third-party manufacturers may need to increase manufacturing capacity and, in some cases, we plan to secure alternative sources of commercial supply, which could involve significant challenges and may require additional regulatory approvals Neither we nor our third-party manufacturers may successfully complete any required increase to existing manufacturing capacity in a timely manner, or at all. If either we or our manufacturers are unable to purchase the raw materials necessary for the manufacture of our product candidates on acceptable terms, at sufficient quality levels, or in adequate quantities, if at all, the commercial launch of our lead product candidates or any future product candidates would be delayed or there would be a shortage in supply, which would impair our ability to generate revenues from the sale of such product candidates, if approved.</w:t>
      </w:r>
    </w:p>
    <w:p>
      <w:pPr>
        <w:spacing w:after="0" w:line="336" w:lineRule="exact"/>
        <w:rPr>
          <w:sz w:val="20"/>
          <w:szCs w:val="20"/>
          <w:color w:val="auto"/>
        </w:rPr>
      </w:pPr>
    </w:p>
    <w:p>
      <w:pPr>
        <w:ind w:right="260" w:firstLine="620"/>
        <w:spacing w:after="0" w:line="269" w:lineRule="auto"/>
        <w:rPr>
          <w:sz w:val="20"/>
          <w:szCs w:val="20"/>
          <w:color w:val="auto"/>
        </w:rPr>
      </w:pPr>
      <w:r>
        <w:rPr>
          <w:rFonts w:ascii="Arial" w:cs="Arial" w:eastAsia="Arial" w:hAnsi="Arial"/>
          <w:sz w:val="17"/>
          <w:szCs w:val="17"/>
          <w:color w:val="auto"/>
        </w:rPr>
        <w:t>The loss of these suppliers, or their failure to comply with applicable regulatory requirements or to provide us with sufficient quantities at acceptable quality levels or prices, or at all, would materially and adversely affect our business.</w:t>
      </w:r>
    </w:p>
    <w:p>
      <w:pPr>
        <w:spacing w:after="0" w:line="84" w:lineRule="exact"/>
        <w:rPr>
          <w:sz w:val="20"/>
          <w:szCs w:val="20"/>
          <w:color w:val="auto"/>
        </w:rPr>
      </w:pPr>
    </w:p>
    <w:p>
      <w:pPr>
        <w:ind w:right="160"/>
        <w:spacing w:after="0" w:line="293" w:lineRule="auto"/>
        <w:rPr>
          <w:sz w:val="20"/>
          <w:szCs w:val="20"/>
          <w:color w:val="auto"/>
        </w:rPr>
      </w:pPr>
      <w:r>
        <w:rPr>
          <w:rFonts w:ascii="Arial" w:cs="Arial" w:eastAsia="Arial" w:hAnsi="Arial"/>
          <w:sz w:val="17"/>
          <w:szCs w:val="17"/>
          <w:b w:val="1"/>
          <w:bCs w:val="1"/>
          <w:i w:val="1"/>
          <w:iCs w:val="1"/>
          <w:color w:val="auto"/>
        </w:rPr>
        <w:t>If our third-party manufacturers fail to comply with manufacturing or other regulations, our financial results and financial condition will be adversely affected.</w:t>
      </w:r>
    </w:p>
    <w:p>
      <w:pPr>
        <w:spacing w:after="0" w:line="98" w:lineRule="exact"/>
        <w:rPr>
          <w:sz w:val="20"/>
          <w:szCs w:val="20"/>
          <w:color w:val="auto"/>
        </w:rPr>
      </w:pPr>
    </w:p>
    <w:p>
      <w:pPr>
        <w:ind w:right="40" w:firstLine="620"/>
        <w:spacing w:after="0" w:line="261" w:lineRule="auto"/>
        <w:rPr>
          <w:sz w:val="20"/>
          <w:szCs w:val="20"/>
          <w:color w:val="auto"/>
        </w:rPr>
      </w:pPr>
      <w:r>
        <w:rPr>
          <w:rFonts w:ascii="Arial" w:cs="Arial" w:eastAsia="Arial" w:hAnsi="Arial"/>
          <w:sz w:val="17"/>
          <w:szCs w:val="17"/>
          <w:color w:val="auto"/>
        </w:rPr>
        <w:t>If our contract manufacturers cannot successfully manufacture material that conforms to our specifications and the strict regulatory requirements of the FDA or comparable regulatory authorities in foreign jurisdictions, we may not be able to rely on their manufacturing facilities for the manufacture or our product candidates.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80" w:firstLine="620"/>
        <w:spacing w:after="0" w:line="253" w:lineRule="auto"/>
        <w:rPr>
          <w:sz w:val="20"/>
          <w:szCs w:val="20"/>
          <w:color w:val="auto"/>
        </w:rPr>
      </w:pPr>
      <w:r>
        <w:rPr>
          <w:rFonts w:ascii="Arial" w:cs="Arial" w:eastAsia="Arial" w:hAnsi="Arial"/>
          <w:sz w:val="17"/>
          <w:szCs w:val="17"/>
          <w:color w:val="auto"/>
        </w:rPr>
        <w:t>Before beginning commercial manufacture of roflumilast cream, roflumilast foam, ARQ-252, or ARQ-255, the processes and systems used in their manufacture must be approved and each facility must have a compliance status that is acceptable to the FDA and other regulatory authorities.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w:t>
      </w:r>
    </w:p>
    <w:p>
      <w:pPr>
        <w:spacing w:after="0" w:line="3" w:lineRule="exact"/>
        <w:rPr>
          <w:sz w:val="20"/>
          <w:szCs w:val="20"/>
          <w:color w:val="auto"/>
        </w:rPr>
      </w:pPr>
    </w:p>
    <w:p>
      <w:pPr>
        <w:jc w:val="both"/>
        <w:ind w:right="80"/>
        <w:spacing w:after="0" w:line="269" w:lineRule="auto"/>
        <w:rPr>
          <w:sz w:val="20"/>
          <w:szCs w:val="20"/>
          <w:color w:val="auto"/>
        </w:rPr>
      </w:pPr>
      <w:r>
        <w:rPr>
          <w:rFonts w:ascii="Arial" w:cs="Arial" w:eastAsia="Arial" w:hAnsi="Arial"/>
          <w:sz w:val="17"/>
          <w:szCs w:val="17"/>
          <w:color w:val="auto"/>
        </w:rPr>
        <w:t>inspections. Furthermore, although we have very limited control over the operations of our contract manufacturers, we are responsible for ensuring compliance with applicable laws and regulations, including cGMPs.</w:t>
      </w:r>
    </w:p>
    <w:p>
      <w:pPr>
        <w:spacing w:after="0" w:line="104" w:lineRule="exact"/>
        <w:rPr>
          <w:sz w:val="20"/>
          <w:szCs w:val="20"/>
          <w:color w:val="auto"/>
        </w:rPr>
      </w:pPr>
    </w:p>
    <w:p>
      <w:pPr>
        <w:jc w:val="both"/>
        <w:ind w:right="60" w:firstLine="620"/>
        <w:spacing w:after="0" w:line="258" w:lineRule="auto"/>
        <w:rPr>
          <w:sz w:val="20"/>
          <w:szCs w:val="20"/>
          <w:color w:val="auto"/>
        </w:rPr>
      </w:pPr>
      <w:r>
        <w:rPr>
          <w:rFonts w:ascii="Arial" w:cs="Arial" w:eastAsia="Arial" w:hAnsi="Arial"/>
          <w:sz w:val="17"/>
          <w:szCs w:val="17"/>
          <w:color w:val="auto"/>
        </w:rPr>
        <w:t>If a third-party manufacturer with whom we contract is unable to comply with applicable laws and regulations including cGMPs, roflumilast cream, roflumilast foam, ARQ-252, or ARQ-255 may not be approved, or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09"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b w:val="1"/>
          <w:bCs w:val="1"/>
          <w:i w:val="1"/>
          <w:iCs w:val="1"/>
          <w:color w:val="auto"/>
        </w:rPr>
        <w:t>We rely on third parties to conduct our nonclinical studies and our clinical trials. If these third parties do not successfully carry out their contractual duties or meet expected deadlines, we may be unable to obtain regulatory approval for or commercialize roflumilast cream, roflumilast foam, ARQ-252, ARQ-255, or any future product candidates.</w:t>
      </w:r>
    </w:p>
    <w:p>
      <w:pPr>
        <w:spacing w:after="0" w:line="115"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We do not have the ability to independently conduct nonclinical studies and clinical trials. We rely on third parties, such as CROs, to conduct nonclinical studies and clinical trials of roflumilast cream, roflumilast foam, ARQ-252, and ARQ-255. The third parties with whom we contract for execution of our nonclinical studies and clinical trials play a significant role in the conduct of these studies and trials and the subsequent collection and analysis of data. However, these third parties are not our employees, and except for contractual duties and obligations, we have limited ability to control the amount or timing of resources that they devote to our programs. These third parties may also have relationships with other commercial entities, some of which may compete with us. In some cases, these third parties could terminate their agreements with us without cause. Furthermore, external events such as the COVID-19 pandemic could interfere with some operations of these CROs.</w:t>
      </w:r>
    </w:p>
    <w:p>
      <w:pPr>
        <w:spacing w:after="0" w:line="117"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Although we rely on third parties to conduct our nonclinical studies and clinical trials, we remain responsible for ensuring that each of our nonclinical studies and clinical trials is conducted in accordance with its investigational plan and protocol. Moreover, the FDA and foreign regulatory authorities require us to comply with regulations and standards, including some regulations commonly referred to as GCPs, for conducting, monitoring, recording, and reporting the results of clinical trials to ensure that the data and results are scientifically credible and accurate, and that appropriate human subjects protections are in place, including that the trial subjects are adequately informed of the potential risks and other consequences of participating in clinical trials.</w:t>
      </w:r>
    </w:p>
    <w:p>
      <w:pPr>
        <w:spacing w:after="0" w:line="132"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In addition, the execution of nonclinical studies and clinical trials, and the subsequent compilation and analysis of the data produced, requires coordination among various parties. In order for these functions to be carried out effectively and efficiently, it is imperative that these parties communicate and coordinate with one another. If the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enter into new arrangements with alternative third parties, which could be difficult, costly, or impossible, and our clinical trials may be extended, delayed or terminated, or may need to be repeated, which would have a material adverse effect on our business.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42" w:lineRule="exact"/>
        <w:rPr>
          <w:sz w:val="20"/>
          <w:szCs w:val="20"/>
          <w:color w:val="auto"/>
        </w:rPr>
      </w:pPr>
    </w:p>
    <w:p>
      <w:pPr>
        <w:ind w:right="320"/>
        <w:spacing w:after="0" w:line="293" w:lineRule="auto"/>
        <w:rPr>
          <w:sz w:val="20"/>
          <w:szCs w:val="20"/>
          <w:color w:val="auto"/>
        </w:rPr>
      </w:pPr>
      <w:r>
        <w:rPr>
          <w:rFonts w:ascii="Arial" w:cs="Arial" w:eastAsia="Arial" w:hAnsi="Arial"/>
          <w:sz w:val="17"/>
          <w:szCs w:val="17"/>
          <w:b w:val="1"/>
          <w:bCs w:val="1"/>
          <w:i w:val="1"/>
          <w:iCs w:val="1"/>
          <w:color w:val="auto"/>
        </w:rPr>
        <w:t>We may not be able to obtain, maintain or enforce patent rights or other intellectual property rights that cover our product candidates and technologies that are of sufficient breadth to prevent third parties from competing against us.</w:t>
      </w:r>
    </w:p>
    <w:p>
      <w:pPr>
        <w:spacing w:after="0" w:line="98" w:lineRule="exact"/>
        <w:rPr>
          <w:sz w:val="20"/>
          <w:szCs w:val="20"/>
          <w:color w:val="auto"/>
        </w:rPr>
      </w:pPr>
    </w:p>
    <w:p>
      <w:pPr>
        <w:ind w:right="260" w:firstLine="620"/>
        <w:spacing w:after="0" w:line="258" w:lineRule="auto"/>
        <w:rPr>
          <w:sz w:val="20"/>
          <w:szCs w:val="20"/>
          <w:color w:val="auto"/>
        </w:rPr>
      </w:pPr>
      <w:r>
        <w:rPr>
          <w:rFonts w:ascii="Arial" w:cs="Arial" w:eastAsia="Arial" w:hAnsi="Arial"/>
          <w:sz w:val="17"/>
          <w:szCs w:val="17"/>
          <w:color w:val="auto"/>
        </w:rPr>
        <w:t>Our success with respect to our product candidates and technologies will depend in part on our and our licensors’ ability to obtain and maintain patent protection in both the United States and other countries, to preserve our trade secrets and to prevent third parties from infringing upon our proprietary rights. Our ability to protect any of our product candidates from unauthorized or infringing use by third parties depends in substantial part on our ability to obtain and maintain valid and enforceable patents.</w:t>
      </w:r>
    </w:p>
    <w:p>
      <w:pPr>
        <w:spacing w:after="0" w:line="129" w:lineRule="exact"/>
        <w:rPr>
          <w:sz w:val="20"/>
          <w:szCs w:val="20"/>
          <w:color w:val="auto"/>
        </w:rPr>
      </w:pPr>
    </w:p>
    <w:p>
      <w:pPr>
        <w:ind w:right="20" w:firstLine="620"/>
        <w:spacing w:after="0" w:line="257" w:lineRule="auto"/>
        <w:rPr>
          <w:sz w:val="20"/>
          <w:szCs w:val="20"/>
          <w:color w:val="auto"/>
        </w:rPr>
      </w:pPr>
      <w:r>
        <w:rPr>
          <w:rFonts w:ascii="Arial" w:cs="Arial" w:eastAsia="Arial" w:hAnsi="Arial"/>
          <w:sz w:val="17"/>
          <w:szCs w:val="17"/>
          <w:color w:val="auto"/>
        </w:rPr>
        <w:t>Our patent portfolio includes patents and patent applications in the United States and foreign jurisdictions where we believe there is a market opportunity for our products. The covered technology and the scope of coverage vary from country to country. For those countries where we do not have granted patents, we may not have any ability to prevent the unauthorized use of our technologies. Any patents that we may obtain may be narrow in scope and thus easily circumvented by competitors. Further, in countries where we do not have granted patents, third parties may be able to make, use, or sell products identical to or substantially similar to, our product candidates.</w:t>
      </w:r>
    </w:p>
    <w:p>
      <w:pPr>
        <w:spacing w:after="0" w:line="116"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The patent application process, also known as patent prosecution, is expensive and time-consuming, and we and our current licensors, or any future licensors or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 in the course of development and commercialization activities before it is too late to obtain patent protection on them. Therefore, our patents and applications may not be prosecuted, and as a result may not be able to be enforced in a manner consistent with the best interests of our business.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to our processes, methods, and know-how which we consider our trade secrets. Any of these outcomes could impair our ability to prevent competition from third parties, which may have an adverse impact on our business, financial condition, and operating results.</w:t>
      </w:r>
    </w:p>
    <w:p>
      <w:pPr>
        <w:spacing w:after="0" w:line="132" w:lineRule="exact"/>
        <w:rPr>
          <w:sz w:val="20"/>
          <w:szCs w:val="20"/>
          <w:color w:val="auto"/>
        </w:rPr>
      </w:pPr>
    </w:p>
    <w:p>
      <w:pPr>
        <w:ind w:right="60" w:firstLine="620"/>
        <w:spacing w:after="0" w:line="254" w:lineRule="auto"/>
        <w:rPr>
          <w:sz w:val="20"/>
          <w:szCs w:val="20"/>
          <w:color w:val="auto"/>
        </w:rPr>
      </w:pPr>
      <w:r>
        <w:rPr>
          <w:rFonts w:ascii="Arial" w:cs="Arial" w:eastAsia="Arial" w:hAnsi="Arial"/>
          <w:sz w:val="17"/>
          <w:szCs w:val="17"/>
          <w:color w:val="auto"/>
        </w:rPr>
        <w:t>Due to legal standards relating to patentability, validity, enforceability, and claim scope of patents covering pharmaceutical inventions, our and our licensor’s ability to obtain, maintain, and enforce patents is uncertain and involves complex legal and factual questions. Accordingly, rights under our existing patents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 In addition, we cannot guarantee that any patents will issue from any pending or future patent applications owned by or licensed to us. Even with respect to our patents that have issued or will issue, we cannot guarantee that the claims of these patents are or will be held valid or enforceable by the courts or will provide us with any significant protection against competitive products or otherwise be commercially valuable to us.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drugs,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40"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Competitors in the field of dermatologic therapeutics have created a substantial amount of prior art, including scientific publications, patents and patent applications. Our ability to obtain and maintain valid and enforceable patents depends on whether the differences between our technology and the prior art allow our technology to be patentable over the prior art. Although we believe that our technology includes certain inventions that are unique and not duplicative of any prior art, we do not have outstanding issued patents covering all of the recent developments in our technology and we are unsure of the patent protection that we will be successful in obtaining, if any, over such aspects of our technology. Even if patents do successfully issue covering such aspects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of our technology, third parties may design around or challenge the validity, enforceability, or scope of such issued patents or any other issued patents we own or license, which may result in such patents being narrowed, invalidated, or held unenforceable. If the breadth or strength of protection provided by the patents we own or license with respect to our product candidates is challenged, it could dissuade companies from collaborating with us to develop, or threaten our ability to commercialize, our product candidates. Even if the patent applications that we own or license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drugs in a non-infringing manner.</w:t>
      </w:r>
    </w:p>
    <w:p>
      <w:pPr>
        <w:spacing w:after="0" w:line="117"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The laws of some foreign jurisdictions do not provide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in foreign jurisdictions, our business prospects could be substantially harmed. The patent positions of pharmaceutical and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Accordingly, we cannot predict the breadth of claims that may be allowed or enforced in our patents or in third-party patents.</w:t>
      </w:r>
    </w:p>
    <w:p>
      <w:pPr>
        <w:spacing w:after="0" w:line="130" w:lineRule="exact"/>
        <w:rPr>
          <w:sz w:val="20"/>
          <w:szCs w:val="20"/>
          <w:color w:val="auto"/>
        </w:rPr>
      </w:pPr>
    </w:p>
    <w:p>
      <w:pPr>
        <w:ind w:right="460" w:firstLine="620"/>
        <w:spacing w:after="0" w:line="269" w:lineRule="auto"/>
        <w:rPr>
          <w:sz w:val="20"/>
          <w:szCs w:val="20"/>
          <w:color w:val="auto"/>
        </w:rPr>
      </w:pPr>
      <w:r>
        <w:rPr>
          <w:rFonts w:ascii="Arial" w:cs="Arial" w:eastAsia="Arial" w:hAnsi="Arial"/>
          <w:sz w:val="17"/>
          <w:szCs w:val="17"/>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117" w:lineRule="exact"/>
        <w:rPr>
          <w:sz w:val="20"/>
          <w:szCs w:val="20"/>
          <w:color w:val="auto"/>
        </w:rPr>
      </w:pPr>
    </w:p>
    <w:p>
      <w:pPr>
        <w:ind w:left="780" w:right="100" w:hanging="156"/>
        <w:spacing w:after="0" w:line="269" w:lineRule="auto"/>
        <w:tabs>
          <w:tab w:leader="none" w:pos="776"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might not have been the first to invent or the first to file the inventions covered by each of our pending patent applications and issued patents;</w:t>
      </w:r>
    </w:p>
    <w:p>
      <w:pPr>
        <w:spacing w:after="0" w:line="104" w:lineRule="exact"/>
        <w:rPr>
          <w:rFonts w:ascii="Arial" w:cs="Arial" w:eastAsia="Arial" w:hAnsi="Arial"/>
          <w:sz w:val="17"/>
          <w:szCs w:val="17"/>
          <w:color w:val="auto"/>
        </w:rPr>
      </w:pPr>
    </w:p>
    <w:p>
      <w:pPr>
        <w:ind w:left="780" w:hanging="156"/>
        <w:spacing w:after="0"/>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153" w:lineRule="exact"/>
        <w:rPr>
          <w:rFonts w:ascii="Arial" w:cs="Arial" w:eastAsia="Arial" w:hAnsi="Arial"/>
          <w:sz w:val="17"/>
          <w:szCs w:val="17"/>
          <w:color w:val="auto"/>
        </w:rPr>
      </w:pPr>
    </w:p>
    <w:p>
      <w:pPr>
        <w:ind w:left="780" w:right="280" w:hanging="156"/>
        <w:spacing w:after="0" w:line="269" w:lineRule="auto"/>
        <w:tabs>
          <w:tab w:leader="none" w:pos="776"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patents we obtain or our licensors’ issued patents may not encompass commercially viable products, may not provide us with any competitive advantages or may be challenged by third parties;</w:t>
      </w:r>
    </w:p>
    <w:p>
      <w:pPr>
        <w:spacing w:after="0" w:line="104" w:lineRule="exact"/>
        <w:rPr>
          <w:rFonts w:ascii="Arial" w:cs="Arial" w:eastAsia="Arial" w:hAnsi="Arial"/>
          <w:sz w:val="17"/>
          <w:szCs w:val="17"/>
          <w:color w:val="auto"/>
        </w:rPr>
      </w:pPr>
    </w:p>
    <w:p>
      <w:pPr>
        <w:ind w:left="780" w:right="180" w:hanging="156"/>
        <w:spacing w:after="0" w:line="261" w:lineRule="auto"/>
        <w:tabs>
          <w:tab w:leader="none" w:pos="776" w:val="left"/>
        </w:tabs>
        <w:numPr>
          <w:ilvl w:val="0"/>
          <w:numId w:val="39"/>
        </w:numPr>
        <w:rPr>
          <w:rFonts w:ascii="Arial" w:cs="Arial" w:eastAsia="Arial" w:hAnsi="Arial"/>
          <w:sz w:val="17"/>
          <w:szCs w:val="17"/>
          <w:color w:val="auto"/>
        </w:rPr>
      </w:pPr>
      <w:r>
        <w:rPr>
          <w:rFonts w:ascii="Arial" w:cs="Arial" w:eastAsia="Arial" w:hAnsi="Arial"/>
          <w:sz w:val="17"/>
          <w:szCs w:val="17"/>
          <w:color w:val="auto"/>
        </w:rPr>
        <w:t>for some product candidates, we expect that composition of matter patent protection for the active pharmaceutical ingredient will not be available at the time we expect to commercialize, and we will therefore need to rely on formulation, method of use, and other forms of claims for patent protection;</w:t>
      </w:r>
    </w:p>
    <w:p>
      <w:pPr>
        <w:spacing w:after="0" w:line="124" w:lineRule="exact"/>
        <w:rPr>
          <w:rFonts w:ascii="Arial" w:cs="Arial" w:eastAsia="Arial" w:hAnsi="Arial"/>
          <w:sz w:val="17"/>
          <w:szCs w:val="17"/>
          <w:color w:val="auto"/>
        </w:rPr>
      </w:pPr>
    </w:p>
    <w:p>
      <w:pPr>
        <w:ind w:left="780" w:hanging="156"/>
        <w:spacing w:after="0"/>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patents we obtain or our in-licensed issued patents may not be valid or enforceable; and</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40" w:lineRule="exact"/>
        <w:rPr>
          <w:sz w:val="20"/>
          <w:szCs w:val="20"/>
          <w:color w:val="auto"/>
        </w:rPr>
      </w:pPr>
    </w:p>
    <w:p>
      <w:pPr>
        <w:ind w:firstLine="620"/>
        <w:spacing w:after="0" w:line="254"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the extensive period of time between patent filing and regulatory approval for a product candidate limits the time during which we can market a product candidate under patent protection, which may particularly affect the profitability of our early-stage product candidates. Our issued U.S. patents relating to roflumilast cream and roflumilast foam with claims directed to, among other things, formulating roflumilast in combination with hexylene glycol and pharmacokinetic properties of topical roflumilast for improving delivery and extending half-life are currently projected to expire on June 7, 2037 and August 25, 2037, and the issued U.S. patents which we have exclusive rights to from Hengrui as a result of the exercise of our exclusive option with Hengrui in December 2019 for the amount of $1.5 million cash, related to the composition of matter of the active ingredient in ARQ-252 and ARQ-255 (or bisulfate or crystal forms thereof) are currently projected to expire between January 21, 2033 and October 15, 2035 unless a PTE is granted. Proprietary trade secrets and unpatented know-how are also very important to our business. Although we have taken steps to protect our trade secrets and unpatented know-how by entering into confidentiality agreements with third parties, and intellectual property protection agreements with certain employees, consultants, and advisors, third parties may still obtain this information or we may be unable to protect our rights. We also have limited control over the protection of trade secrets used by our suppliers, manufacturers, and other third parties. There can be no assurance that binding agreements will not be breached, that we would have adequate remedies for any breach, or that our trade secrets and unpatented know-how will not otherwise become known or be independently discovered by our competitors. If</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trade secrets are independently discovered, we would not be able to prevent their use. Enforcing a claim that a third party illegally obtained and is using our trade secrets or unpatented know-how is expensive and time-consuming, and the outcome is unpredictable. In addition, courts outside the United States may be less willing to protect trade secret information.</w:t>
      </w:r>
    </w:p>
    <w:p>
      <w:pPr>
        <w:spacing w:after="0" w:line="9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roflumilast cream, roflumilast foam, ARQ-252, ARQ-255, or any future product candidates.</w:t>
      </w:r>
    </w:p>
    <w:p>
      <w:pPr>
        <w:spacing w:after="0" w:line="115"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There have been many lawsuits and other proceedings asserting patents and other intellectual property rights in the pharmaceutical and biotechnology industries. We cannot assure you that our exploitation of roflumilast cream, roflumilast foam, ARQ-252, or ARQ-255 will not infringe existing or future third-party patents. Because patent applications can take many years to issue and may be confidential for 18 months or more after filing, there may be applications now pending of which we are unaware and which may later result in issued patents that we may infringe by commercializing roflumilast cream, roflumilast foam, ARQ-252, or ARQ-255. Moreover, we may face claims from non-practicing entities that have no relevant product revenue and against whom our own patent portfolio may thus have no deterrent effect. We may be unaware of one or more issued patents that would be infringed by the manufacture, sale or use of roflumilast cream, roflumilast foam, ARQ-252, or ARQ-255.</w:t>
      </w:r>
    </w:p>
    <w:p>
      <w:pPr>
        <w:spacing w:after="0" w:line="130"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We may be subject to third-party claims in the future against us or our collaborators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collaborators against such claims. If a patent infringement suit were brought against us or our future collaborators, we or they could be forced to stop or delay research, development, manufacturing, or sales of the product or product candidate that is the subject of the suit. As a result of patent infringement claims, or in order to avoid potential claims, we or our collaborators may choose to seek, or be required to seek, a license from the third-party and would most likely be required to pay license fees or royalties or both. These licenses may not be available on acceptable terms, or at all. Even if we or our future collaborators were able to obtain a license, the rights obtained may be nonexclusive, which would not confer a competitive advantage to us from an exclusivity perspective. Ultimately, we could be prevented from commercializing a product, or forced to redesign it, or to cease some aspect of our business operations if, as a result of actual or threatened patent infringement claims, we or our collaborators are unable to enter into licenses on acceptable terms to necessary third-party patent rights.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18"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In addition to infringement claims against us, if third parties prepare and file patent applications in the United States that also claim technology similar or identical to ours, we may have to participate in interference or derivation proceedings in the U.S. Patent and Trademark Office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12" w:lineRule="exact"/>
        <w:rPr>
          <w:sz w:val="20"/>
          <w:szCs w:val="20"/>
          <w:color w:val="auto"/>
        </w:rPr>
      </w:pPr>
    </w:p>
    <w:p>
      <w:pPr>
        <w:ind w:right="280"/>
        <w:spacing w:after="0" w:line="293"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our employees or our licensors have misappropriated their intellectual property, including trade secrets, or claiming ownership of what we regard as our own intellectual property.</w:t>
      </w:r>
    </w:p>
    <w:p>
      <w:pPr>
        <w:spacing w:after="0" w:line="98"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Many of our employees and our licensor’s employees were previously employed at other biotechnology or pharmaceutical companies. Although we and our licensors try to ensure that our employees and our licensor’s employees do not use the proprietary information or know-how of others in their work for us, including by contract, we or our licensors may be subject to claims that these employees, our licensors or we have used or disclosed intellectual property, including trade secrets or other proprietary information, of any such employee’s former employer. Litigation may be necessary to defend against these claims.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jc w:val="both"/>
        <w:ind w:right="40" w:firstLine="620"/>
        <w:spacing w:after="0" w:line="257"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development of intellectual property to execute agreements assigning such intellectual property to us, we may in the future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16" w:lineRule="exact"/>
        <w:rPr>
          <w:sz w:val="20"/>
          <w:szCs w:val="20"/>
          <w:color w:val="auto"/>
        </w:rPr>
      </w:pPr>
    </w:p>
    <w:p>
      <w:pPr>
        <w:ind w:right="100" w:firstLine="620"/>
        <w:spacing w:after="0" w:line="261" w:lineRule="auto"/>
        <w:rPr>
          <w:sz w:val="20"/>
          <w:szCs w:val="20"/>
          <w:color w:val="auto"/>
        </w:rPr>
      </w:pPr>
      <w:r>
        <w:rPr>
          <w:rFonts w:ascii="Arial" w:cs="Arial" w:eastAsia="Arial" w:hAnsi="Arial"/>
          <w:sz w:val="17"/>
          <w:szCs w:val="17"/>
          <w:color w:val="auto"/>
        </w:rPr>
        <w:t>If we or our licensor fail in prosecuting or defending any such claims, in addition to paying monetary damages, we may lose valuable intellectual property rights or personnel. Even if we and our licensor are successful in prosecuting or defending against such claims, litigation could result in substantial costs.</w:t>
      </w:r>
    </w:p>
    <w:p>
      <w:pPr>
        <w:spacing w:after="0" w:line="105" w:lineRule="exact"/>
        <w:rPr>
          <w:sz w:val="20"/>
          <w:szCs w:val="20"/>
          <w:color w:val="auto"/>
        </w:rPr>
      </w:pPr>
    </w:p>
    <w:p>
      <w:pPr>
        <w:ind w:right="120"/>
        <w:spacing w:after="0" w:line="293" w:lineRule="auto"/>
        <w:rPr>
          <w:sz w:val="20"/>
          <w:szCs w:val="20"/>
          <w:color w:val="auto"/>
        </w:rPr>
      </w:pPr>
      <w:r>
        <w:rPr>
          <w:rFonts w:ascii="Arial" w:cs="Arial" w:eastAsia="Arial" w:hAnsi="Arial"/>
          <w:sz w:val="17"/>
          <w:szCs w:val="17"/>
          <w:b w:val="1"/>
          <w:bCs w:val="1"/>
          <w:i w:val="1"/>
          <w:iCs w:val="1"/>
          <w:color w:val="auto"/>
        </w:rPr>
        <w:t>The validity, scope, and enforceability of any patents listed in the Orange Book that cover roflumilast cream, roflumilast foam, ARQ-252, or ARQ-255 can be challenged by competitors.</w:t>
      </w:r>
    </w:p>
    <w:p>
      <w:pPr>
        <w:spacing w:after="0" w:line="98" w:lineRule="exact"/>
        <w:rPr>
          <w:sz w:val="20"/>
          <w:szCs w:val="20"/>
          <w:color w:val="auto"/>
        </w:rPr>
      </w:pPr>
    </w:p>
    <w:p>
      <w:pPr>
        <w:ind w:right="20" w:firstLine="620"/>
        <w:spacing w:after="0" w:line="254" w:lineRule="auto"/>
        <w:rPr>
          <w:sz w:val="20"/>
          <w:szCs w:val="20"/>
          <w:color w:val="auto"/>
        </w:rPr>
      </w:pPr>
      <w:r>
        <w:rPr>
          <w:rFonts w:ascii="Arial" w:cs="Arial" w:eastAsia="Arial" w:hAnsi="Arial"/>
          <w:sz w:val="17"/>
          <w:szCs w:val="17"/>
          <w:color w:val="auto"/>
        </w:rPr>
        <w:t>If roflumilast cream, roflumilast foam, ARQ-252, or ARQ-255 is approved by the FDA, one or more third parties may challenge the patents covering roflumilast cream, roflumilast foam, ARQ-252, or ARQ-255, which could result in the invalidation of, or render unenforceable, some or all of the relevant patent claims or a finding of non-infringement. For example, if a third-party files an abbreviated NDA, or ANDA, for a generic drug bioequivalent to roflumilast cream, roflumilast foam, ARQ-252, or ARQ-255, and relies in whole or in part on studies conducted by or for us, the third-party will be required to certify to the FDA that either: (1) there is no patent information listed in the FDA’s Orange Book with respect to our NDA for the applicable approved drug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drug. A certification that the new drug will not infringe the Orange Book-listed patents for the applicable approved drug candidate, or that such patents are invalid, is called a paragraph IV certification. If the third-party submits a paragraph IV certification to the FDA, a notice of the paragraph IV certification must also be sent to us once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we do not file a patent infringement lawsuit within the required 45-day period, the third-party’s ANDA will not be subject to the 30-month stay of FDA approval.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product candidates.</w:t>
      </w:r>
    </w:p>
    <w:p>
      <w:pPr>
        <w:spacing w:after="0" w:line="107" w:lineRule="exact"/>
        <w:rPr>
          <w:sz w:val="20"/>
          <w:szCs w:val="20"/>
          <w:color w:val="auto"/>
        </w:rPr>
      </w:pPr>
    </w:p>
    <w:p>
      <w:pPr>
        <w:ind w:right="560"/>
        <w:spacing w:after="0" w:line="293" w:lineRule="auto"/>
        <w:rPr>
          <w:sz w:val="20"/>
          <w:szCs w:val="20"/>
          <w:color w:val="auto"/>
        </w:rPr>
      </w:pPr>
      <w:r>
        <w:rPr>
          <w:rFonts w:ascii="Arial" w:cs="Arial" w:eastAsia="Arial" w:hAnsi="Arial"/>
          <w:sz w:val="17"/>
          <w:szCs w:val="17"/>
          <w:b w:val="1"/>
          <w:bCs w:val="1"/>
          <w:i w:val="1"/>
          <w:iCs w:val="1"/>
          <w:color w:val="auto"/>
        </w:rPr>
        <w:t>If we do not obtain protection under the Hatch-Waxman Amendments by extending the patent term for our product candidates, our business may be materially harmed.</w:t>
      </w:r>
    </w:p>
    <w:p>
      <w:pPr>
        <w:spacing w:after="0" w:line="98"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Our commercial success will largely depend on our ability to obtain and maintain patent and other intellectual property in the United States and other countries with respect to our proprietary technology, product candidates, and our target indications. Our issued U.S. patents, with claims directed to roflumilast formulations with reduced crystal growth, encompassing roflumilast cream and pharmacokinetic properties of topical roflumilast for improving delivery and extending half-life are currently projected to expire on June 7, 2037 and August 25, 2037. Certain issued U.S. patents that we have licensed from Hengrui relating to, among other things, treatment of several diseases or disorders, including various cancers, allograft rejection, graft versus host disease, rheumatoid arthritis, atopic dermatitis, and psoriasis with SHR0302, or bisulfate and crystal forms thereof, are currently projected to expire beginning in 2033. Given the amount of time required for the development, testing and regulatory review of new product candidates, patents protecting our product candidates might expire before or shortly after such candidates begin to be commercialized. We expect to seek extensions of patent terms in the United States and, if available, in other countries where we are prosecuting patents.</w:t>
      </w:r>
    </w:p>
    <w:p>
      <w:pPr>
        <w:spacing w:after="0" w:line="134" w:lineRule="exact"/>
        <w:rPr>
          <w:sz w:val="20"/>
          <w:szCs w:val="20"/>
          <w:color w:val="auto"/>
        </w:rPr>
      </w:pPr>
    </w:p>
    <w:p>
      <w:pPr>
        <w:ind w:right="60" w:firstLine="620"/>
        <w:spacing w:after="0" w:line="256"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the U.S. patents covering our product candidates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This extension is limited to only one patent that covers the approved product. However, the applicable authorities, including the FDA and the USPTO in the United States, and any equivalent regulatory authority in other countries, may not agree with our assessment of whether such extensions are available, and may refuse to grant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auto"/>
        </w:rPr>
        <w:t>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12" w:lineRule="exact"/>
        <w:rPr>
          <w:sz w:val="20"/>
          <w:szCs w:val="20"/>
          <w:color w:val="auto"/>
        </w:rPr>
      </w:pPr>
    </w:p>
    <w:p>
      <w:pPr>
        <w:ind w:right="100" w:firstLine="620"/>
        <w:spacing w:after="0" w:line="261" w:lineRule="auto"/>
        <w:rPr>
          <w:sz w:val="20"/>
          <w:szCs w:val="20"/>
          <w:color w:val="auto"/>
        </w:rPr>
      </w:pPr>
      <w:r>
        <w:rPr>
          <w:rFonts w:ascii="Arial" w:cs="Arial" w:eastAsia="Arial" w:hAnsi="Arial"/>
          <w:sz w:val="17"/>
          <w:szCs w:val="17"/>
          <w:color w:val="auto"/>
        </w:rPr>
        <w:t>If we are unable to extend the expiration date of our existing patents or obtain new patents with longer expiry dates, our competitors may be able to take advantage of our investment in development and clinical trials by referencing our clinical and noncclinical data to obtain approval of competing products following our patent expiration and launch their product earlier than might otherwise be the case.</w:t>
      </w:r>
    </w:p>
    <w:p>
      <w:pPr>
        <w:spacing w:after="0" w:line="105" w:lineRule="exact"/>
        <w:rPr>
          <w:sz w:val="20"/>
          <w:szCs w:val="20"/>
          <w:color w:val="auto"/>
        </w:rPr>
      </w:pPr>
    </w:p>
    <w:p>
      <w:pPr>
        <w:ind w:right="20"/>
        <w:spacing w:after="0" w:line="293" w:lineRule="auto"/>
        <w:rPr>
          <w:sz w:val="20"/>
          <w:szCs w:val="20"/>
          <w:color w:val="auto"/>
        </w:rPr>
      </w:pPr>
      <w:r>
        <w:rPr>
          <w:rFonts w:ascii="Arial" w:cs="Arial" w:eastAsia="Arial" w:hAnsi="Arial"/>
          <w:sz w:val="17"/>
          <w:szCs w:val="17"/>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98" w:lineRule="exact"/>
        <w:rPr>
          <w:sz w:val="20"/>
          <w:szCs w:val="20"/>
          <w:color w:val="auto"/>
        </w:rPr>
      </w:pPr>
    </w:p>
    <w:p>
      <w:pPr>
        <w:ind w:right="120" w:firstLine="620"/>
        <w:spacing w:after="0" w:line="258"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96"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i w:val="1"/>
          <w:iCs w:val="1"/>
          <w:color w:val="auto"/>
        </w:rPr>
        <w:t>We may need to license additional intellectual property from third parties, and such licenses may not be available or may not be available on commercially reasonable terms.</w:t>
      </w:r>
    </w:p>
    <w:p>
      <w:pPr>
        <w:spacing w:after="0" w:line="98"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Additional third parties, apart from our current licensors, may hold intellectual property, including patent rights, that are important or necessary to the development of our product candidates. It may be necessary for us to use the patented or proprietary technology of these third parties to commercialize our product candidates, in which case we would be required to obtain a license from these third parties on commercially reasonable terms. Such a license may not be available, or it may not be available on commercially reasonable terms, in which case our business would be harmed. The risks described elsewhere pertaining to our intellectual property rights also apply to the intellectual property rights that we in-license, and any failure by us or our licensors to obtain, maintain, defend, and enforce these rights could harm our business. In some cases we may not have control over the prosecution, maintenance, or enforcement of the patents that we license, and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60" w:lineRule="exact"/>
        <w:rPr>
          <w:sz w:val="20"/>
          <w:szCs w:val="20"/>
          <w:color w:val="auto"/>
        </w:rPr>
      </w:pPr>
    </w:p>
    <w:p>
      <w:pPr>
        <w:ind w:right="40" w:firstLine="620"/>
        <w:spacing w:after="0" w:line="255" w:lineRule="auto"/>
        <w:rPr>
          <w:sz w:val="20"/>
          <w:szCs w:val="20"/>
          <w:color w:val="auto"/>
        </w:rPr>
      </w:pPr>
      <w:r>
        <w:rPr>
          <w:rFonts w:ascii="Arial" w:cs="Arial" w:eastAsia="Arial" w:hAnsi="Arial"/>
          <w:sz w:val="17"/>
          <w:szCs w:val="17"/>
          <w:color w:val="auto"/>
        </w:rPr>
        <w:t>Filing, prosecuting, and defending patents on product candidates, including all of the licensed rights under our exclusive supply and license agreements with AstraZeneca and Hengrui,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34" w:lineRule="exact"/>
        <w:rPr>
          <w:sz w:val="20"/>
          <w:szCs w:val="20"/>
          <w:color w:val="auto"/>
        </w:rPr>
      </w:pPr>
    </w:p>
    <w:p>
      <w:pPr>
        <w:ind w:right="80" w:firstLine="620"/>
        <w:spacing w:after="0" w:line="255"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right="300"/>
        <w:spacing w:after="0" w:line="293" w:lineRule="auto"/>
        <w:rPr>
          <w:sz w:val="20"/>
          <w:szCs w:val="20"/>
          <w:color w:val="auto"/>
        </w:rPr>
      </w:pPr>
      <w:r>
        <w:rPr>
          <w:rFonts w:ascii="Arial" w:cs="Arial" w:eastAsia="Arial" w:hAnsi="Arial"/>
          <w:sz w:val="17"/>
          <w:szCs w:val="17"/>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85"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The United States has enacted and implemented wide-ranging patent reform legislation, and that legislation could increase the uncertainties and costs surrounding the prosecution of our patent applications and the enforcement or defense of our issued patents. On September 16, 2011, the Leahy-Smith America Invents Act (Leahy-Smith Act) was signed into law. The Leahy-Smith Act includes a number of significant changes to U.S. patent law. These include provisions that affect the way patent applications are prosecuted and may also affect patent litigation. The U.S.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In addition, patent reform legislation may pass in the future that could lead to additional uncertainties and increased costs surrounding the prosecution, enforcement, and defense of our patents and pending patent applications.</w:t>
      </w:r>
    </w:p>
    <w:p>
      <w:pPr>
        <w:spacing w:after="0" w:line="132"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33"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Having a mandatory nonexclusive license grant may diminish the value of our patents as well as making it more difficult to protect our products.</w:t>
      </w:r>
    </w:p>
    <w:p>
      <w:pPr>
        <w:spacing w:after="0" w:line="9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5" w:lineRule="exact"/>
        <w:rPr>
          <w:sz w:val="20"/>
          <w:szCs w:val="20"/>
          <w:color w:val="auto"/>
        </w:rPr>
      </w:pPr>
    </w:p>
    <w:p>
      <w:pPr>
        <w:ind w:right="20" w:firstLine="620"/>
        <w:spacing w:after="0" w:line="253" w:lineRule="auto"/>
        <w:rPr>
          <w:sz w:val="20"/>
          <w:szCs w:val="20"/>
          <w:color w:val="auto"/>
        </w:rPr>
      </w:pPr>
      <w:r>
        <w:rPr>
          <w:rFonts w:ascii="Arial" w:cs="Arial" w:eastAsia="Arial" w:hAnsi="Arial"/>
          <w:sz w:val="17"/>
          <w:szCs w:val="17"/>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w:t>
      </w:r>
    </w:p>
    <w:p>
      <w:pPr>
        <w:spacing w:after="0" w:line="5"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limits, non-payment of fees and failure to properly legalize and submit formal documents. If we or our licensors fail to maintain the patents and patent applications covering any of our product candidates, our competitors might be able to enter the market earlier than anticipated, which would harm our business.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right="280"/>
        <w:spacing w:after="0" w:line="293"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85" w:lineRule="exact"/>
        <w:rPr>
          <w:sz w:val="20"/>
          <w:szCs w:val="20"/>
          <w:color w:val="auto"/>
        </w:rPr>
      </w:pPr>
    </w:p>
    <w:p>
      <w:pPr>
        <w:ind w:right="180" w:firstLine="620"/>
        <w:spacing w:after="0" w:line="256" w:lineRule="auto"/>
        <w:rPr>
          <w:sz w:val="20"/>
          <w:szCs w:val="20"/>
          <w:color w:val="auto"/>
        </w:rPr>
      </w:pPr>
      <w:r>
        <w:rPr>
          <w:rFonts w:ascii="Arial" w:cs="Arial" w:eastAsia="Arial" w:hAnsi="Arial"/>
          <w:sz w:val="17"/>
          <w:szCs w:val="17"/>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In addition, third parties may file first for our trademarks in certain countries. If they succeeded in registering such trademarks, and if we were not successful in challenging such third-party rights, we may not be able to use these trademarks to market our products in those countries. In such cases, over the long term, if we are unable to establish name recognition based on our trademarks and trade names, then our marketing abilities may be impacted.</w:t>
      </w:r>
    </w:p>
    <w:p>
      <w:pPr>
        <w:spacing w:after="0" w:line="11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b w:val="1"/>
          <w:bCs w:val="1"/>
          <w:i w:val="1"/>
          <w:iCs w:val="1"/>
          <w:color w:val="auto"/>
        </w:rPr>
        <w:t>We will require final regulatory approval of, and registered trademarks for, any commercial tradename and registered trademarks for a commercial trade name for our lead candidates in the United States or foreign jurisdictions and failure to secure such approval in a timely fashion could adversely affect our business.</w:t>
      </w:r>
    </w:p>
    <w:p>
      <w:pPr>
        <w:spacing w:after="0" w:line="115"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We have received Notices of Allowance from the USPTO for commercial trade names for certain of our lead product candidates in the United States. We will be required to obtain similar approvals in certain foreign jurisdictions and will be required to undertake similar registrations with respect to any future product candidates. During trademark registration proceedings, we may receive rejections and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While we have received Notices of Allowance from the USPTO for commercial trade names for certain of our lead product candidates, we have not received final FDA approval of such names. If the FDA objects to any of our proposed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right="380"/>
        <w:spacing w:after="0" w:line="293" w:lineRule="auto"/>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and know-how, the value of our technology and products could be adversely affected.</w:t>
      </w:r>
    </w:p>
    <w:p>
      <w:pPr>
        <w:spacing w:after="0" w:line="85"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We may not be able to protect our proprietary information and technology adequately. Although we use reasonable efforts to protect our proprietary information, technology, and know-how, our employees, consultants, contractors, outside scientific advisors, licensors, or licensees may unintentionally or willfully disclose our information to competitors. Enforcing a claim that a third-party illegally obtained and is using any of our proprietary information, technology or know-how is expensive and time consuming, and the outcome is unpredictable. In addition, courts outside the United States are sometimes less willing to protect proprietary information, technology, and know-how. We rely, in part, on non-disclosure and confidentiality agreements with our employees, consultants and other parties to protect our proprietary information, technology, and know-how. These agreements may be breached and we may not have adequate remedies for any breach. Moreover, others may independently develop similar or equivalent proprietary information, and third parties may otherwise gain access to our proprietary knowledge.</w:t>
      </w:r>
    </w:p>
    <w:p>
      <w:pPr>
        <w:spacing w:after="0" w:line="108" w:lineRule="exact"/>
        <w:rPr>
          <w:sz w:val="20"/>
          <w:szCs w:val="20"/>
          <w:color w:val="auto"/>
        </w:rPr>
      </w:pPr>
    </w:p>
    <w:p>
      <w:pPr>
        <w:ind w:right="160"/>
        <w:spacing w:after="0" w:line="293" w:lineRule="auto"/>
        <w:rPr>
          <w:sz w:val="20"/>
          <w:szCs w:val="20"/>
          <w:color w:val="auto"/>
        </w:rPr>
      </w:pPr>
      <w:r>
        <w:rPr>
          <w:rFonts w:ascii="Arial" w:cs="Arial" w:eastAsia="Arial" w:hAnsi="Arial"/>
          <w:sz w:val="17"/>
          <w:szCs w:val="17"/>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w:t>
      </w:r>
    </w:p>
    <w:p>
      <w:pPr>
        <w:spacing w:after="0" w:line="98" w:lineRule="exact"/>
        <w:rPr>
          <w:sz w:val="20"/>
          <w:szCs w:val="20"/>
          <w:color w:val="auto"/>
        </w:rPr>
      </w:pPr>
    </w:p>
    <w:p>
      <w:pPr>
        <w:ind w:right="120" w:firstLine="620"/>
        <w:spacing w:after="0" w:line="255" w:lineRule="auto"/>
        <w:rPr>
          <w:sz w:val="20"/>
          <w:szCs w:val="20"/>
          <w:color w:val="auto"/>
        </w:rPr>
      </w:pPr>
      <w:r>
        <w:rPr>
          <w:rFonts w:ascii="Arial" w:cs="Arial" w:eastAsia="Arial" w:hAnsi="Arial"/>
          <w:sz w:val="17"/>
          <w:szCs w:val="17"/>
          <w:color w:val="auto"/>
        </w:rPr>
        <w:t>We have licensed or acquired certain intellectual property rights covering our current product candidates from third parties, including AstraZeneca and Hengrui. We are heavily dependent on our agreements with such third parties for our current product candidates. If, for any reason, one or more of our agreements with such third parties is terminated or we otherwise lose those rights, it could harm our business. Our license and other agreements impose, and any future collaboration agreements or license agreements we enter into are likely to impose various development, commercialization, funding, milestone, royalty, diligence, sublicensing, insurance, patent prosecution and enforcement or other obligations on us. If we breach any such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101" w:lineRule="exact"/>
        <w:rPr>
          <w:sz w:val="20"/>
          <w:szCs w:val="20"/>
          <w:color w:val="auto"/>
        </w:rPr>
      </w:pPr>
    </w:p>
    <w:p>
      <w:pPr>
        <w:ind w:right="480"/>
        <w:spacing w:after="0" w:line="293"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or other intellectual property or the patents of our licensors, which could be expensive and time-consuming.</w:t>
      </w:r>
    </w:p>
    <w:p>
      <w:pPr>
        <w:spacing w:after="0" w:line="98" w:lineRule="exact"/>
        <w:rPr>
          <w:sz w:val="20"/>
          <w:szCs w:val="20"/>
          <w:color w:val="auto"/>
        </w:rPr>
      </w:pPr>
    </w:p>
    <w:p>
      <w:pPr>
        <w:ind w:right="140" w:firstLine="620"/>
        <w:spacing w:after="0" w:line="256" w:lineRule="auto"/>
        <w:rPr>
          <w:sz w:val="20"/>
          <w:szCs w:val="20"/>
          <w:color w:val="auto"/>
        </w:rPr>
      </w:pPr>
      <w:r>
        <w:rPr>
          <w:rFonts w:ascii="Arial" w:cs="Arial" w:eastAsia="Arial" w:hAnsi="Arial"/>
          <w:sz w:val="17"/>
          <w:szCs w:val="17"/>
          <w:color w:val="auto"/>
        </w:rPr>
        <w:t>Competitors may infringe our intellectual property, including our patents or the patents of our licensors. As a result, we may be required to file infringement claims or inform and cooperate with our licensors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128" w:lineRule="exact"/>
        <w:rPr>
          <w:sz w:val="20"/>
          <w:szCs w:val="20"/>
          <w:color w:val="auto"/>
        </w:rPr>
      </w:pPr>
    </w:p>
    <w:p>
      <w:pPr>
        <w:ind w:right="280" w:firstLine="620"/>
        <w:spacing w:after="0" w:line="257" w:lineRule="auto"/>
        <w:rPr>
          <w:sz w:val="20"/>
          <w:szCs w:val="20"/>
          <w:color w:val="auto"/>
        </w:rPr>
      </w:pPr>
      <w:r>
        <w:rPr>
          <w:rFonts w:ascii="Arial" w:cs="Arial" w:eastAsia="Arial" w:hAnsi="Arial"/>
          <w:sz w:val="17"/>
          <w:szCs w:val="17"/>
          <w:color w:val="auto"/>
        </w:rPr>
        <w:t>Interference, derivation, or other proceedings brought at the USPTO may be necessary to determine the priority or patentability of inventions with respect to our patent applications or those of our licensors or potential partners. Litigation or USPTO proceedings brought by us may fail or may be invoked against us by third parties. Even if we are successful, domestic or foreign litigation or USPTO or foreign patent office proceedings may result in substantial costs. We may not be able, alone or with our licensors or potential partners, to prevent misappropriation of our proprietary rights, particularly in countries where the laws may not protect such rights as fully as in the United States.</w:t>
      </w:r>
    </w:p>
    <w:p>
      <w:pPr>
        <w:spacing w:after="0" w:line="116" w:lineRule="exact"/>
        <w:rPr>
          <w:sz w:val="20"/>
          <w:szCs w:val="20"/>
          <w:color w:val="auto"/>
        </w:rPr>
      </w:pPr>
    </w:p>
    <w:p>
      <w:pPr>
        <w:ind w:right="60" w:firstLine="620"/>
        <w:spacing w:after="0" w:line="257"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right="520"/>
        <w:spacing w:after="0" w:line="293" w:lineRule="auto"/>
        <w:rPr>
          <w:sz w:val="20"/>
          <w:szCs w:val="20"/>
          <w:color w:val="auto"/>
        </w:rPr>
      </w:pPr>
      <w:r>
        <w:rPr>
          <w:rFonts w:ascii="Arial" w:cs="Arial" w:eastAsia="Arial" w:hAnsi="Arial"/>
          <w:sz w:val="17"/>
          <w:szCs w:val="17"/>
          <w:b w:val="1"/>
          <w:bCs w:val="1"/>
          <w:i w:val="1"/>
          <w:iCs w:val="1"/>
          <w:color w:val="auto"/>
        </w:rPr>
        <w:t>Third-party claims or litigation alleging infringement of patents or other proprietary rights, or seeking to invalidate patents or other proprietary rights, may delay or prevent the development and commercialization of any of our product candidates.</w:t>
      </w:r>
    </w:p>
    <w:p>
      <w:pPr>
        <w:spacing w:after="0" w:line="85"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Our commercial success depends in part on our and our licensors avoiding infringement and other violations of the patents and proprietary rights of third parties. However, our research, development, and commercialization activities may be subject to claims that we infringe or otherwise violate patents or other intellectual property rights owned or controlled by third parties.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Numerous United States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w:t>
      </w:r>
    </w:p>
    <w:p>
      <w:pPr>
        <w:spacing w:after="0" w:line="132" w:lineRule="exact"/>
        <w:rPr>
          <w:sz w:val="20"/>
          <w:szCs w:val="20"/>
          <w:color w:val="auto"/>
        </w:rPr>
      </w:pPr>
    </w:p>
    <w:p>
      <w:pPr>
        <w:ind w:right="80" w:firstLine="620"/>
        <w:spacing w:after="0" w:line="255" w:lineRule="auto"/>
        <w:rPr>
          <w:sz w:val="20"/>
          <w:szCs w:val="20"/>
          <w:color w:val="auto"/>
        </w:rPr>
      </w:pPr>
      <w:r>
        <w:rPr>
          <w:rFonts w:ascii="Arial" w:cs="Arial" w:eastAsia="Arial" w:hAnsi="Arial"/>
          <w:sz w:val="17"/>
          <w:szCs w:val="17"/>
          <w:color w:val="auto"/>
        </w:rPr>
        <w:t>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was to be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30" w:lineRule="exact"/>
        <w:rPr>
          <w:sz w:val="20"/>
          <w:szCs w:val="20"/>
          <w:color w:val="auto"/>
        </w:rPr>
      </w:pPr>
    </w:p>
    <w:p>
      <w:pPr>
        <w:ind w:right="20" w:firstLine="620"/>
        <w:spacing w:after="0" w:line="25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Claims that we have misappropriated the confidential information or trade secrets of third parties could have a similar negative impact on our business.</w:t>
      </w:r>
    </w:p>
    <w:p>
      <w:pPr>
        <w:spacing w:after="0" w:line="119" w:lineRule="exact"/>
        <w:rPr>
          <w:sz w:val="20"/>
          <w:szCs w:val="20"/>
          <w:color w:val="auto"/>
        </w:rPr>
      </w:pPr>
    </w:p>
    <w:p>
      <w:pPr>
        <w:ind w:right="180" w:firstLine="620"/>
        <w:spacing w:after="0" w:line="257" w:lineRule="auto"/>
        <w:rPr>
          <w:sz w:val="20"/>
          <w:szCs w:val="20"/>
          <w:color w:val="auto"/>
        </w:rPr>
      </w:pPr>
      <w:r>
        <w:rPr>
          <w:rFonts w:ascii="Arial" w:cs="Arial" w:eastAsia="Arial" w:hAnsi="Arial"/>
          <w:sz w:val="17"/>
          <w:szCs w:val="17"/>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adversely impact our ability to raise additional funds or otherwise harm our business, results of operation, financial condition, or cash flows.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4" w:name="page75"/>
    <w:bookmarkEnd w:id="7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 If securities analysts or investors perceive these results to be negative, it could adversely impact the price of our common shares. The occurrence of any of these events may harm our business, results of operation, financial condition, or cash flows.</w:t>
      </w:r>
    </w:p>
    <w:p>
      <w:pPr>
        <w:spacing w:after="0" w:line="116" w:lineRule="exact"/>
        <w:rPr>
          <w:sz w:val="20"/>
          <w:szCs w:val="20"/>
          <w:color w:val="auto"/>
        </w:rPr>
      </w:pPr>
    </w:p>
    <w:p>
      <w:pPr>
        <w:ind w:right="160" w:firstLine="620"/>
        <w:spacing w:after="0" w:line="261" w:lineRule="auto"/>
        <w:rPr>
          <w:sz w:val="20"/>
          <w:szCs w:val="20"/>
          <w:color w:val="auto"/>
        </w:rPr>
      </w:pPr>
      <w:r>
        <w:rPr>
          <w:rFonts w:ascii="Arial" w:cs="Arial" w:eastAsia="Arial" w:hAnsi="Arial"/>
          <w:sz w:val="17"/>
          <w:szCs w:val="17"/>
          <w:color w:val="auto"/>
        </w:rPr>
        <w:t>We cannot provide any assurances that third-party patents do not exist which might be enforced against our drugs or product candidates, resulting in either an injunction prohibiting our sales, or, with respect to our sales, an obligation on our part to pay royalties or other forms of compensation to third parties.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Government Regulation</w:t>
      </w:r>
    </w:p>
    <w:p>
      <w:pPr>
        <w:spacing w:after="0" w:line="15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Even if we receive regulatory approval of our product candidates, we will be subject to extensive and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02"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Any regulatory approvals or other marketing authorizations we obtain for our product candidates may be subject to limitations on the indicated uses for which the product may be marketed or the conditions of approval or marketing authorization, or contain requirements for potentially costly post-market testing and surveillance to monitor the safety and efficacy of the product candidate. The FDA may also require a REMS as a condition of approval of our drug product candidates, such as roflumilast cream, roflumilast foam, ARQ-252, and ARQ-255, which could include requirements for a medication guide, physician communication plans, or additional elements to assure safe use, such as restricted distribution methods, patient registries, and other risk minimization tools. In addition, if the FDA or a comparable foreign regulatory authority authorizes our product candidates for marketing,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31" w:lineRule="exact"/>
        <w:rPr>
          <w:sz w:val="20"/>
          <w:szCs w:val="20"/>
          <w:color w:val="auto"/>
        </w:rPr>
      </w:pPr>
    </w:p>
    <w:p>
      <w:pPr>
        <w:ind w:left="780" w:right="500" w:hanging="156"/>
        <w:spacing w:after="0" w:line="269" w:lineRule="auto"/>
        <w:tabs>
          <w:tab w:leader="none" w:pos="776"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our product candidates, withdrawal of the product from the market, or voluntary or mandatory product recalls;</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fines, warning, or untitled letters or holds on clinical trials;</w:t>
      </w:r>
    </w:p>
    <w:p>
      <w:pPr>
        <w:spacing w:after="0" w:line="140" w:lineRule="exact"/>
        <w:rPr>
          <w:rFonts w:ascii="Arial" w:cs="Arial" w:eastAsia="Arial" w:hAnsi="Arial"/>
          <w:sz w:val="17"/>
          <w:szCs w:val="17"/>
          <w:color w:val="auto"/>
        </w:rPr>
      </w:pPr>
    </w:p>
    <w:p>
      <w:pPr>
        <w:ind w:left="780" w:right="580" w:hanging="156"/>
        <w:spacing w:after="0" w:line="269" w:lineRule="auto"/>
        <w:tabs>
          <w:tab w:leader="none" w:pos="776"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refusal by the FDA to accept new marketing applications or supplements, approve or otherwise authorize for marketing pending applications or supplements to applications filed by us or suspension or revocation of approvals or other marketing authorizations;</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our product candidates; and</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40" w:lineRule="exact"/>
        <w:rPr>
          <w:sz w:val="20"/>
          <w:szCs w:val="20"/>
          <w:color w:val="auto"/>
        </w:rPr>
      </w:pPr>
    </w:p>
    <w:p>
      <w:pPr>
        <w:ind w:right="140" w:firstLine="620"/>
        <w:spacing w:after="0" w:line="258"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be subject to enforcement action, which would adversely affect our business, prospects, financial condition, and results of operations.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02" w:lineRule="exact"/>
        <w:rPr>
          <w:sz w:val="20"/>
          <w:szCs w:val="20"/>
          <w:color w:val="auto"/>
        </w:rPr>
      </w:pPr>
    </w:p>
    <w:p>
      <w:pPr>
        <w:ind w:right="120" w:firstLine="620"/>
        <w:spacing w:after="0" w:line="258"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spacing w:after="0" w:line="129" w:lineRule="exact"/>
        <w:rPr>
          <w:sz w:val="20"/>
          <w:szCs w:val="20"/>
          <w:color w:val="auto"/>
        </w:rPr>
      </w:pPr>
    </w:p>
    <w:p>
      <w:pPr>
        <w:ind w:right="20" w:firstLine="620"/>
        <w:spacing w:after="0" w:line="257"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29"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w:t>
      </w:r>
    </w:p>
    <w:p>
      <w:pPr>
        <w:spacing w:after="0" w:line="2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December 2021, and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01" w:lineRule="exact"/>
        <w:rPr>
          <w:sz w:val="20"/>
          <w:szCs w:val="20"/>
          <w:color w:val="auto"/>
        </w:rPr>
      </w:pPr>
    </w:p>
    <w:p>
      <w:pPr>
        <w:ind w:right="60"/>
        <w:spacing w:after="0" w:line="293" w:lineRule="auto"/>
        <w:rPr>
          <w:sz w:val="20"/>
          <w:szCs w:val="20"/>
          <w:color w:val="auto"/>
        </w:rPr>
      </w:pPr>
      <w:r>
        <w:rPr>
          <w:rFonts w:ascii="Arial" w:cs="Arial" w:eastAsia="Arial" w:hAnsi="Arial"/>
          <w:sz w:val="17"/>
          <w:szCs w:val="17"/>
          <w:b w:val="1"/>
          <w:bCs w:val="1"/>
          <w:i w:val="1"/>
          <w:iCs w:val="1"/>
          <w:color w:val="auto"/>
        </w:rPr>
        <w:t>We may be subject to healthcare laws and regulations relating to our business, and could face substantial penalties if we are determined not to have fully complied with such laws, which would have an adverse impact on our business.</w:t>
      </w:r>
    </w:p>
    <w:p>
      <w:pPr>
        <w:spacing w:after="0" w:line="98" w:lineRule="exact"/>
        <w:rPr>
          <w:sz w:val="20"/>
          <w:szCs w:val="20"/>
          <w:color w:val="auto"/>
        </w:rPr>
      </w:pPr>
    </w:p>
    <w:p>
      <w:pPr>
        <w:ind w:right="120" w:firstLine="620"/>
        <w:spacing w:after="0" w:line="258" w:lineRule="auto"/>
        <w:rPr>
          <w:sz w:val="20"/>
          <w:szCs w:val="20"/>
          <w:color w:val="auto"/>
        </w:rPr>
      </w:pPr>
      <w:r>
        <w:rPr>
          <w:rFonts w:ascii="Arial" w:cs="Arial" w:eastAsia="Arial" w:hAnsi="Arial"/>
          <w:sz w:val="17"/>
          <w:szCs w:val="17"/>
          <w:color w:val="auto"/>
        </w:rPr>
        <w:t>Our business operations and current and future arrangements with investigators, healthcare professionals, consultants, third-party payors, customers, and patients may expose us to broadly applicable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129" w:lineRule="exact"/>
        <w:rPr>
          <w:sz w:val="20"/>
          <w:szCs w:val="20"/>
          <w:color w:val="auto"/>
        </w:rPr>
      </w:pPr>
    </w:p>
    <w:p>
      <w:pPr>
        <w:ind w:left="780" w:right="100" w:hanging="156"/>
        <w:spacing w:after="0" w:line="257" w:lineRule="auto"/>
        <w:tabs>
          <w:tab w:leader="none" w:pos="77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U.S. healthcare program such as Medicare and Medicaid. A person or entity does not need to have actual knowledge of the U.S. federal Anti-Kickback Statute or specific intent to violate it in order to have committed a violation.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left="780" w:hanging="156"/>
        <w:spacing w:after="0" w:line="256" w:lineRule="auto"/>
        <w:tabs>
          <w:tab w:leader="none" w:pos="776" w:val="left"/>
        </w:tabs>
        <w:numPr>
          <w:ilvl w:val="0"/>
          <w:numId w:val="42"/>
        </w:numPr>
        <w:rPr>
          <w:rFonts w:ascii="Arial" w:cs="Arial" w:eastAsia="Arial" w:hAnsi="Arial"/>
          <w:sz w:val="17"/>
          <w:szCs w:val="17"/>
          <w:color w:val="auto"/>
        </w:rPr>
      </w:pPr>
      <w:r>
        <w:rPr>
          <w:rFonts w:ascii="Arial" w:cs="Arial" w:eastAsia="Arial" w:hAnsi="Arial"/>
          <w:sz w:val="17"/>
          <w:szCs w:val="17"/>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 In addition, the government may assert that a claim including items or services resulting from a violation of the U.S. federal Anti-Kickback Statute constitutes a false or fraudulent claim for purposes of the civil False Claims Act;</w:t>
      </w:r>
    </w:p>
    <w:p>
      <w:pPr>
        <w:spacing w:after="0" w:line="116" w:lineRule="exact"/>
        <w:rPr>
          <w:rFonts w:ascii="Arial" w:cs="Arial" w:eastAsia="Arial" w:hAnsi="Arial"/>
          <w:sz w:val="17"/>
          <w:szCs w:val="17"/>
          <w:color w:val="auto"/>
        </w:rPr>
      </w:pPr>
    </w:p>
    <w:p>
      <w:pPr>
        <w:ind w:left="780" w:hanging="156"/>
        <w:spacing w:after="0" w:line="257" w:lineRule="auto"/>
        <w:tabs>
          <w:tab w:leader="none" w:pos="776" w:val="left"/>
        </w:tabs>
        <w:numPr>
          <w:ilvl w:val="0"/>
          <w:numId w:val="42"/>
        </w:numPr>
        <w:rPr>
          <w:rFonts w:ascii="Arial" w:cs="Arial" w:eastAsia="Arial" w:hAnsi="Arial"/>
          <w:sz w:val="17"/>
          <w:szCs w:val="17"/>
          <w:color w:val="auto"/>
        </w:rPr>
      </w:pPr>
      <w:r>
        <w:rPr>
          <w:rFonts w:ascii="Arial" w:cs="Arial" w:eastAsia="Arial" w:hAnsi="Arial"/>
          <w:sz w:val="17"/>
          <w:szCs w:val="17"/>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29" w:lineRule="exact"/>
        <w:rPr>
          <w:rFonts w:ascii="Arial" w:cs="Arial" w:eastAsia="Arial" w:hAnsi="Arial"/>
          <w:sz w:val="17"/>
          <w:szCs w:val="17"/>
          <w:color w:val="auto"/>
        </w:rPr>
      </w:pPr>
    </w:p>
    <w:p>
      <w:pPr>
        <w:ind w:left="780" w:hanging="156"/>
        <w:spacing w:after="0" w:line="256" w:lineRule="auto"/>
        <w:tabs>
          <w:tab w:leader="none" w:pos="77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the ownership and investment interests held by such physicians and their immediate family members;</w:t>
      </w:r>
    </w:p>
    <w:p>
      <w:pPr>
        <w:spacing w:after="0" w:line="131" w:lineRule="exact"/>
        <w:rPr>
          <w:rFonts w:ascii="Arial" w:cs="Arial" w:eastAsia="Arial" w:hAnsi="Arial"/>
          <w:sz w:val="17"/>
          <w:szCs w:val="17"/>
          <w:color w:val="auto"/>
        </w:rPr>
      </w:pPr>
    </w:p>
    <w:p>
      <w:pPr>
        <w:ind w:left="780" w:hanging="156"/>
        <w:spacing w:after="0" w:line="258" w:lineRule="auto"/>
        <w:tabs>
          <w:tab w:leader="none" w:pos="77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115" w:lineRule="exact"/>
        <w:rPr>
          <w:rFonts w:ascii="Arial" w:cs="Arial" w:eastAsia="Arial" w:hAnsi="Arial"/>
          <w:sz w:val="17"/>
          <w:szCs w:val="17"/>
          <w:color w:val="auto"/>
        </w:rPr>
      </w:pPr>
    </w:p>
    <w:p>
      <w:pPr>
        <w:ind w:left="780" w:right="40" w:hanging="156"/>
        <w:spacing w:after="0" w:line="269" w:lineRule="auto"/>
        <w:tabs>
          <w:tab w:leader="none" w:pos="776" w:val="left"/>
        </w:tabs>
        <w:numPr>
          <w:ilvl w:val="0"/>
          <w:numId w:val="42"/>
        </w:numPr>
        <w:rPr>
          <w:rFonts w:ascii="Arial" w:cs="Arial" w:eastAsia="Arial" w:hAnsi="Arial"/>
          <w:sz w:val="17"/>
          <w:szCs w:val="17"/>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 and</w:t>
      </w:r>
    </w:p>
    <w:p>
      <w:pPr>
        <w:spacing w:after="0" w:line="117" w:lineRule="exact"/>
        <w:rPr>
          <w:rFonts w:ascii="Arial" w:cs="Arial" w:eastAsia="Arial" w:hAnsi="Arial"/>
          <w:sz w:val="17"/>
          <w:szCs w:val="17"/>
          <w:color w:val="auto"/>
        </w:rPr>
      </w:pPr>
    </w:p>
    <w:p>
      <w:pPr>
        <w:ind w:left="780" w:right="40" w:hanging="156"/>
        <w:spacing w:after="0" w:line="256" w:lineRule="auto"/>
        <w:tabs>
          <w:tab w:leader="none" w:pos="776"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pharmaceutical and device companies to comply with the industry’s voluntary compliance guidelines and the relevant compliance guidance promulgated by the U.S. government, or otherwise restrict payments that may be made to healthcare providers and other potential referral sources; and state laws and regulations that require manufacturers to report information related to payments and other transfers of value to physicians and other healthcare providers or marketing expenditures and pricing information.</w:t>
      </w:r>
    </w:p>
    <w:p>
      <w:pPr>
        <w:spacing w:after="0" w:line="130"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may conclude that our business practices, including our consulting arrangements with and/or ownership interests by physicians and other healthcare providers,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U.S. healthcare programs, contractual damages, reputational harm, diminished profits and future earnings, and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adversely affect our ability to operate our business and our results of operations.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right="260"/>
        <w:spacing w:after="0" w:line="293" w:lineRule="auto"/>
        <w:rPr>
          <w:sz w:val="20"/>
          <w:szCs w:val="20"/>
          <w:color w:val="auto"/>
        </w:rPr>
      </w:pPr>
      <w:r>
        <w:rPr>
          <w:rFonts w:ascii="Arial" w:cs="Arial" w:eastAsia="Arial" w:hAnsi="Arial"/>
          <w:sz w:val="17"/>
          <w:szCs w:val="17"/>
          <w:b w:val="1"/>
          <w:bCs w:val="1"/>
          <w:i w:val="1"/>
          <w:iCs w:val="1"/>
          <w:color w:val="auto"/>
        </w:rPr>
        <w:t>We have conducted and may in the future conduct clinical trials for our product candidates outside the United States and the FDA and applicable foreign regulatory authorities may not accept data from such trials.</w:t>
      </w:r>
    </w:p>
    <w:p>
      <w:pPr>
        <w:spacing w:after="0" w:line="85" w:lineRule="exact"/>
        <w:rPr>
          <w:sz w:val="20"/>
          <w:szCs w:val="20"/>
          <w:color w:val="auto"/>
        </w:rPr>
      </w:pPr>
    </w:p>
    <w:p>
      <w:pPr>
        <w:ind w:right="20" w:firstLine="620"/>
        <w:spacing w:after="0" w:line="254" w:lineRule="auto"/>
        <w:rPr>
          <w:sz w:val="20"/>
          <w:szCs w:val="20"/>
          <w:color w:val="auto"/>
        </w:rPr>
      </w:pPr>
      <w:r>
        <w:rPr>
          <w:rFonts w:ascii="Arial" w:cs="Arial" w:eastAsia="Arial" w:hAnsi="Arial"/>
          <w:sz w:val="17"/>
          <w:szCs w:val="17"/>
          <w:color w:val="auto"/>
        </w:rPr>
        <w:t>We have conducted and may in the future choose to conduct one or more of our clinical trials outside the United States, including in Canada and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20"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98" w:lineRule="exact"/>
        <w:rPr>
          <w:sz w:val="20"/>
          <w:szCs w:val="20"/>
          <w:color w:val="auto"/>
        </w:rPr>
      </w:pPr>
    </w:p>
    <w:p>
      <w:pPr>
        <w:ind w:right="60" w:firstLine="620"/>
        <w:spacing w:after="0" w:line="258" w:lineRule="auto"/>
        <w:rPr>
          <w:sz w:val="20"/>
          <w:szCs w:val="20"/>
          <w:color w:val="auto"/>
        </w:rPr>
      </w:pPr>
      <w:r>
        <w:rPr>
          <w:rFonts w:ascii="Arial" w:cs="Arial" w:eastAsia="Arial" w:hAnsi="Arial"/>
          <w:sz w:val="17"/>
          <w:szCs w:val="17"/>
          <w:color w:val="auto"/>
        </w:rPr>
        <w:t>In the United States and some non-U.S.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16"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For example, in March 2010, the Patient Protection and ACA, as amended by the Health Care and Education Reconciliation Act, collectively the ACA, was enacted in the United States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law has continued the downward pressure on the pricing of medical items and services, especially under the Medicare program, and increased the industry’s regulatory burdens and operating costs. Among the provisions of the ACA of importance to our potential product candidates are the following:</w:t>
      </w:r>
    </w:p>
    <w:p>
      <w:pPr>
        <w:spacing w:after="0" w:line="132" w:lineRule="exact"/>
        <w:rPr>
          <w:sz w:val="20"/>
          <w:szCs w:val="20"/>
          <w:color w:val="auto"/>
        </w:rPr>
      </w:pPr>
    </w:p>
    <w:p>
      <w:pPr>
        <w:ind w:left="780" w:right="560" w:hanging="156"/>
        <w:spacing w:after="0" w:line="269" w:lineRule="auto"/>
        <w:tabs>
          <w:tab w:leader="none" w:pos="776"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annual, nondeductible fee payable by any entity that manufactures or imports specified branded prescription drugs and biologic agents;</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w:t>
      </w:r>
    </w:p>
    <w:p>
      <w:pPr>
        <w:spacing w:after="0" w:line="140" w:lineRule="exact"/>
        <w:rPr>
          <w:rFonts w:ascii="Arial" w:cs="Arial" w:eastAsia="Arial" w:hAnsi="Arial"/>
          <w:sz w:val="17"/>
          <w:szCs w:val="17"/>
          <w:color w:val="auto"/>
        </w:rPr>
      </w:pPr>
    </w:p>
    <w:p>
      <w:pPr>
        <w:ind w:left="780" w:right="60" w:hanging="156"/>
        <w:spacing w:after="0" w:line="269" w:lineRule="auto"/>
        <w:tabs>
          <w:tab w:leader="none" w:pos="776"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spacing w:after="0" w:line="117" w:lineRule="exact"/>
        <w:rPr>
          <w:rFonts w:ascii="Arial" w:cs="Arial" w:eastAsia="Arial" w:hAnsi="Arial"/>
          <w:sz w:val="17"/>
          <w:szCs w:val="17"/>
          <w:color w:val="auto"/>
        </w:rPr>
      </w:pPr>
    </w:p>
    <w:p>
      <w:pPr>
        <w:ind w:left="780" w:right="480" w:hanging="156"/>
        <w:spacing w:after="0" w:line="261" w:lineRule="auto"/>
        <w:tabs>
          <w:tab w:leader="none" w:pos="776"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24" w:lineRule="exact"/>
        <w:rPr>
          <w:rFonts w:ascii="Arial" w:cs="Arial" w:eastAsia="Arial" w:hAnsi="Arial"/>
          <w:sz w:val="17"/>
          <w:szCs w:val="17"/>
          <w:color w:val="auto"/>
        </w:rPr>
      </w:pPr>
    </w:p>
    <w:p>
      <w:pPr>
        <w:ind w:left="780" w:hanging="156"/>
        <w:spacing w:after="0"/>
        <w:tabs>
          <w:tab w:leader="none" w:pos="7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extension of manufacturers’ Medicaid rebate liability to individuals enrolled in Medicaid managed care organizations;</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in certain states;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left="780" w:hanging="156"/>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manufacturers and distributors provide to physicians;</w:t>
      </w:r>
    </w:p>
    <w:p>
      <w:pPr>
        <w:spacing w:after="0" w:line="153" w:lineRule="exact"/>
        <w:rPr>
          <w:rFonts w:ascii="Arial" w:cs="Arial" w:eastAsia="Arial" w:hAnsi="Arial"/>
          <w:sz w:val="17"/>
          <w:szCs w:val="17"/>
          <w:color w:val="auto"/>
        </w:rPr>
      </w:pPr>
    </w:p>
    <w:p>
      <w:pPr>
        <w:ind w:left="780" w:right="360" w:hanging="156"/>
        <w:spacing w:after="0" w:line="269" w:lineRule="auto"/>
        <w:tabs>
          <w:tab w:leader="none" w:pos="776"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 and</w:t>
      </w:r>
    </w:p>
    <w:p>
      <w:pPr>
        <w:spacing w:after="0" w:line="117" w:lineRule="exact"/>
        <w:rPr>
          <w:rFonts w:ascii="Arial" w:cs="Arial" w:eastAsia="Arial" w:hAnsi="Arial"/>
          <w:sz w:val="17"/>
          <w:szCs w:val="17"/>
          <w:color w:val="auto"/>
        </w:rPr>
      </w:pPr>
    </w:p>
    <w:p>
      <w:pPr>
        <w:ind w:left="780" w:right="640" w:hanging="156"/>
        <w:spacing w:after="0" w:line="269" w:lineRule="auto"/>
        <w:tabs>
          <w:tab w:leader="none" w:pos="776"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independent payment advisory board that will submit recommendations to Congress to reduce Medicare spending if projected Medicare spending exceeds a specified growth rate.</w:t>
      </w:r>
    </w:p>
    <w:p>
      <w:pPr>
        <w:spacing w:after="0" w:line="104" w:lineRule="exact"/>
        <w:rPr>
          <w:sz w:val="20"/>
          <w:szCs w:val="20"/>
          <w:color w:val="auto"/>
        </w:rPr>
      </w:pPr>
    </w:p>
    <w:p>
      <w:pPr>
        <w:ind w:right="120" w:firstLine="620"/>
        <w:spacing w:after="0" w:line="256"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28"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 the Budget Control Act of 2011, which, among other things, resulted in reductions to Medicare payments to providers of 2% per fiscal year and will remain in effect through 2030, with the exception of a temporary suspension from May 1, 2020 through March 31, 2022; the American Taxpayer Relief Act of 2012, which, among other things, further reduced Medicare payments to several types of providers and increased the statute of limitations period for the government to recover overpayments to providers from three to five years; and the Medicare Access and CHIP Reauthorization Act of 2015, which, among other things, ended the use of the sustainable growth rate formula and provides for a 0.5% update to physician payment rates for each calendar year through 2019, after which there will be a 0% annual update each year through 2025. More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w:t>
      </w:r>
    </w:p>
    <w:p>
      <w:pPr>
        <w:spacing w:after="0" w:line="132" w:lineRule="exact"/>
        <w:rPr>
          <w:sz w:val="20"/>
          <w:szCs w:val="20"/>
          <w:color w:val="auto"/>
        </w:rPr>
      </w:pPr>
    </w:p>
    <w:p>
      <w:pPr>
        <w:ind w:right="160" w:firstLine="620"/>
        <w:spacing w:after="0" w:line="257" w:lineRule="auto"/>
        <w:rPr>
          <w:sz w:val="20"/>
          <w:szCs w:val="20"/>
          <w:color w:val="auto"/>
        </w:rPr>
      </w:pPr>
      <w:r>
        <w:rPr>
          <w:rFonts w:ascii="Arial" w:cs="Arial" w:eastAsia="Arial" w:hAnsi="Arial"/>
          <w:sz w:val="17"/>
          <w:szCs w:val="17"/>
          <w:color w:val="auto"/>
        </w:rPr>
        <w:t>Individual states in the United States have also become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to purchase and which suppliers will be included in their prescription drug and other healthcare programs.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We cannot predict the likelihood, nature or extent of government regulation that may arise from future legislation or administrative action, either in the United States or abroad. If we are slow or unable to adapt to new requirements or policies, or if we are not able to maintain regulatory compliance, our product candidates be subject to enforcement action and we may not achieve or sustain profitability, which would adversely affect our business.</w:t>
      </w:r>
    </w:p>
    <w:p>
      <w:pPr>
        <w:spacing w:after="0" w:line="99"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b w:val="1"/>
          <w:bCs w:val="1"/>
          <w:i w:val="1"/>
          <w:iCs w:val="1"/>
          <w:color w:val="auto"/>
        </w:rPr>
        <w:t>If any of our product candidates are approved for marketing and we are found to have improperly promoted off-label uses, or if physicians misuse our products or use our products off-label, we may become subject to prohibitions on the sale or marketing of our products, product liability claims and significant fines, penalties and sanctions, and our brand and reputation could be harmed.</w:t>
      </w:r>
    </w:p>
    <w:p>
      <w:pPr>
        <w:spacing w:after="0" w:line="115" w:lineRule="exact"/>
        <w:rPr>
          <w:sz w:val="20"/>
          <w:szCs w:val="20"/>
          <w:color w:val="auto"/>
        </w:rPr>
      </w:pPr>
    </w:p>
    <w:p>
      <w:pPr>
        <w:ind w:firstLine="620"/>
        <w:spacing w:after="0" w:line="254" w:lineRule="auto"/>
        <w:rPr>
          <w:sz w:val="20"/>
          <w:szCs w:val="20"/>
          <w:color w:val="auto"/>
        </w:rPr>
      </w:pPr>
      <w:r>
        <w:rPr>
          <w:rFonts w:ascii="Arial" w:cs="Arial" w:eastAsia="Arial" w:hAnsi="Arial"/>
          <w:sz w:val="17"/>
          <w:szCs w:val="17"/>
          <w:color w:val="auto"/>
        </w:rPr>
        <w:t>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In addition, although we believe our product candidates may exhibit a lower risk of side effects or more favorable tolerability profile or better symptomatic improvement than other products for the indications we are studying, without head-to-head data, we will be unable to make comparative claims for our product candidates, if approved. If we receive regulatory approval for any of our products and are found to have promoted any of our products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w:t>
      </w:r>
    </w:p>
    <w:p>
      <w:pPr>
        <w:spacing w:after="0" w:line="347"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We cannot, however, prevent a physician from using our product candidates in ways that fall outside the scope of the approved indications, as he or she may deem appropriate in his or her medical judgment. Physicians may also misuse our product candidates or use improper techniques, which may lead to adverse results, side effects or injury and, potentially, subsequent product liability claims. Furthermore, the use of our product candidates for indications other than those approved by the FDA and/or other regulatory authorities may not effectively treat such conditions, which could harm our brand and reputation among both physicians and patients.</w:t>
      </w:r>
    </w:p>
    <w:p>
      <w:pPr>
        <w:spacing w:after="0" w:line="96" w:lineRule="exact"/>
        <w:rPr>
          <w:sz w:val="20"/>
          <w:szCs w:val="20"/>
          <w:color w:val="auto"/>
        </w:rPr>
      </w:pPr>
    </w:p>
    <w:p>
      <w:pPr>
        <w:ind w:right="580"/>
        <w:spacing w:after="0" w:line="293" w:lineRule="auto"/>
        <w:rPr>
          <w:sz w:val="20"/>
          <w:szCs w:val="20"/>
          <w:color w:val="auto"/>
        </w:rPr>
      </w:pPr>
      <w:r>
        <w:rPr>
          <w:rFonts w:ascii="Arial" w:cs="Arial" w:eastAsia="Arial" w:hAnsi="Arial"/>
          <w:sz w:val="17"/>
          <w:szCs w:val="17"/>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98" w:lineRule="exact"/>
        <w:rPr>
          <w:sz w:val="20"/>
          <w:szCs w:val="20"/>
          <w:color w:val="auto"/>
        </w:rPr>
      </w:pPr>
    </w:p>
    <w:p>
      <w:pPr>
        <w:jc w:val="both"/>
        <w:ind w:right="100" w:firstLine="620"/>
        <w:spacing w:after="0" w:line="253"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w:t>
      </w:r>
    </w:p>
    <w:p>
      <w:pPr>
        <w:spacing w:after="0" w:line="4"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 As our operations and business grow, we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may become subject to or affected by new or additional data protection laws and regulations and face increased scrutiny or attention from regulatory authorities. In the United States,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(CCPA) on June 28, 2018,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27"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Common Stock</w:t>
      </w:r>
    </w:p>
    <w:p>
      <w:pPr>
        <w:spacing w:after="0" w:line="15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w:t>
      </w:r>
    </w:p>
    <w:p>
      <w:pPr>
        <w:spacing w:after="0" w:line="102"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We expect that significant additional capital will be needed in the future to continue our planned operations. Until such time, if ever, that we can generate substantial product revenue, we expect to finance our cash needs through a combination of equity offerings, debt financings, strategic alliances and license and development agreements or other collaborations. To the extent that we raise additional capital by issuing equity securities, our existing shareholders’ ownership may experience substantial dilution, and the terms of these securities may include liquidation or other preferences that could harm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 For example, our current Loan Agreement prohibits us from incurring certain additional indebtedness without the consent of our lender and restricts out ability to pay dividends.</w:t>
      </w:r>
    </w:p>
    <w:p>
      <w:pPr>
        <w:spacing w:after="0" w:line="128" w:lineRule="exact"/>
        <w:rPr>
          <w:sz w:val="20"/>
          <w:szCs w:val="20"/>
          <w:color w:val="auto"/>
        </w:rPr>
      </w:pPr>
    </w:p>
    <w:p>
      <w:pPr>
        <w:ind w:right="60" w:firstLine="620"/>
        <w:spacing w:after="0" w:line="257"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29"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On May 6, 2021, we entered into a sales agreement, or Sales Agreement, with Cowen and Company, LLC, or Cowen, to sell shares of our common stock, from time to time, with aggregate gross sales proceeds of up to $100.0 million, through an ATM equity offering program under which Cowen will act as our sales agent. During the year ended December 31, 2021, we did not issue or sell any shares of our common stock through our ATM program. If we issue common stock or securities convertible into common stock, our common stockholders would experience additional dilution and, as a result, our stock price may decline.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60" w:lineRule="exact"/>
        <w:rPr>
          <w:sz w:val="20"/>
          <w:szCs w:val="20"/>
          <w:color w:val="auto"/>
        </w:rPr>
      </w:pPr>
    </w:p>
    <w:p>
      <w:pPr>
        <w:ind w:right="20" w:firstLine="620"/>
        <w:spacing w:after="0" w:line="255"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approximately 10.6 million shares of our common stock have rights, subject to certain conditions, to require us to file registration statements covering their shares or to include their shares in registration statements that we may file for ourselves or other stockholders. We have registered and intend to continue to register all shares of common stock that we may issue under our equity compensation plans. In December 2021, our board of directors approved an employment inducement incentive plan with 1,250,000 shares of common stock available for issuance pursuant to a variety of stock-based compensation awards, including stock options, stock appreciation rights, restricted stock awards, RSU awards, and other stock-based awards. We plan to register all of the shares under the employment inducement incentive plan. Once we register the shares described in the paragraph above, such shares can be freely sold in the public market upon issuance, subject to volume limitations applicable to affiliates.</w:t>
      </w:r>
    </w:p>
    <w:p>
      <w:pPr>
        <w:spacing w:after="0" w:line="340" w:lineRule="exact"/>
        <w:rPr>
          <w:sz w:val="20"/>
          <w:szCs w:val="20"/>
          <w:color w:val="auto"/>
        </w:rPr>
      </w:pPr>
    </w:p>
    <w:p>
      <w:pPr>
        <w:ind w:right="60" w:firstLine="620"/>
        <w:spacing w:after="0" w:line="258"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w:t>
      </w:r>
    </w:p>
    <w:p>
      <w:pPr>
        <w:spacing w:after="0" w:line="129"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96" w:lineRule="exact"/>
        <w:rPr>
          <w:sz w:val="20"/>
          <w:szCs w:val="20"/>
          <w:color w:val="auto"/>
        </w:rPr>
      </w:pPr>
    </w:p>
    <w:p>
      <w:pPr>
        <w:ind w:right="580"/>
        <w:spacing w:after="0" w:line="293" w:lineRule="auto"/>
        <w:rPr>
          <w:sz w:val="20"/>
          <w:szCs w:val="20"/>
          <w:color w:val="auto"/>
        </w:rPr>
      </w:pPr>
      <w:r>
        <w:rPr>
          <w:rFonts w:ascii="Arial" w:cs="Arial" w:eastAsia="Arial" w:hAnsi="Arial"/>
          <w:sz w:val="17"/>
          <w:szCs w:val="17"/>
          <w:b w:val="1"/>
          <w:bCs w:val="1"/>
          <w:i w:val="1"/>
          <w:iCs w:val="1"/>
          <w:color w:val="auto"/>
        </w:rPr>
        <w:t>Our ability to utilize our Net Operating Loss carryforwards and research and development income tax credit carryforwards may be limited.</w:t>
      </w:r>
    </w:p>
    <w:p>
      <w:pPr>
        <w:spacing w:after="0" w:line="98" w:lineRule="exact"/>
        <w:rPr>
          <w:sz w:val="20"/>
          <w:szCs w:val="20"/>
          <w:color w:val="auto"/>
        </w:rPr>
      </w:pPr>
    </w:p>
    <w:p>
      <w:pPr>
        <w:ind w:right="120" w:firstLine="620"/>
        <w:spacing w:after="0" w:line="256" w:lineRule="auto"/>
        <w:rPr>
          <w:sz w:val="20"/>
          <w:szCs w:val="20"/>
          <w:color w:val="auto"/>
        </w:rPr>
      </w:pPr>
      <w:r>
        <w:rPr>
          <w:rFonts w:ascii="Arial" w:cs="Arial" w:eastAsia="Arial" w:hAnsi="Arial"/>
          <w:sz w:val="17"/>
          <w:szCs w:val="17"/>
          <w:color w:val="auto"/>
        </w:rPr>
        <w:t>As of December 31, 2021, we had net operating loss (NOL) carryforwards available to reduce future taxable income, if any, for federal, California and other state income tax purposes of approximately $361.3 million, $360.1 and $5.3 million, respectively. If not utilized, state NOL carryforwards will expire beginning in 2030. Of the federal NOL, $3.5 million originated before the 2018 tax year and will expire beginning in 2036. Under the Tax Act and Jobs Act of 2017, the remaining $357.8 million of federal NOL carryforwards generated after December 31, 2017 will carryforward indefinitely. As of December 31, 2020, we had federal and California research and development tax credit carryforwards of $10.8 million and $2.4 million, respectively. If not utilized, the federal research and development tax credit carryforwards will begin to expire in 2036. The California research and development tax credit carryforwards are available indefinitely.</w:t>
      </w:r>
    </w:p>
    <w:p>
      <w:pPr>
        <w:spacing w:after="0" w:line="130" w:lineRule="exact"/>
        <w:rPr>
          <w:sz w:val="20"/>
          <w:szCs w:val="20"/>
          <w:color w:val="auto"/>
        </w:rPr>
      </w:pPr>
    </w:p>
    <w:p>
      <w:pPr>
        <w:ind w:right="120" w:firstLine="620"/>
        <w:spacing w:after="0" w:line="255" w:lineRule="auto"/>
        <w:rPr>
          <w:sz w:val="20"/>
          <w:szCs w:val="20"/>
          <w:color w:val="auto"/>
        </w:rPr>
      </w:pPr>
      <w:r>
        <w:rPr>
          <w:rFonts w:ascii="Arial" w:cs="Arial" w:eastAsia="Arial" w:hAnsi="Arial"/>
          <w:sz w:val="17"/>
          <w:szCs w:val="17"/>
          <w:color w:val="auto"/>
        </w:rPr>
        <w:t>Under Section 382 and 383 of the Internal Revenue Code of 1986, as amended, if a corporation undergoes an “ownership change,” generally defined as a greater than 50% change (by value) in its equity ownership by certain stockholders over a three year period, the corporation’s ability to use its pre-change NOL carryforwards and other pre-change tax attributes (such as research tax credits) to offset its post-change income or taxes may be limited. A formal study has not been completed to determine if a change in ownership, as defined by Section 382, has occurred. We believe that we may undergo an “ownership change” limitation as a result of our IPO (some of which shifts are outside of our control). We may also experience additional ownership changes in the future as a result of subsequent shifts in our stock ownership.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2" w:name="page83"/>
    <w:bookmarkEnd w:id="8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02" w:lineRule="exact"/>
        <w:rPr>
          <w:sz w:val="20"/>
          <w:szCs w:val="20"/>
          <w:color w:val="auto"/>
        </w:rPr>
      </w:pPr>
    </w:p>
    <w:p>
      <w:pPr>
        <w:ind w:firstLine="620"/>
        <w:spacing w:after="0" w:line="269" w:lineRule="auto"/>
        <w:rPr>
          <w:sz w:val="20"/>
          <w:szCs w:val="20"/>
          <w:color w:val="auto"/>
        </w:rPr>
      </w:pPr>
      <w:r>
        <w:rPr>
          <w:rFonts w:ascii="Arial" w:cs="Arial" w:eastAsia="Arial" w:hAnsi="Arial"/>
          <w:sz w:val="17"/>
          <w:szCs w:val="17"/>
          <w:color w:val="auto"/>
        </w:rPr>
        <w:t>Our restated certificate of incorporation and restated bylaws contain provisions that could delay or prevent changes in control or changes in our management without the consent of our board of directors. These provisions include the following:</w:t>
      </w:r>
    </w:p>
    <w:p>
      <w:pPr>
        <w:spacing w:after="0" w:line="117" w:lineRule="exact"/>
        <w:rPr>
          <w:sz w:val="20"/>
          <w:szCs w:val="20"/>
          <w:color w:val="auto"/>
        </w:rPr>
      </w:pPr>
    </w:p>
    <w:p>
      <w:pPr>
        <w:ind w:left="780" w:right="100" w:hanging="156"/>
        <w:spacing w:after="0" w:line="269" w:lineRule="auto"/>
        <w:tabs>
          <w:tab w:leader="none" w:pos="776"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classified board of directors with three year staggered terms, which may delay the ability of stockholders to change the membership of a majority of our board of directors;</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140" w:lineRule="exact"/>
        <w:rPr>
          <w:rFonts w:ascii="Arial" w:cs="Arial" w:eastAsia="Arial" w:hAnsi="Arial"/>
          <w:sz w:val="17"/>
          <w:szCs w:val="17"/>
          <w:color w:val="auto"/>
        </w:rPr>
      </w:pPr>
    </w:p>
    <w:p>
      <w:pPr>
        <w:ind w:left="780" w:right="280" w:hanging="156"/>
        <w:spacing w:after="0" w:line="269" w:lineRule="auto"/>
        <w:tabs>
          <w:tab w:leader="none" w:pos="77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17" w:lineRule="exact"/>
        <w:rPr>
          <w:rFonts w:ascii="Arial" w:cs="Arial" w:eastAsia="Arial" w:hAnsi="Arial"/>
          <w:sz w:val="17"/>
          <w:szCs w:val="17"/>
          <w:color w:val="auto"/>
        </w:rPr>
      </w:pPr>
    </w:p>
    <w:p>
      <w:pPr>
        <w:ind w:left="780" w:right="240" w:hanging="156"/>
        <w:spacing w:after="0" w:line="261" w:lineRule="auto"/>
        <w:tabs>
          <w:tab w:leader="none" w:pos="77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24" w:lineRule="exact"/>
        <w:rPr>
          <w:rFonts w:ascii="Arial" w:cs="Arial" w:eastAsia="Arial" w:hAnsi="Arial"/>
          <w:sz w:val="17"/>
          <w:szCs w:val="17"/>
          <w:color w:val="auto"/>
        </w:rPr>
      </w:pPr>
    </w:p>
    <w:p>
      <w:pPr>
        <w:ind w:left="780" w:hanging="156"/>
        <w:spacing w:after="0"/>
        <w:tabs>
          <w:tab w:leader="none" w:pos="7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ability of our board of directors to alter our bylaws without obtaining stockholder approval;</w:t>
      </w:r>
    </w:p>
    <w:p>
      <w:pPr>
        <w:spacing w:after="0" w:line="140" w:lineRule="exact"/>
        <w:rPr>
          <w:rFonts w:ascii="Arial" w:cs="Arial" w:eastAsia="Arial" w:hAnsi="Arial"/>
          <w:sz w:val="17"/>
          <w:szCs w:val="17"/>
          <w:color w:val="auto"/>
        </w:rPr>
      </w:pPr>
    </w:p>
    <w:p>
      <w:pPr>
        <w:ind w:left="780" w:right="60" w:hanging="156"/>
        <w:spacing w:after="0" w:line="269" w:lineRule="auto"/>
        <w:tabs>
          <w:tab w:leader="none" w:pos="77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required approval of a super-majority of the shares entitled to vote at an election of directors to adopt, amend or repeal our bylaws or repeal the provisions of our restated certificate of incorporation regarding the election and removal of directors;</w:t>
      </w:r>
    </w:p>
    <w:p>
      <w:pPr>
        <w:spacing w:after="0" w:line="117" w:lineRule="exact"/>
        <w:rPr>
          <w:rFonts w:ascii="Arial" w:cs="Arial" w:eastAsia="Arial" w:hAnsi="Arial"/>
          <w:sz w:val="17"/>
          <w:szCs w:val="17"/>
          <w:color w:val="auto"/>
        </w:rPr>
      </w:pPr>
    </w:p>
    <w:p>
      <w:pPr>
        <w:ind w:left="780" w:right="80" w:hanging="156"/>
        <w:spacing w:after="0" w:line="269" w:lineRule="auto"/>
        <w:tabs>
          <w:tab w:leader="none" w:pos="776"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which forces stockholder action to be taken at an annual or special meeting of our stockholders;</w:t>
      </w:r>
    </w:p>
    <w:p>
      <w:pPr>
        <w:spacing w:after="0" w:line="117" w:lineRule="exact"/>
        <w:rPr>
          <w:rFonts w:ascii="Arial" w:cs="Arial" w:eastAsia="Arial" w:hAnsi="Arial"/>
          <w:sz w:val="17"/>
          <w:szCs w:val="17"/>
          <w:color w:val="auto"/>
        </w:rPr>
      </w:pPr>
    </w:p>
    <w:p>
      <w:pPr>
        <w:jc w:val="both"/>
        <w:ind w:left="780" w:right="200" w:hanging="156"/>
        <w:spacing w:after="0" w:line="261" w:lineRule="auto"/>
        <w:tabs>
          <w:tab w:leader="none" w:pos="77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chief executive officer or the president or the board of directors, which may delay the ability of our stockholders to force consideration of a proposal or to take action, including the removal of directors; and</w:t>
      </w:r>
    </w:p>
    <w:p>
      <w:pPr>
        <w:spacing w:after="0" w:line="111" w:lineRule="exact"/>
        <w:rPr>
          <w:rFonts w:ascii="Arial" w:cs="Arial" w:eastAsia="Arial" w:hAnsi="Arial"/>
          <w:sz w:val="17"/>
          <w:szCs w:val="17"/>
          <w:color w:val="auto"/>
        </w:rPr>
      </w:pPr>
    </w:p>
    <w:p>
      <w:pPr>
        <w:ind w:left="780" w:right="80" w:hanging="156"/>
        <w:spacing w:after="0" w:line="261" w:lineRule="auto"/>
        <w:tabs>
          <w:tab w:leader="none" w:pos="776" w:val="left"/>
        </w:tabs>
        <w:numPr>
          <w:ilvl w:val="0"/>
          <w:numId w:val="45"/>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addition, these provisions would apply even if we were to receive an offer that some stockholders may consider beneficial.</w:t>
      </w:r>
    </w:p>
    <w:p>
      <w:pPr>
        <w:spacing w:after="0" w:line="153" w:lineRule="exact"/>
        <w:rPr>
          <w:sz w:val="20"/>
          <w:szCs w:val="20"/>
          <w:color w:val="auto"/>
        </w:rPr>
      </w:pPr>
    </w:p>
    <w:p>
      <w:pPr>
        <w:jc w:val="both"/>
        <w:ind w:right="20" w:firstLine="620"/>
        <w:spacing w:after="0" w:line="261" w:lineRule="auto"/>
        <w:rPr>
          <w:sz w:val="20"/>
          <w:szCs w:val="20"/>
          <w:color w:val="auto"/>
        </w:rPr>
      </w:pPr>
      <w:r>
        <w:rPr>
          <w:rFonts w:ascii="Arial" w:cs="Arial" w:eastAsia="Arial" w:hAnsi="Arial"/>
          <w:sz w:val="17"/>
          <w:szCs w:val="17"/>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3" w:name="page84"/>
    <w:bookmarkEnd w:id="8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jc w:val="both"/>
        <w:ind w:right="460"/>
        <w:spacing w:after="0" w:line="273" w:lineRule="auto"/>
        <w:rPr>
          <w:sz w:val="20"/>
          <w:szCs w:val="20"/>
          <w:color w:val="auto"/>
        </w:rPr>
      </w:pPr>
      <w:r>
        <w:rPr>
          <w:rFonts w:ascii="Arial" w:cs="Arial" w:eastAsia="Arial" w:hAnsi="Arial"/>
          <w:sz w:val="17"/>
          <w:szCs w:val="17"/>
          <w:b w:val="1"/>
          <w:bCs w:val="1"/>
          <w:i w:val="1"/>
          <w:iCs w:val="1"/>
          <w:color w:val="auto"/>
        </w:rPr>
        <w:t>Our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02" w:lineRule="exact"/>
        <w:rPr>
          <w:sz w:val="20"/>
          <w:szCs w:val="20"/>
          <w:color w:val="auto"/>
        </w:rPr>
      </w:pPr>
    </w:p>
    <w:p>
      <w:pPr>
        <w:ind w:right="20" w:firstLine="620"/>
        <w:spacing w:after="0" w:line="255" w:lineRule="auto"/>
        <w:rPr>
          <w:sz w:val="20"/>
          <w:szCs w:val="20"/>
          <w:color w:val="auto"/>
        </w:rPr>
      </w:pPr>
      <w:r>
        <w:rPr>
          <w:rFonts w:ascii="Arial" w:cs="Arial" w:eastAsia="Arial" w:hAnsi="Arial"/>
          <w:sz w:val="17"/>
          <w:szCs w:val="17"/>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33" w:lineRule="exact"/>
        <w:rPr>
          <w:sz w:val="20"/>
          <w:szCs w:val="20"/>
          <w:color w:val="auto"/>
        </w:rPr>
      </w:pPr>
    </w:p>
    <w:p>
      <w:pPr>
        <w:ind w:right="40" w:firstLine="620"/>
        <w:spacing w:after="0" w:line="257" w:lineRule="auto"/>
        <w:rPr>
          <w:sz w:val="20"/>
          <w:szCs w:val="20"/>
          <w:color w:val="auto"/>
        </w:rPr>
      </w:pPr>
      <w:r>
        <w:rPr>
          <w:rFonts w:ascii="Arial" w:cs="Arial" w:eastAsia="Arial" w:hAnsi="Arial"/>
          <w:sz w:val="17"/>
          <w:szCs w:val="17"/>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09" w:lineRule="exact"/>
        <w:rPr>
          <w:sz w:val="20"/>
          <w:szCs w:val="20"/>
          <w:color w:val="auto"/>
        </w:rPr>
      </w:pPr>
    </w:p>
    <w:p>
      <w:pPr>
        <w:ind w:right="920"/>
        <w:spacing w:after="0" w:line="293" w:lineRule="auto"/>
        <w:rPr>
          <w:sz w:val="20"/>
          <w:szCs w:val="20"/>
          <w:color w:val="auto"/>
        </w:rPr>
      </w:pPr>
      <w:r>
        <w:rPr>
          <w:rFonts w:ascii="Arial" w:cs="Arial" w:eastAsia="Arial" w:hAnsi="Arial"/>
          <w:sz w:val="17"/>
          <w:szCs w:val="17"/>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85"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We do not currently intend to pay any cash dividends on our common stock for the foreseeable future. We currently intend to invest our future earnings, if any, to fund our growth. In addition, the terms of our Loan Agreement restrict our ability to pay dividends to limited circumstances.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4" w:name="page85"/>
    <w:bookmarkEnd w:id="8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General Risk Factors</w:t>
      </w:r>
    </w:p>
    <w:p>
      <w:pPr>
        <w:spacing w:after="0" w:line="142" w:lineRule="exact"/>
        <w:rPr>
          <w:sz w:val="20"/>
          <w:szCs w:val="20"/>
          <w:color w:val="auto"/>
        </w:rPr>
      </w:pPr>
    </w:p>
    <w:p>
      <w:pPr>
        <w:ind w:right="360"/>
        <w:spacing w:after="0" w:line="293" w:lineRule="auto"/>
        <w:rPr>
          <w:sz w:val="20"/>
          <w:szCs w:val="20"/>
          <w:color w:val="auto"/>
        </w:rPr>
      </w:pPr>
      <w:r>
        <w:rPr>
          <w:rFonts w:ascii="Arial" w:cs="Arial" w:eastAsia="Arial" w:hAnsi="Arial"/>
          <w:sz w:val="17"/>
          <w:szCs w:val="17"/>
          <w:b w:val="1"/>
          <w:bCs w:val="1"/>
          <w:i w:val="1"/>
          <w:iCs w:val="1"/>
          <w:color w:val="auto"/>
        </w:rPr>
        <w:t>Unfavorable global and regional economic, political and health conditions could adversely affect our business, financial condition or results of operations.</w:t>
      </w:r>
    </w:p>
    <w:p>
      <w:pPr>
        <w:spacing w:after="0" w:line="98" w:lineRule="exact"/>
        <w:rPr>
          <w:sz w:val="20"/>
          <w:szCs w:val="20"/>
          <w:color w:val="auto"/>
        </w:rPr>
      </w:pPr>
    </w:p>
    <w:p>
      <w:pPr>
        <w:ind w:right="160" w:firstLine="620"/>
        <w:spacing w:after="0" w:line="255"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A global financial crisis or global or regional political and economic instability, wars, terrorism, civil unrest, outbreaks of disease, such as COVID-19, and other unexpected events could cause extreme volatility in the capital and credit markets and disrupt our business. Business disruptions could include, among others, disruptions to clinical enrollment, clinical site availability, patient accessibility, conduct of our clinical trials and commercialization activities, as well as temporary closures of our facilities and the facilities of suppliers or contract manufacturers in the biotechnology supply chain. The COVID-19 outbreak, including developments involving subsequent COVID-19 variants, has already significantly affected the financial markets of many countries and has resulted and may in the future result in a variety of federal, state and local orders, guidance and restrictions. We cannot, at this time, predict the specific extent, duration, or full impact that the COVID-19 outbreak will have on our ongoing and planned clinical trials and other business operations, including our commercialization activities.</w:t>
      </w:r>
    </w:p>
    <w:p>
      <w:pPr>
        <w:spacing w:after="0" w:line="224"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A severe or prolonged economic downturn, political disruption or adverse health conditions could result in a variety of risks to our business, including our ability to raise capital when needed on acceptable terms, if at all. Any of the foregoing could harm our business and we cannot anticipate all of the ways in which the political or economic climate and financial market conditions could adversely impact our business.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stock price of our common stock may be volatile or may decline.</w:t>
      </w:r>
    </w:p>
    <w:p>
      <w:pPr>
        <w:spacing w:after="0" w:line="160" w:lineRule="exact"/>
        <w:rPr>
          <w:sz w:val="20"/>
          <w:szCs w:val="20"/>
          <w:color w:val="auto"/>
        </w:rPr>
      </w:pPr>
    </w:p>
    <w:p>
      <w:pPr>
        <w:ind w:right="120" w:firstLine="620"/>
        <w:spacing w:after="0" w:line="269" w:lineRule="auto"/>
        <w:rPr>
          <w:sz w:val="20"/>
          <w:szCs w:val="20"/>
          <w:color w:val="auto"/>
        </w:rPr>
      </w:pPr>
      <w:r>
        <w:rPr>
          <w:rFonts w:ascii="Arial" w:cs="Arial" w:eastAsia="Arial" w:hAnsi="Arial"/>
          <w:sz w:val="17"/>
          <w:szCs w:val="17"/>
          <w:color w:val="auto"/>
        </w:rPr>
        <w:t>The market price of our common stock may fluctuate significantly in response to numerous factors, many of which are beyond our control, including:</w:t>
      </w:r>
    </w:p>
    <w:p>
      <w:pPr>
        <w:spacing w:after="0" w:line="117" w:lineRule="exact"/>
        <w:rPr>
          <w:sz w:val="20"/>
          <w:szCs w:val="20"/>
          <w:color w:val="auto"/>
        </w:rPr>
      </w:pPr>
    </w:p>
    <w:p>
      <w:pPr>
        <w:ind w:left="780" w:hanging="156"/>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limited daily trading volume resulting in the lack of a liquid market;</w:t>
      </w:r>
    </w:p>
    <w:p>
      <w:pPr>
        <w:spacing w:after="0" w:line="153" w:lineRule="exact"/>
        <w:rPr>
          <w:rFonts w:ascii="Arial" w:cs="Arial" w:eastAsia="Arial" w:hAnsi="Arial"/>
          <w:sz w:val="17"/>
          <w:szCs w:val="17"/>
          <w:color w:val="auto"/>
        </w:rPr>
      </w:pPr>
    </w:p>
    <w:p>
      <w:pPr>
        <w:ind w:left="780" w:right="360" w:hanging="156"/>
        <w:spacing w:after="0" w:line="269" w:lineRule="auto"/>
        <w:tabs>
          <w:tab w:leader="none" w:pos="77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development status of our product candidates, including whether we discontinue development or if any of our product candidates receive regulatory approval;</w:t>
      </w:r>
    </w:p>
    <w:p>
      <w:pPr>
        <w:spacing w:after="0" w:line="104" w:lineRule="exact"/>
        <w:rPr>
          <w:rFonts w:ascii="Arial" w:cs="Arial" w:eastAsia="Arial" w:hAnsi="Arial"/>
          <w:sz w:val="17"/>
          <w:szCs w:val="17"/>
          <w:color w:val="auto"/>
        </w:rPr>
      </w:pPr>
    </w:p>
    <w:p>
      <w:pPr>
        <w:ind w:left="780" w:right="80" w:hanging="156"/>
        <w:spacing w:after="0" w:line="269" w:lineRule="auto"/>
        <w:tabs>
          <w:tab w:leader="none" w:pos="77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performance of third parties on whom we rely for clinical trials, manufacturing, marketing, sales and distribution, including their ability to comply with regulatory requirements;</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regulatory, legal or political developments in the United States and foreign countries;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results of our clinical trials and nonclinical studies;</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clinical results of our competitors or potential competitors;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execution of our partnering and manufacturing arrangements;</w:t>
      </w:r>
    </w:p>
    <w:p>
      <w:pPr>
        <w:spacing w:after="0" w:line="153" w:lineRule="exact"/>
        <w:rPr>
          <w:rFonts w:ascii="Arial" w:cs="Arial" w:eastAsia="Arial" w:hAnsi="Arial"/>
          <w:sz w:val="17"/>
          <w:szCs w:val="17"/>
          <w:color w:val="auto"/>
        </w:rPr>
      </w:pPr>
    </w:p>
    <w:p>
      <w:pPr>
        <w:ind w:left="780" w:right="20" w:hanging="156"/>
        <w:spacing w:after="0" w:line="269" w:lineRule="auto"/>
        <w:tabs>
          <w:tab w:leader="none" w:pos="776"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execution of collaboration, co-promotion, licensing or other arrangements, and the timing of payments we may make or receive under these arrangements;</w:t>
      </w:r>
    </w:p>
    <w:p>
      <w:pPr>
        <w:spacing w:after="0" w:line="104" w:lineRule="exact"/>
        <w:rPr>
          <w:rFonts w:ascii="Arial" w:cs="Arial" w:eastAsia="Arial" w:hAnsi="Arial"/>
          <w:sz w:val="17"/>
          <w:szCs w:val="17"/>
          <w:color w:val="auto"/>
        </w:rPr>
      </w:pPr>
    </w:p>
    <w:p>
      <w:pPr>
        <w:ind w:left="780" w:hanging="156"/>
        <w:spacing w:after="0" w:line="269" w:lineRule="auto"/>
        <w:tabs>
          <w:tab w:leader="none" w:pos="776" w:val="left"/>
        </w:tabs>
        <w:numPr>
          <w:ilvl w:val="0"/>
          <w:numId w:val="46"/>
        </w:numPr>
        <w:rPr>
          <w:rFonts w:ascii="Arial" w:cs="Arial" w:eastAsia="Arial" w:hAnsi="Arial"/>
          <w:sz w:val="17"/>
          <w:szCs w:val="17"/>
          <w:color w:val="auto"/>
        </w:rPr>
      </w:pPr>
      <w:r>
        <w:rPr>
          <w:rFonts w:ascii="Arial" w:cs="Arial" w:eastAsia="Arial" w:hAnsi="Arial"/>
          <w:sz w:val="17"/>
          <w:szCs w:val="17"/>
          <w:color w:val="auto"/>
        </w:rPr>
        <w:t>variations in the level of expenses related to our nonclinical and clinical development programs, including relating to the timing of invoices from, and other billing practices of, our CROs and clinical trial sites;</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variations in the level of expenses related to our commercialization activities, if any product candidates are approved;</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success of, and fluctuations in, the commercial sales any product candidates approved for commercialization in the future;</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overall performance of the equity markets;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other pharmaceutical companies;</w:t>
      </w:r>
    </w:p>
    <w:p>
      <w:pPr>
        <w:spacing w:after="0" w:line="140" w:lineRule="exact"/>
        <w:rPr>
          <w:rFonts w:ascii="Arial" w:cs="Arial" w:eastAsia="Arial" w:hAnsi="Arial"/>
          <w:sz w:val="17"/>
          <w:szCs w:val="17"/>
          <w:color w:val="auto"/>
        </w:rPr>
      </w:pPr>
    </w:p>
    <w:p>
      <w:pPr>
        <w:ind w:left="780" w:right="300" w:hanging="156"/>
        <w:spacing w:after="0" w:line="269" w:lineRule="auto"/>
        <w:tabs>
          <w:tab w:leader="none" w:pos="776"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market conditions or trends in our industry or the economy as a whole, including as a result of market volatility related to global health concerns and, in particular, the extreme volatility experienced during the ongoing COVID-19 pandemic;</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5" w:name="page86"/>
    <w:bookmarkEnd w:id="8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left="780" w:right="480" w:hanging="156"/>
        <w:spacing w:after="0" w:line="261" w:lineRule="auto"/>
        <w:tabs>
          <w:tab w:leader="none" w:pos="77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 and announcements relating to acquisitions, strategic transactions, licenses, joint ventures, capital commitments, intellectual property, litigation or other disputes impacting us or our business;</w:t>
      </w:r>
    </w:p>
    <w:p>
      <w:pPr>
        <w:spacing w:after="0" w:line="111" w:lineRule="exact"/>
        <w:rPr>
          <w:rFonts w:ascii="Arial" w:cs="Arial" w:eastAsia="Arial" w:hAnsi="Arial"/>
          <w:sz w:val="17"/>
          <w:szCs w:val="17"/>
          <w:color w:val="auto"/>
        </w:rPr>
      </w:pPr>
    </w:p>
    <w:p>
      <w:pPr>
        <w:ind w:left="780" w:hanging="156"/>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developments with respect to intellectual property rights;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commencement of, or involvement in, litigation;</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FDA or foreign regulatory actions affecting us or our industry;</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153" w:lineRule="exact"/>
        <w:rPr>
          <w:rFonts w:ascii="Arial" w:cs="Arial" w:eastAsia="Arial" w:hAnsi="Arial"/>
          <w:sz w:val="17"/>
          <w:szCs w:val="17"/>
          <w:color w:val="auto"/>
        </w:rPr>
      </w:pPr>
    </w:p>
    <w:p>
      <w:pPr>
        <w:ind w:left="780" w:right="200" w:hanging="156"/>
        <w:spacing w:after="0" w:line="269" w:lineRule="auto"/>
        <w:tabs>
          <w:tab w:leader="none" w:pos="776"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changes in financial estimates by any securities analysts who follow our common stock, our failure to meet these estimates or failure of those analysts to initiate or maintain coverage of our common stock;</w:t>
      </w:r>
    </w:p>
    <w:p>
      <w:pPr>
        <w:spacing w:after="0" w:line="104" w:lineRule="exact"/>
        <w:rPr>
          <w:rFonts w:ascii="Arial" w:cs="Arial" w:eastAsia="Arial" w:hAnsi="Arial"/>
          <w:sz w:val="17"/>
          <w:szCs w:val="17"/>
          <w:color w:val="auto"/>
        </w:rPr>
      </w:pPr>
    </w:p>
    <w:p>
      <w:pPr>
        <w:ind w:left="780" w:hanging="156"/>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ratings downgrades by any securities analysts who follow our common stock;</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common stock;</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size of our market float;</w:t>
      </w:r>
    </w:p>
    <w:p>
      <w:pPr>
        <w:spacing w:after="0" w:line="140" w:lineRule="exact"/>
        <w:rPr>
          <w:rFonts w:ascii="Arial" w:cs="Arial" w:eastAsia="Arial" w:hAnsi="Arial"/>
          <w:sz w:val="17"/>
          <w:szCs w:val="17"/>
          <w:color w:val="auto"/>
        </w:rPr>
      </w:pPr>
    </w:p>
    <w:p>
      <w:pPr>
        <w:ind w:left="780" w:right="220" w:hanging="156"/>
        <w:spacing w:after="0" w:line="269" w:lineRule="auto"/>
        <w:tabs>
          <w:tab w:leader="none" w:pos="77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expiration of market standoff or contractual lock-up agreements and future sales of our common stock by our officers, directors and significant stockholders;</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recruitment or departure of key personnel;</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natural disasters or responses to these events; and</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other factors discussed in this Annual Report on Form 10-K.</w:t>
      </w:r>
    </w:p>
    <w:p>
      <w:pPr>
        <w:spacing w:after="0" w:line="153" w:lineRule="exact"/>
        <w:rPr>
          <w:sz w:val="20"/>
          <w:szCs w:val="20"/>
          <w:color w:val="auto"/>
        </w:rPr>
      </w:pPr>
    </w:p>
    <w:p>
      <w:pPr>
        <w:ind w:right="60" w:firstLine="620"/>
        <w:spacing w:after="0" w:line="256" w:lineRule="auto"/>
        <w:rPr>
          <w:sz w:val="20"/>
          <w:szCs w:val="20"/>
          <w:color w:val="auto"/>
        </w:rPr>
      </w:pPr>
      <w:r>
        <w:rPr>
          <w:rFonts w:ascii="Arial" w:cs="Arial" w:eastAsia="Arial" w:hAnsi="Arial"/>
          <w:sz w:val="17"/>
          <w:szCs w:val="17"/>
          <w:color w:val="auto"/>
        </w:rPr>
        <w:t>In addition, the stock markets have experienced extreme price and volume fluctuations that have affected and continue to affect the market prices of equity securities of many pharmaceutical companies. Due to the COVID-19 outbreak, there has been significant stock market exchange volatility, including temporary trading halts. Stock prices of many 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99"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98"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securities analysts publish about us or our business. If only a limited number of securities or industry analysts commence coverage of us or the few analysts that have initiated coverage, drop coverage, the trading price for our stock would be negatively impacted. If any of the analysts who cover us issue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right="260"/>
        <w:spacing w:after="0" w:line="293" w:lineRule="auto"/>
        <w:rPr>
          <w:sz w:val="20"/>
          <w:szCs w:val="20"/>
          <w:color w:val="auto"/>
        </w:rPr>
      </w:pPr>
      <w:r>
        <w:rPr>
          <w:rFonts w:ascii="Arial" w:cs="Arial" w:eastAsia="Arial" w:hAnsi="Arial"/>
          <w:sz w:val="17"/>
          <w:szCs w:val="17"/>
          <w:b w:val="1"/>
          <w:bCs w:val="1"/>
          <w:i w:val="1"/>
          <w:iCs w:val="1"/>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spacing w:after="0" w:line="85"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Chief Executive Officer, Todd Franklin Watanabe, our Chief Technical Officer, David W. Osborne, Ph.D, and our Chief Medical Officer, Patrick Burnett, M.D., Ph.D. The loss of the services of any of these individuals could impede, delay or prevent the successful development of our product pipeline, completion of our planned clinical trials, commercialization of our products or in -licensing or acquisition of new assets and could negatively impact our ability to successfully implement our business plan. If we lose the services of any of these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128" w:lineRule="exact"/>
        <w:rPr>
          <w:sz w:val="20"/>
          <w:szCs w:val="20"/>
          <w:color w:val="auto"/>
        </w:rPr>
      </w:pPr>
    </w:p>
    <w:p>
      <w:pPr>
        <w:ind w:right="60" w:firstLine="620"/>
        <w:spacing w:after="0" w:line="257" w:lineRule="auto"/>
        <w:rPr>
          <w:sz w:val="20"/>
          <w:szCs w:val="20"/>
          <w:color w:val="auto"/>
        </w:rPr>
      </w:pPr>
      <w:r>
        <w:rPr>
          <w:rFonts w:ascii="Arial" w:cs="Arial" w:eastAsia="Arial" w:hAnsi="Arial"/>
          <w:sz w:val="17"/>
          <w:szCs w:val="17"/>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129"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We might not be able to attract or retain qualified management and other key personnel in the future due to the intense competition for qualified personnel among biotechnology, pharmaceutical and other businesses. We could have difficulty attracting experienced personnel to our company and may be required to expend significant financial resources in our employee recruitment and retention efforts. Many of the other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117" w:lineRule="exact"/>
        <w:rPr>
          <w:sz w:val="20"/>
          <w:szCs w:val="20"/>
          <w:color w:val="auto"/>
        </w:rPr>
      </w:pPr>
    </w:p>
    <w:p>
      <w:pPr>
        <w:ind w:right="40" w:firstLine="620"/>
        <w:spacing w:after="0" w:line="258" w:lineRule="auto"/>
        <w:rPr>
          <w:sz w:val="20"/>
          <w:szCs w:val="20"/>
          <w:color w:val="auto"/>
        </w:rPr>
      </w:pPr>
      <w:r>
        <w:rPr>
          <w:rFonts w:ascii="Arial" w:cs="Arial" w:eastAsia="Arial" w:hAnsi="Arial"/>
          <w:sz w:val="17"/>
          <w:szCs w:val="17"/>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09" w:lineRule="exact"/>
        <w:rPr>
          <w:sz w:val="20"/>
          <w:szCs w:val="20"/>
          <w:color w:val="auto"/>
        </w:rPr>
      </w:pPr>
    </w:p>
    <w:p>
      <w:pPr>
        <w:ind w:right="360"/>
        <w:spacing w:after="0" w:line="293"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98" w:lineRule="exact"/>
        <w:rPr>
          <w:sz w:val="20"/>
          <w:szCs w:val="20"/>
          <w:color w:val="auto"/>
        </w:rPr>
      </w:pPr>
    </w:p>
    <w:p>
      <w:pPr>
        <w:ind w:right="260" w:firstLine="620"/>
        <w:spacing w:after="0" w:line="261" w:lineRule="auto"/>
        <w:rPr>
          <w:sz w:val="20"/>
          <w:szCs w:val="20"/>
          <w:color w:val="auto"/>
        </w:rPr>
      </w:pPr>
      <w:r>
        <w:rPr>
          <w:rFonts w:ascii="Arial" w:cs="Arial" w:eastAsia="Arial" w:hAnsi="Arial"/>
          <w:sz w:val="17"/>
          <w:szCs w:val="17"/>
          <w:color w:val="auto"/>
        </w:rPr>
        <w:t>Our corporate headquarters and other facilities are located in the Northern Los Angeles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p>
    <w:p>
      <w:pPr>
        <w:spacing w:after="0" w:line="112"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If a natural disaster, power outage or other event occurred, including an epidemic, pandemic or contagious disease outbreak such as COVID-19 that disrupted operations, we may experience difficulties in operating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29" w:lineRule="exact"/>
        <w:rPr>
          <w:sz w:val="20"/>
          <w:szCs w:val="20"/>
          <w:color w:val="auto"/>
        </w:rPr>
      </w:pPr>
    </w:p>
    <w:p>
      <w:pPr>
        <w:ind w:right="560" w:firstLine="620"/>
        <w:spacing w:after="0" w:line="269" w:lineRule="auto"/>
        <w:rPr>
          <w:sz w:val="20"/>
          <w:szCs w:val="20"/>
          <w:color w:val="auto"/>
        </w:rPr>
      </w:pPr>
      <w:r>
        <w:rPr>
          <w:rFonts w:ascii="Arial" w:cs="Arial" w:eastAsia="Arial" w:hAnsi="Arial"/>
          <w:sz w:val="17"/>
          <w:szCs w:val="17"/>
          <w:color w:val="auto"/>
        </w:rPr>
        <w:t>Furthermore, our third-party manufacturers or suppliers are similarly vulnerable to natural disasters or other sudden, unforeseen and severe adverse events. If such an event were to affect our supply chain, it could have a material adverse effect on our business.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litigation could have a material adverse effect on our business and results of operations.</w:t>
      </w:r>
    </w:p>
    <w:p>
      <w:pPr>
        <w:spacing w:after="0" w:line="160" w:lineRule="exact"/>
        <w:rPr>
          <w:sz w:val="20"/>
          <w:szCs w:val="20"/>
          <w:color w:val="auto"/>
        </w:rPr>
      </w:pPr>
    </w:p>
    <w:p>
      <w:pPr>
        <w:ind w:right="20" w:firstLine="191"/>
        <w:spacing w:after="0" w:line="255" w:lineRule="auto"/>
        <w:rPr>
          <w:sz w:val="20"/>
          <w:szCs w:val="20"/>
          <w:color w:val="auto"/>
        </w:rPr>
      </w:pPr>
      <w:r>
        <w:rPr>
          <w:rFonts w:ascii="Arial" w:cs="Arial" w:eastAsia="Arial" w:hAnsi="Arial"/>
          <w:sz w:val="17"/>
          <w:szCs w:val="17"/>
          <w:color w:val="auto"/>
        </w:rPr>
        <w:t>Lawsuits and other administrative or legal proceedings, including intellectual property litigation or other legal proceedings relating to intellectual property claims, that may arise in the course of our operations can involve substantial costs, including the costs associated with investigation, litigation and possible settlement, judgment, penalty or fine. In addition, lawsuits and other legal proceedings may be time-consuming to defend or prosecute and may require a commitment of management and personnel resources that will be diverted from our normal business operations. Although we generally maintain insurance to mitigate certain costs, there can be no assurance that costs associated with lawsuits or other legal proceedings will not exceed the limits of insurance policies. Moreover, we may be unable to continue to maintain our existing insurance at a reasonable cost, if at all, or to secure additional coverage, which may result in costs associated with lawsuits and other legal proceedings being uninsured. Our business, financial condition and results of operations could be adversely affected if a judgment, settlement penalty or fine is not fully covered by insurance.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corporate headquarters is located in Westlake Village, California, where we lease approximately 22,643 square feet of office space.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may from time to time be involved in various legal proceedings of a character normally incident to the ordinary course of our business.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We are not currently a party to any material litigation or other material legal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88" w:name="page89"/>
    <w:bookmarkEnd w:id="8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140" w:lineRule="exact"/>
        <w:rPr>
          <w:sz w:val="20"/>
          <w:szCs w:val="20"/>
          <w:color w:val="auto"/>
        </w:rPr>
      </w:pPr>
    </w:p>
    <w:p>
      <w:pPr>
        <w:ind w:right="280"/>
        <w:spacing w:after="0" w:line="296"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 for Common Stock</w:t>
      </w:r>
    </w:p>
    <w:p>
      <w:pPr>
        <w:spacing w:after="0" w:line="175" w:lineRule="exact"/>
        <w:rPr>
          <w:sz w:val="20"/>
          <w:szCs w:val="20"/>
          <w:color w:val="auto"/>
        </w:rPr>
      </w:pPr>
    </w:p>
    <w:p>
      <w:pPr>
        <w:ind w:right="220" w:firstLine="620"/>
        <w:spacing w:after="0" w:line="269" w:lineRule="auto"/>
        <w:rPr>
          <w:sz w:val="20"/>
          <w:szCs w:val="20"/>
          <w:color w:val="auto"/>
        </w:rPr>
      </w:pPr>
      <w:r>
        <w:rPr>
          <w:rFonts w:ascii="Arial" w:cs="Arial" w:eastAsia="Arial" w:hAnsi="Arial"/>
          <w:sz w:val="17"/>
          <w:szCs w:val="17"/>
          <w:color w:val="auto"/>
        </w:rPr>
        <w:t>Our common stock has been publicly traded on the Nasdaq Global Select Market under the symbol “ARQT” since the commencement of our IPO on January 31, 2020. Prior to that time there was no public market for our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175" w:lineRule="exact"/>
        <w:rPr>
          <w:sz w:val="20"/>
          <w:szCs w:val="20"/>
          <w:color w:val="auto"/>
        </w:rPr>
      </w:pPr>
    </w:p>
    <w:p>
      <w:pPr>
        <w:jc w:val="both"/>
        <w:ind w:firstLine="620"/>
        <w:spacing w:after="0" w:line="261" w:lineRule="auto"/>
        <w:rPr>
          <w:sz w:val="20"/>
          <w:szCs w:val="20"/>
          <w:color w:val="auto"/>
        </w:rPr>
      </w:pPr>
      <w:r>
        <w:rPr>
          <w:rFonts w:ascii="Arial" w:cs="Arial" w:eastAsia="Arial" w:hAnsi="Arial"/>
          <w:sz w:val="17"/>
          <w:szCs w:val="17"/>
          <w:color w:val="auto"/>
        </w:rPr>
        <w:t>As of February 16, 2022, there were approximately 21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75" w:lineRule="exact"/>
        <w:rPr>
          <w:sz w:val="20"/>
          <w:szCs w:val="20"/>
          <w:color w:val="auto"/>
        </w:rPr>
      </w:pPr>
    </w:p>
    <w:p>
      <w:pPr>
        <w:ind w:right="160" w:firstLine="620"/>
        <w:spacing w:after="0" w:line="258"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162" w:lineRule="exact"/>
        <w:rPr>
          <w:sz w:val="20"/>
          <w:szCs w:val="20"/>
          <w:color w:val="auto"/>
        </w:rPr>
      </w:pPr>
    </w:p>
    <w:p>
      <w:pPr>
        <w:ind w:right="60" w:firstLine="620"/>
        <w:spacing w:after="0" w:line="261" w:lineRule="auto"/>
        <w:rPr>
          <w:sz w:val="20"/>
          <w:szCs w:val="20"/>
          <w:color w:val="auto"/>
        </w:rPr>
      </w:pPr>
      <w:r>
        <w:rPr>
          <w:rFonts w:ascii="Arial" w:cs="Arial" w:eastAsia="Arial" w:hAnsi="Arial"/>
          <w:sz w:val="17"/>
          <w:szCs w:val="17"/>
          <w:color w:val="auto"/>
        </w:rPr>
        <w:t>The information required by this item with respect to our equity compensation plans is incorporated by reference to our definitive proxy statement relating to our 2022 Annual Meeting of Stockholders to be filed with the SEC within 120 days after the end of the fiscal year to which this Annual Report on Form 10-K relates, or the Proxy Statement.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9" w:name="page90"/>
    <w:bookmarkEnd w:id="8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62"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The graph below shows a comparison, from January 31, 2020 (the date our common stock commenced trading on Nasdaq) through December 31, 2021, of the cumulative total return to stockholders of our common stock relative to the Nasdaq Composite Index (“^IXIC”) and the Nasdaq Biotechnology Index (“^NBI”). The graph assumes that $100 was invested in each of our common stock, the Nasdaq Composite and the Nasdaq Biotechnology at their respective closing prices on January 31, 2020 and assumes reinvestment of gross dividends. The stock price performance shown in the graph represents past performance and should not be considered an indication of future stock price performance. 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81915</wp:posOffset>
            </wp:positionV>
            <wp:extent cx="5743575" cy="3691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43575" cy="3691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7"/>
                <w:szCs w:val="17"/>
                <w:b w:val="1"/>
                <w:bCs w:val="1"/>
                <w:color w:val="auto"/>
              </w:rPr>
              <w:t>Cumulative Total Return Comparison</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240" w:type="dxa"/>
            <w:vAlign w:val="bottom"/>
          </w:tcPr>
          <w:p>
            <w:pPr>
              <w:spacing w:after="0"/>
              <w:rPr>
                <w:sz w:val="16"/>
                <w:szCs w:val="16"/>
                <w:color w:val="auto"/>
              </w:rPr>
            </w:pPr>
          </w:p>
        </w:tc>
        <w:tc>
          <w:tcPr>
            <w:tcW w:w="132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1/31/2020</w:t>
            </w:r>
          </w:p>
        </w:tc>
        <w:tc>
          <w:tcPr>
            <w:tcW w:w="10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6/30/2020</w:t>
            </w:r>
          </w:p>
        </w:tc>
        <w:tc>
          <w:tcPr>
            <w:tcW w:w="10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12/31/2020</w:t>
            </w:r>
          </w:p>
        </w:tc>
        <w:tc>
          <w:tcPr>
            <w:tcW w:w="10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6/30/2021</w:t>
            </w:r>
          </w:p>
        </w:tc>
        <w:tc>
          <w:tcPr>
            <w:tcW w:w="10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12/31/2021</w:t>
            </w:r>
          </w:p>
        </w:tc>
        <w:tc>
          <w:tcPr>
            <w:tcW w:w="0" w:type="dxa"/>
            <w:vAlign w:val="bottom"/>
          </w:tcPr>
          <w:p>
            <w:pPr>
              <w:spacing w:after="0"/>
              <w:rPr>
                <w:sz w:val="1"/>
                <w:szCs w:val="1"/>
                <w:color w:val="auto"/>
              </w:rPr>
            </w:pPr>
          </w:p>
        </w:tc>
      </w:tr>
      <w:tr>
        <w:trPr>
          <w:trHeight w:val="220"/>
        </w:trPr>
        <w:tc>
          <w:tcPr>
            <w:tcW w:w="4240" w:type="dxa"/>
            <w:vAlign w:val="bottom"/>
          </w:tcPr>
          <w:p>
            <w:pPr>
              <w:spacing w:after="0"/>
              <w:rPr>
                <w:sz w:val="19"/>
                <w:szCs w:val="19"/>
                <w:color w:val="auto"/>
              </w:rPr>
            </w:pPr>
          </w:p>
        </w:tc>
        <w:tc>
          <w:tcPr>
            <w:tcW w:w="1420" w:type="dxa"/>
            <w:vAlign w:val="bottom"/>
            <w:gridSpan w:val="2"/>
          </w:tcPr>
          <w:p>
            <w:pPr>
              <w:ind w:left="220"/>
              <w:spacing w:after="0"/>
              <w:rPr>
                <w:sz w:val="20"/>
                <w:szCs w:val="20"/>
                <w:color w:val="auto"/>
              </w:rPr>
            </w:pPr>
            <w:r>
              <w:rPr>
                <w:rFonts w:ascii="Arial" w:cs="Arial" w:eastAsia="Arial" w:hAnsi="Arial"/>
                <w:sz w:val="17"/>
                <w:szCs w:val="17"/>
                <w:b w:val="1"/>
                <w:bCs w:val="1"/>
                <w:color w:val="auto"/>
              </w:rPr>
              <w:t>(Inception)</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Arcutis Biotherapeutics, Inc.</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$138.72</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$129.04</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$125.18</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9"/>
              </w:rPr>
              <w:t>$95.14</w:t>
            </w:r>
          </w:p>
        </w:tc>
        <w:tc>
          <w:tcPr>
            <w:tcW w:w="0" w:type="dxa"/>
            <w:vAlign w:val="bottom"/>
          </w:tcPr>
          <w:p>
            <w:pPr>
              <w:spacing w:after="0"/>
              <w:rPr>
                <w:sz w:val="1"/>
                <w:szCs w:val="1"/>
                <w:color w:val="auto"/>
              </w:rPr>
            </w:pPr>
          </w:p>
        </w:tc>
      </w:tr>
      <w:tr>
        <w:trPr>
          <w:trHeight w:val="220"/>
        </w:trPr>
        <w:tc>
          <w:tcPr>
            <w:tcW w:w="4240" w:type="dxa"/>
            <w:vAlign w:val="bottom"/>
          </w:tcPr>
          <w:p>
            <w:pPr>
              <w:ind w:left="20"/>
              <w:spacing w:after="0"/>
              <w:rPr>
                <w:sz w:val="20"/>
                <w:szCs w:val="20"/>
                <w:color w:val="auto"/>
              </w:rPr>
            </w:pPr>
            <w:r>
              <w:rPr>
                <w:rFonts w:ascii="Arial" w:cs="Arial" w:eastAsia="Arial" w:hAnsi="Arial"/>
                <w:sz w:val="17"/>
                <w:szCs w:val="17"/>
                <w:color w:val="auto"/>
              </w:rPr>
              <w:t>Nasdaq Composite Index</w:t>
            </w:r>
          </w:p>
        </w:tc>
        <w:tc>
          <w:tcPr>
            <w:tcW w:w="1320" w:type="dxa"/>
            <w:vAlign w:val="bottom"/>
          </w:tcPr>
          <w:p>
            <w:pPr>
              <w:jc w:val="center"/>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$109.92</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$140.84</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$158.50</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$172.02</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Nasdaq Biotechnology Index</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$120.23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$133.14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$144.02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$133.45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162"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The following tables set forth our selected statements of operations and balance sheet data. The selected statements of operations data for the years ended December 31, 2021, 2020 and 2019, and the selected balance sheet data as of December 31, 2021, 2020, and 2019, are derived from our audited financial statements and the related notes thereto included elsewhere in this Annual Report on Form 10-K, which financial statements have been audited by our independent registered public accounting firm. The following selected financial data below should be read in conjunction with “Management’s Discussion and Analysis of Financial Condition and Results of Operations” and our financial statements and related notes included elsewhere in this Annual Report on Form 10-K. Our historical results are not necessarily indicative of the results that may be expected in any future period. The selected financial data in this section are not intended to replace the financial statements and are qualified in their entirety by the financial statements and related notes included elsewhere in this Annual Report on Form 10-K.</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7"/>
              </w:rPr>
              <w:t>Year Ended December 31,</w:t>
            </w:r>
          </w:p>
        </w:tc>
        <w:tc>
          <w:tcPr>
            <w:tcW w:w="9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7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60" w:type="dxa"/>
            <w:vAlign w:val="bottom"/>
            <w:gridSpan w:val="6"/>
          </w:tcPr>
          <w:p>
            <w:pPr>
              <w:jc w:val="center"/>
              <w:ind w:left="697"/>
              <w:spacing w:after="0"/>
              <w:rPr>
                <w:sz w:val="20"/>
                <w:szCs w:val="20"/>
                <w:color w:val="auto"/>
              </w:rPr>
            </w:pPr>
            <w:r>
              <w:rPr>
                <w:rFonts w:ascii="Arial" w:cs="Arial" w:eastAsia="Arial" w:hAnsi="Arial"/>
                <w:sz w:val="14"/>
                <w:szCs w:val="14"/>
                <w:b w:val="1"/>
                <w:bCs w:val="1"/>
                <w:color w:val="auto"/>
                <w:w w:val="98"/>
              </w:rPr>
              <w:t>(in thousands, except share and per share data)</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b w:val="1"/>
                <w:bCs w:val="1"/>
                <w:color w:val="auto"/>
              </w:rPr>
              <w:t>Statements of operations data:</w:t>
            </w:r>
          </w:p>
        </w:tc>
        <w:tc>
          <w:tcPr>
            <w:tcW w:w="9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700" w:type="dxa"/>
            <w:vAlign w:val="bottom"/>
          </w:tcPr>
          <w:p>
            <w:pPr>
              <w:ind w:left="640"/>
              <w:spacing w:after="0"/>
              <w:rPr>
                <w:sz w:val="20"/>
                <w:szCs w:val="20"/>
                <w:color w:val="auto"/>
              </w:rPr>
            </w:pPr>
            <w:r>
              <w:rPr>
                <w:rFonts w:ascii="Arial" w:cs="Arial" w:eastAsia="Arial" w:hAnsi="Arial"/>
                <w:sz w:val="17"/>
                <w:szCs w:val="17"/>
                <w:color w:val="auto"/>
              </w:rPr>
              <w:t>Operating expenses:</w:t>
            </w: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700" w:type="dxa"/>
            <w:vAlign w:val="bottom"/>
            <w:shd w:val="clear" w:color="auto" w:fill="CCEEFF"/>
          </w:tcPr>
          <w:p>
            <w:pPr>
              <w:ind w:left="960"/>
              <w:spacing w:after="0"/>
              <w:rPr>
                <w:sz w:val="20"/>
                <w:szCs w:val="20"/>
                <w:color w:val="auto"/>
              </w:rPr>
            </w:pPr>
            <w:r>
              <w:rPr>
                <w:rFonts w:ascii="Arial" w:cs="Arial" w:eastAsia="Arial" w:hAnsi="Arial"/>
                <w:sz w:val="17"/>
                <w:szCs w:val="17"/>
                <w:color w:val="auto"/>
              </w:rPr>
              <w:t>Research and development</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145,558</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115,308</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36,522</w:t>
            </w: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ind w:left="960"/>
              <w:spacing w:after="0"/>
              <w:rPr>
                <w:sz w:val="20"/>
                <w:szCs w:val="20"/>
                <w:color w:val="auto"/>
              </w:rPr>
            </w:pPr>
            <w:r>
              <w:rPr>
                <w:rFonts w:ascii="Arial" w:cs="Arial" w:eastAsia="Arial" w:hAnsi="Arial"/>
                <w:sz w:val="17"/>
                <w:szCs w:val="17"/>
                <w:color w:val="auto"/>
              </w:rPr>
              <w:t>General and administrative</w:t>
            </w:r>
          </w:p>
        </w:tc>
        <w:tc>
          <w:tcPr>
            <w:tcW w:w="9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60,971</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21,337</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6,610</w:t>
            </w:r>
          </w:p>
        </w:tc>
        <w:tc>
          <w:tcPr>
            <w:tcW w:w="0" w:type="dxa"/>
            <w:vAlign w:val="bottom"/>
          </w:tcPr>
          <w:p>
            <w:pPr>
              <w:spacing w:after="0"/>
              <w:rPr>
                <w:sz w:val="1"/>
                <w:szCs w:val="1"/>
                <w:color w:val="auto"/>
              </w:rPr>
            </w:pPr>
          </w:p>
        </w:tc>
      </w:tr>
      <w:tr>
        <w:trPr>
          <w:trHeight w:val="238"/>
        </w:trPr>
        <w:tc>
          <w:tcPr>
            <w:tcW w:w="47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Total operating expenses</w:t>
            </w:r>
          </w:p>
        </w:tc>
        <w:tc>
          <w:tcPr>
            <w:tcW w:w="9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206,529</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136,645</w:t>
            </w: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43,132</w:t>
            </w:r>
          </w:p>
        </w:tc>
        <w:tc>
          <w:tcPr>
            <w:tcW w:w="0" w:type="dxa"/>
            <w:vAlign w:val="bottom"/>
          </w:tcPr>
          <w:p>
            <w:pPr>
              <w:spacing w:after="0"/>
              <w:rPr>
                <w:sz w:val="1"/>
                <w:szCs w:val="1"/>
                <w:color w:val="auto"/>
              </w:rPr>
            </w:pPr>
          </w:p>
        </w:tc>
      </w:tr>
      <w:tr>
        <w:trPr>
          <w:trHeight w:val="238"/>
        </w:trPr>
        <w:tc>
          <w:tcPr>
            <w:tcW w:w="4700" w:type="dxa"/>
            <w:vAlign w:val="bottom"/>
          </w:tcPr>
          <w:p>
            <w:pPr>
              <w:ind w:left="640"/>
              <w:spacing w:after="0"/>
              <w:rPr>
                <w:sz w:val="20"/>
                <w:szCs w:val="20"/>
                <w:color w:val="auto"/>
              </w:rPr>
            </w:pPr>
            <w:r>
              <w:rPr>
                <w:rFonts w:ascii="Arial" w:cs="Arial" w:eastAsia="Arial" w:hAnsi="Arial"/>
                <w:sz w:val="17"/>
                <w:szCs w:val="17"/>
                <w:color w:val="auto"/>
              </w:rPr>
              <w:t>Loss from operations</w:t>
            </w:r>
          </w:p>
        </w:tc>
        <w:tc>
          <w:tcPr>
            <w:tcW w:w="9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(206,529)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(136,645)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(43,132)</w:t>
            </w:r>
          </w:p>
        </w:tc>
        <w:tc>
          <w:tcPr>
            <w:tcW w:w="0" w:type="dxa"/>
            <w:vAlign w:val="bottom"/>
          </w:tcPr>
          <w:p>
            <w:pPr>
              <w:spacing w:after="0"/>
              <w:rPr>
                <w:sz w:val="1"/>
                <w:szCs w:val="1"/>
                <w:color w:val="auto"/>
              </w:rPr>
            </w:pPr>
          </w:p>
        </w:tc>
      </w:tr>
      <w:tr>
        <w:trPr>
          <w:trHeight w:val="258"/>
        </w:trPr>
        <w:tc>
          <w:tcPr>
            <w:tcW w:w="4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 income, net</w:t>
            </w:r>
          </w:p>
        </w:tc>
        <w:tc>
          <w:tcPr>
            <w:tcW w:w="9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1,136</w:t>
            </w:r>
          </w:p>
        </w:tc>
        <w:tc>
          <w:tcPr>
            <w:tcW w:w="0" w:type="dxa"/>
            <w:vAlign w:val="bottom"/>
          </w:tcPr>
          <w:p>
            <w:pPr>
              <w:spacing w:after="0"/>
              <w:rPr>
                <w:sz w:val="1"/>
                <w:szCs w:val="1"/>
                <w:color w:val="auto"/>
              </w:rPr>
            </w:pPr>
          </w:p>
        </w:tc>
      </w:tr>
      <w:tr>
        <w:trPr>
          <w:trHeight w:val="213"/>
        </w:trPr>
        <w:tc>
          <w:tcPr>
            <w:tcW w:w="4700" w:type="dxa"/>
            <w:vAlign w:val="bottom"/>
          </w:tcPr>
          <w:p>
            <w:pPr>
              <w:ind w:left="640"/>
              <w:spacing w:after="0"/>
              <w:rPr>
                <w:sz w:val="20"/>
                <w:szCs w:val="20"/>
                <w:color w:val="auto"/>
              </w:rPr>
            </w:pPr>
            <w:r>
              <w:rPr>
                <w:rFonts w:ascii="Arial" w:cs="Arial" w:eastAsia="Arial" w:hAnsi="Arial"/>
                <w:sz w:val="17"/>
                <w:szCs w:val="17"/>
                <w:color w:val="auto"/>
              </w:rPr>
              <w:t>Net loss</w:t>
            </w: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(206,356)</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(135,678)</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(41,996)</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00" w:type="dxa"/>
            <w:vAlign w:val="bottom"/>
            <w:tcBorders>
              <w:bottom w:val="single" w:sz="8" w:color="CCEEFF"/>
            </w:tcBorders>
            <w:shd w:val="clear" w:color="auto" w:fill="CCEEFF"/>
          </w:tcPr>
          <w:p>
            <w:pPr>
              <w:ind w:left="640"/>
              <w:spacing w:after="0" w:line="211" w:lineRule="exact"/>
              <w:rPr>
                <w:sz w:val="20"/>
                <w:szCs w:val="20"/>
                <w:color w:val="auto"/>
              </w:rPr>
            </w:pPr>
            <w:r>
              <w:rPr>
                <w:rFonts w:ascii="Arial" w:cs="Arial" w:eastAsia="Arial" w:hAnsi="Arial"/>
                <w:sz w:val="17"/>
                <w:szCs w:val="17"/>
                <w:color w:val="auto"/>
              </w:rPr>
              <w:t>Net loss per share, basic and diluted</w:t>
            </w:r>
            <w:r>
              <w:rPr>
                <w:rFonts w:ascii="Arial" w:cs="Arial" w:eastAsia="Arial" w:hAnsi="Arial"/>
                <w:sz w:val="22"/>
                <w:szCs w:val="22"/>
                <w:color w:val="auto"/>
                <w:vertAlign w:val="superscript"/>
              </w:rPr>
              <w:t>(1)</w:t>
            </w:r>
          </w:p>
        </w:tc>
        <w:tc>
          <w:tcPr>
            <w:tcW w:w="9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Weighted-average shares used in computing net loss per</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180"/>
              <w:spacing w:after="0" w:line="207" w:lineRule="exact"/>
              <w:rPr>
                <w:sz w:val="20"/>
                <w:szCs w:val="20"/>
                <w:color w:val="auto"/>
              </w:rPr>
            </w:pPr>
            <w:r>
              <w:rPr>
                <w:rFonts w:ascii="Arial" w:cs="Arial" w:eastAsia="Arial" w:hAnsi="Arial"/>
                <w:sz w:val="17"/>
                <w:szCs w:val="17"/>
                <w:color w:val="auto"/>
              </w:rPr>
              <w:t>share, basic and diluted</w:t>
            </w:r>
            <w:r>
              <w:rPr>
                <w:rFonts w:ascii="Arial" w:cs="Arial" w:eastAsia="Arial" w:hAnsi="Arial"/>
                <w:sz w:val="22"/>
                <w:szCs w:val="22"/>
                <w:color w:val="auto"/>
                <w:vertAlign w:val="superscript"/>
              </w:rPr>
              <w:t>(1)</w:t>
            </w:r>
          </w:p>
        </w:tc>
        <w:tc>
          <w:tcPr>
            <w:tcW w:w="9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49,405,575</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35,668,152</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1,843,213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17" w:lineRule="exact"/>
        <w:rPr>
          <w:sz w:val="20"/>
          <w:szCs w:val="20"/>
          <w:color w:val="auto"/>
        </w:rPr>
      </w:pPr>
    </w:p>
    <w:p>
      <w:pPr>
        <w:ind w:left="620" w:right="40" w:hanging="617"/>
        <w:spacing w:after="0" w:line="238" w:lineRule="auto"/>
        <w:tabs>
          <w:tab w:leader="none" w:pos="607" w:val="left"/>
        </w:tabs>
        <w:numPr>
          <w:ilvl w:val="0"/>
          <w:numId w:val="48"/>
        </w:numPr>
        <w:rPr>
          <w:rFonts w:ascii="Arial" w:cs="Arial" w:eastAsia="Arial" w:hAnsi="Arial"/>
          <w:sz w:val="14"/>
          <w:szCs w:val="14"/>
          <w:color w:val="auto"/>
        </w:rPr>
      </w:pPr>
      <w:r>
        <w:rPr>
          <w:rFonts w:ascii="Arial" w:cs="Arial" w:eastAsia="Arial" w:hAnsi="Arial"/>
          <w:sz w:val="14"/>
          <w:szCs w:val="14"/>
          <w:color w:val="auto"/>
        </w:rPr>
        <w:t>See Notes 2 and 12 to our audited financial statements included elsewhere in this Annual Report on Form 10-K for a description of how we compute basic and diluted net loss per share and the weighted-average number of shares used in the computation of these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8"/>
              </w:rPr>
              <w:t>December 31,</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0"/>
        </w:trPr>
        <w:tc>
          <w:tcPr>
            <w:tcW w:w="65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2020</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194"/>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(in thousands)</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5"/>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 data:</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8"/>
        </w:trPr>
        <w:tc>
          <w:tcPr>
            <w:tcW w:w="6520" w:type="dxa"/>
            <w:vAlign w:val="bottom"/>
          </w:tcPr>
          <w:p>
            <w:pPr>
              <w:ind w:left="20"/>
              <w:spacing w:after="0"/>
              <w:rPr>
                <w:sz w:val="20"/>
                <w:szCs w:val="20"/>
                <w:color w:val="auto"/>
              </w:rPr>
            </w:pPr>
            <w:r>
              <w:rPr>
                <w:rFonts w:ascii="Arial" w:cs="Arial" w:eastAsia="Arial" w:hAnsi="Arial"/>
                <w:sz w:val="17"/>
                <w:szCs w:val="17"/>
                <w:color w:val="auto"/>
              </w:rPr>
              <w:t>Cash, cash equivalents, restricted cash and marketable securities</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388,601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59"/>
              <w:spacing w:after="0"/>
              <w:rPr>
                <w:sz w:val="20"/>
                <w:szCs w:val="20"/>
                <w:color w:val="auto"/>
              </w:rPr>
            </w:pPr>
            <w:r>
              <w:rPr>
                <w:rFonts w:ascii="Arial" w:cs="Arial" w:eastAsia="Arial" w:hAnsi="Arial"/>
                <w:sz w:val="17"/>
                <w:szCs w:val="17"/>
                <w:color w:val="auto"/>
              </w:rPr>
              <w:t>285,983</w:t>
            </w:r>
          </w:p>
        </w:tc>
        <w:tc>
          <w:tcPr>
            <w:tcW w:w="44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101,265</w:t>
            </w:r>
          </w:p>
        </w:tc>
      </w:tr>
      <w:tr>
        <w:trPr>
          <w:trHeight w:val="258"/>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369,447</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270,224</w:t>
            </w: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101,237</w:t>
            </w:r>
          </w:p>
        </w:tc>
      </w:tr>
      <w:tr>
        <w:trPr>
          <w:trHeight w:val="220"/>
        </w:trPr>
        <w:tc>
          <w:tcPr>
            <w:tcW w:w="65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6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408,152</w:t>
            </w:r>
          </w:p>
        </w:tc>
        <w:tc>
          <w:tcPr>
            <w:tcW w:w="2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7"/>
                <w:szCs w:val="17"/>
                <w:color w:val="auto"/>
              </w:rPr>
              <w:t>298,269</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107,012</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preferred stock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166,491</w:t>
            </w:r>
          </w:p>
        </w:tc>
      </w:tr>
      <w:tr>
        <w:trPr>
          <w:trHeight w:val="220"/>
        </w:trPr>
        <w:tc>
          <w:tcPr>
            <w:tcW w:w="6520" w:type="dxa"/>
            <w:vAlign w:val="bottom"/>
          </w:tcPr>
          <w:p>
            <w:pPr>
              <w:ind w:left="20"/>
              <w:spacing w:after="0"/>
              <w:rPr>
                <w:sz w:val="20"/>
                <w:szCs w:val="20"/>
                <w:color w:val="auto"/>
              </w:rPr>
            </w:pPr>
            <w:r>
              <w:rPr>
                <w:rFonts w:ascii="Arial" w:cs="Arial" w:eastAsia="Arial" w:hAnsi="Arial"/>
                <w:sz w:val="17"/>
                <w:szCs w:val="17"/>
                <w:color w:val="auto"/>
              </w:rPr>
              <w:t>Long-term debt, net</w:t>
            </w:r>
          </w:p>
        </w:tc>
        <w:tc>
          <w:tcPr>
            <w:tcW w:w="36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72,350</w:t>
            </w:r>
          </w:p>
        </w:tc>
        <w:tc>
          <w:tcPr>
            <w:tcW w:w="2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(408,306)</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(201,950)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(66,272)</w:t>
            </w:r>
          </w:p>
        </w:tc>
      </w:tr>
      <w:tr>
        <w:trPr>
          <w:trHeight w:val="259"/>
        </w:trPr>
        <w:tc>
          <w:tcPr>
            <w:tcW w:w="6520" w:type="dxa"/>
            <w:vAlign w:val="bottom"/>
          </w:tcPr>
          <w:p>
            <w:pPr>
              <w:ind w:left="20"/>
              <w:spacing w:after="0"/>
              <w:rPr>
                <w:sz w:val="20"/>
                <w:szCs w:val="20"/>
                <w:color w:val="auto"/>
              </w:rPr>
            </w:pPr>
            <w:r>
              <w:rPr>
                <w:rFonts w:ascii="Arial" w:cs="Arial" w:eastAsia="Arial" w:hAnsi="Arial"/>
                <w:sz w:val="17"/>
                <w:szCs w:val="17"/>
                <w:color w:val="auto"/>
              </w:rPr>
              <w:t>Total stockholders’ equity (deficit)</w:t>
            </w:r>
          </w:p>
        </w:tc>
        <w:tc>
          <w:tcPr>
            <w:tcW w:w="360" w:type="dxa"/>
            <w:vAlign w:val="bottom"/>
          </w:tcPr>
          <w:p>
            <w:pPr>
              <w:spacing w:after="0"/>
              <w:rPr>
                <w:sz w:val="22"/>
                <w:szCs w:val="22"/>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297,677</w:t>
            </w:r>
          </w:p>
        </w:tc>
        <w:tc>
          <w:tcPr>
            <w:tcW w:w="280" w:type="dxa"/>
            <w:vAlign w:val="bottom"/>
          </w:tcPr>
          <w:p>
            <w:pPr>
              <w:spacing w:after="0"/>
              <w:rPr>
                <w:sz w:val="22"/>
                <w:szCs w:val="22"/>
                <w:color w:val="auto"/>
              </w:rPr>
            </w:pPr>
          </w:p>
        </w:tc>
        <w:tc>
          <w:tcPr>
            <w:tcW w:w="1320" w:type="dxa"/>
            <w:vAlign w:val="bottom"/>
          </w:tcPr>
          <w:p>
            <w:pPr>
              <w:jc w:val="right"/>
              <w:ind w:right="59"/>
              <w:spacing w:after="0"/>
              <w:rPr>
                <w:sz w:val="20"/>
                <w:szCs w:val="20"/>
                <w:color w:val="auto"/>
              </w:rPr>
            </w:pPr>
            <w:r>
              <w:rPr>
                <w:rFonts w:ascii="Arial" w:cs="Arial" w:eastAsia="Arial" w:hAnsi="Arial"/>
                <w:sz w:val="17"/>
                <w:szCs w:val="17"/>
                <w:color w:val="auto"/>
              </w:rPr>
              <w:t>270,621</w:t>
            </w:r>
          </w:p>
        </w:tc>
        <w:tc>
          <w:tcPr>
            <w:tcW w:w="4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(65,029)</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17" w:lineRule="exact"/>
        <w:rPr>
          <w:sz w:val="20"/>
          <w:szCs w:val="20"/>
          <w:color w:val="auto"/>
        </w:rPr>
      </w:pPr>
    </w:p>
    <w:p>
      <w:pPr>
        <w:ind w:left="620" w:right="180" w:hanging="617"/>
        <w:spacing w:after="0" w:line="238" w:lineRule="auto"/>
        <w:tabs>
          <w:tab w:leader="none" w:pos="607"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and related notes for further details regarding our current assets and current liabilities.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44" w:lineRule="exact"/>
        <w:rPr>
          <w:sz w:val="20"/>
          <w:szCs w:val="20"/>
          <w:color w:val="auto"/>
        </w:rPr>
      </w:pPr>
    </w:p>
    <w:p>
      <w:pPr>
        <w:ind w:right="120" w:firstLine="620"/>
        <w:spacing w:after="0" w:line="260"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“Selected Financial Data” and our audited financial statements and related notes appearing elsewhere in this Annual Report on Form 10-K. Some of the information contained in this discussion and analysis or set forth elsewhere in this Annual Report on Form 10-K, including information with respect to our plans, objectives, expectations, projections and strategy for our business, includes forward-looking statements that involve risks and uncertainties. As a result of many factors, including those factors identified below and those set forth in the “Risk Factors” section of this Annual Report on Form 10-K, our actual results and the timing of selected events could differ materially from the forward-looking statements contained in the following discussion and analysis. Please also see the section entitled “Special Note Regarding Forward-Looking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Overview</w:t>
      </w:r>
    </w:p>
    <w:p>
      <w:pPr>
        <w:spacing w:after="0" w:line="175" w:lineRule="exact"/>
        <w:rPr>
          <w:sz w:val="20"/>
          <w:szCs w:val="20"/>
          <w:color w:val="auto"/>
        </w:rPr>
      </w:pPr>
    </w:p>
    <w:p>
      <w:pPr>
        <w:ind w:right="140" w:firstLine="620"/>
        <w:spacing w:after="0" w:line="251" w:lineRule="auto"/>
        <w:rPr>
          <w:sz w:val="20"/>
          <w:szCs w:val="20"/>
          <w:color w:val="auto"/>
        </w:rPr>
      </w:pPr>
      <w:r>
        <w:rPr>
          <w:rFonts w:ascii="Arial" w:cs="Arial" w:eastAsia="Arial" w:hAnsi="Arial"/>
          <w:sz w:val="17"/>
          <w:szCs w:val="17"/>
          <w:color w:val="auto"/>
        </w:rPr>
        <w:t>We are a late-stage biopharmaceutical company focused on developing and commercializing treatments for dermatological diseases with high unmet medical needs. Our current portfolio is comprised of highly differentiated topical treatments with significant potential to treat immune-mediated dermatological diseases and conditions. We believe we have built the industry's leading platform for dermatologic product development. Our strategy is to focus on validated biological targets, and to use our drug development platform and deep dermatology expertise to develop differentiated products that have the potential to address the major shortcomings of existing therapies in our targeted indications. We believe this strategy uniquely positions us to rapidly progress towards our goal of bridging the treatment innovation gap in dermatology, while maximizing our probability of technical success and financial resources.</w:t>
      </w:r>
    </w:p>
    <w:p>
      <w:pPr>
        <w:spacing w:after="0" w:line="3"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Our lead product candidate, roflumilast cream, has successfully completed pivotal Phase 3 clinical trials in plaque psoriasis, demonstrating symptomatic improvement and favorable tolerability in this population. We have submitted a NDA to the FDA, and the FDA has set a PDUFA action date of July 29, 2022. Roflumilast cream is a once-daily topical formulation of roflumilast, a highly potent and selective PDE4 inhibitor. PDE4 is an established biological target in dermatology, with multiple PDE4 inhibitors approved by the FDA for the systematic treatment of dermatological conditions. We are developing roflumilast cream for the treatment of plaque psoriasis, including psoriasis in intertriginous regions such as the groin, axillae, and inframammary areas, as well as atopic dermatitis. We have also successfully completed a long-term safety study of roflumilast cream in plaque psoriasis subjects showing continued symptomatic improvement and favorable tolerability over a treatment period of 52 to 64 weeks. In atopic dermatitis, we have initiated three pivotal Phase 3 clinical studies: INTEGUMENT-1 and -2 are enrolling subjects six years of age or older and INTEGUMENT-PED is enrolling subjects between the ages of two and five years. We expect to provide topline data from each of INTEGUMENT-1 and -2 by the end of 2022. We intend to submit an sNDA for topical roflumilast cream for the treatment of atopic dermatitis patients aged six years or older in 2023 based on the results of INTEGUMENT-1 and -2. We expect to provide topline data from INTEGUMENT-PED in 2023 and submit a subsequent sNDA for the younger age cohort following the potential initial atopic dermatitis approval in patients aged six years or older.</w:t>
      </w:r>
    </w:p>
    <w:p>
      <w:pPr>
        <w:spacing w:after="0" w:line="148"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We are also developing a topical foam formulation of roflumilast, and have successfully completed Phase 2 clinical trials in both seborrheic dermatitis and scalp and body psoriasis. In seborrheic dermatitis, we have initiated a single pivotal Phase 3 clinical trial, with topline data anticipated in mid-year 2022. We also initiated a single pivotal Phase 3 clinical trial in scalp and body psoriasis indications, with topline data anticipated in the second half of 2022. If these pivotal Phase 3 trials for roflumilast foam are positive, we expect the data to be sufficient basis for an NDA submission to the FDA for each indication.</w:t>
      </w:r>
    </w:p>
    <w:p>
      <w:pPr>
        <w:spacing w:after="0" w:line="129" w:lineRule="exact"/>
        <w:rPr>
          <w:sz w:val="20"/>
          <w:szCs w:val="20"/>
          <w:color w:val="auto"/>
        </w:rPr>
      </w:pPr>
    </w:p>
    <w:p>
      <w:pPr>
        <w:ind w:right="180" w:firstLine="620"/>
        <w:spacing w:after="0" w:line="256" w:lineRule="auto"/>
        <w:rPr>
          <w:sz w:val="20"/>
          <w:szCs w:val="20"/>
          <w:color w:val="auto"/>
        </w:rPr>
      </w:pPr>
      <w:r>
        <w:rPr>
          <w:rFonts w:ascii="Arial" w:cs="Arial" w:eastAsia="Arial" w:hAnsi="Arial"/>
          <w:sz w:val="17"/>
          <w:szCs w:val="17"/>
          <w:color w:val="auto"/>
        </w:rPr>
        <w:t>Beyond topical roflumilast, we are developing ARQ-252, a potent and highly selective topical JAK1 inhibitor. In May 2021, we announced that the Phase 2 study of ARQ-252 in chronic hand eczema did not meet its primary endpoint with further analyses of the study pointing to inadequate local drug delivery to the skin. Given these analyses, we also elected to terminate the Phase 2a clinical trial evaluating ARQ-252 as a potential treatment in vitiligo, as we began reformulation efforts to develop an enhanced formulation of ARQ-252 that delivers more active drug to targets in the skin. Additionally, we have formulation and nonclinical efforts continuing for ARQ-255, an alternative deep-penetrating topical formulation of ARQ-252 designed to reach deeper into the skin and hair follicle in order to potentially treat alopecia areata.The ARQ-255 formulation is separate and distinct from ARQ-252, and thus there are no implications to ARQ-255 from ARQ-252.</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2" w:name="page93"/>
    <w:bookmarkEnd w:id="9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314" w:lineRule="exact"/>
        <w:rPr>
          <w:sz w:val="20"/>
          <w:szCs w:val="20"/>
          <w:color w:val="auto"/>
        </w:rPr>
      </w:pPr>
    </w:p>
    <w:p>
      <w:pPr>
        <w:ind w:right="20" w:firstLine="620"/>
        <w:spacing w:after="0" w:line="255" w:lineRule="auto"/>
        <w:rPr>
          <w:sz w:val="20"/>
          <w:szCs w:val="20"/>
          <w:color w:val="auto"/>
        </w:rPr>
      </w:pPr>
      <w:r>
        <w:rPr>
          <w:rFonts w:ascii="Arial" w:cs="Arial" w:eastAsia="Arial" w:hAnsi="Arial"/>
          <w:sz w:val="17"/>
          <w:szCs w:val="17"/>
          <w:color w:val="auto"/>
        </w:rPr>
        <w:t>Since our inception in 2016, we have invested a significant portion of our efforts and financial resources in clinical development activities. We have not generated any revenue from product sales and have funded our operations primarily with the net proceeds from equity and debt offerings. Prior to our IPO, we received $162.5 million in net cash proceeds from private placements of our convertible preferred stock. On February 4, 2020, we received $167.2 million in net proceeds in connection with our IPO. On October 6, 2020, we closed a public offering and a concurrent private placement of our common stock and received an aggregate of $128.4 million in net proceeds. Also, on February 5, 2021, we closed a public offering of our common stock and received an aggregate of $207.5 million in net proceeds. On December 22, 2021, we entered into a loan and security agreement, or the Loan Agreement, with SLR Investment Corp. (SLR) and the lenders party thereto for an aggregate principal amount of $225.0 million, of which $75.0 million has been funded and is outstanding, resulting in net proceeds of $72.4 million. See Note 1 to the financial statements for additional information.</w:t>
      </w:r>
    </w:p>
    <w:p>
      <w:pPr>
        <w:spacing w:after="0" w:line="121" w:lineRule="exact"/>
        <w:rPr>
          <w:sz w:val="20"/>
          <w:szCs w:val="20"/>
          <w:color w:val="auto"/>
        </w:rPr>
      </w:pPr>
    </w:p>
    <w:p>
      <w:pPr>
        <w:jc w:val="both"/>
        <w:ind w:right="280" w:firstLine="620"/>
        <w:spacing w:after="0" w:line="257" w:lineRule="auto"/>
        <w:rPr>
          <w:sz w:val="20"/>
          <w:szCs w:val="20"/>
          <w:color w:val="auto"/>
        </w:rPr>
      </w:pPr>
      <w:r>
        <w:rPr>
          <w:rFonts w:ascii="Arial" w:cs="Arial" w:eastAsia="Arial" w:hAnsi="Arial"/>
          <w:sz w:val="17"/>
          <w:szCs w:val="17"/>
          <w:color w:val="auto"/>
        </w:rPr>
        <w:t>We have incurred net losses in each year since inception, including net losses of $206.4 million, $135.7 million and $42.0 million for the years ended December 31, 2021, 2020 and 2019, respectively. As of December 31, 2021, we had an accumulated deficit of $408.3 million and cash, cash equivalents, restricted cash and marketable securities of $388.6 million. As of December 31, 2021, we had $75.0 million outstanding under the Loan Agreement and an aggregate of up to $150.0 million in additional funding under the Loan Agreement that may become available subject to the satisfaction of specified conditions.</w:t>
      </w:r>
    </w:p>
    <w:p>
      <w:pPr>
        <w:spacing w:after="0" w:line="129"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We expect to continue to incur losses for the foreseeable future and expect to incur increased expenses as we advance our product candidates through clinical trials and regulatory submissions. We do not expect to generate revenue from product sales unless, and until, we obtain regulatory approval or clearance from the FDA or other foreign regulatory authorities for our product candidates. If we obtain regulatory approval or clearance for our product candidates, we expect to incur significant commercialization expenses related to product sales, marketing, manufacturing, and distribution. In addition, we expect that our expenses will increase substantially as we continue nonclinical studies and clinical trials for, and research and development of, our product candidates and maintain, expand, and protect our intellectual property portfolio. As a result, we will need substantial additional funding to support our operating activities. Adequate funding may not be available to us on acceptable terms, or at all. We currently anticipate that we will seek to fund our operations through equity or debt financings or other sources, such as future potential collaboration agreements. Our failure to obtain sufficient funds on acceptable terms as and when needed could have a material adverse effect on our business, results of operations, and financial condition. See “Liquidity, Capital Resources, and Requirements” below and Note 1 to the financial statements for additional information. Based on our current planned operations, we expect that our current cash, cash equivalents, and marketable securities, combined with committed funding under the Loan Agreement, will be sufficient to fund our operations into 2024.</w:t>
      </w:r>
    </w:p>
    <w:p>
      <w:pPr>
        <w:spacing w:after="0" w:line="131" w:lineRule="exact"/>
        <w:rPr>
          <w:sz w:val="20"/>
          <w:szCs w:val="20"/>
          <w:color w:val="auto"/>
        </w:rPr>
      </w:pPr>
    </w:p>
    <w:p>
      <w:pPr>
        <w:ind w:right="40" w:firstLine="620"/>
        <w:spacing w:after="0" w:line="257" w:lineRule="auto"/>
        <w:rPr>
          <w:sz w:val="20"/>
          <w:szCs w:val="20"/>
          <w:color w:val="auto"/>
        </w:rPr>
      </w:pPr>
      <w:r>
        <w:rPr>
          <w:rFonts w:ascii="Arial" w:cs="Arial" w:eastAsia="Arial" w:hAnsi="Arial"/>
          <w:sz w:val="17"/>
          <w:szCs w:val="17"/>
          <w:color w:val="auto"/>
        </w:rPr>
        <w:t>We rely on third parties in the conduct of our nonclinical studies and clinical trials and for manufacturing and supply of our product candidates. We have no internal manufacturing capabilities, and we will continue to rely on third parties, many of whom are single source suppliers, for our nonclinical and clinical trial materials, as well as the commercial supply of our products. In addition, we do not yet have a sales organization or fully developed commercial infrastructure. Accordingly, we expect to incur significant expenses to fully develop a sales organization or commercial infrastructure in advance of generating any product sales.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Update</w:t>
      </w:r>
    </w:p>
    <w:p>
      <w:pPr>
        <w:spacing w:after="0" w:line="18" w:lineRule="exact"/>
        <w:rPr>
          <w:sz w:val="20"/>
          <w:szCs w:val="20"/>
          <w:color w:val="auto"/>
        </w:rPr>
      </w:pPr>
    </w:p>
    <w:p>
      <w:pPr>
        <w:ind w:firstLine="620"/>
        <w:spacing w:after="0" w:line="225" w:lineRule="auto"/>
        <w:rPr>
          <w:sz w:val="20"/>
          <w:szCs w:val="20"/>
          <w:color w:val="auto"/>
        </w:rPr>
      </w:pPr>
      <w:r>
        <w:rPr>
          <w:rFonts w:ascii="Arial" w:cs="Arial" w:eastAsia="Arial" w:hAnsi="Arial"/>
          <w:sz w:val="17"/>
          <w:szCs w:val="17"/>
          <w:color w:val="auto"/>
        </w:rPr>
        <w:t>In March 2020, the World Health Organization declared a pandemic related to the COVID-19 outbreak. COVID-19 has placed strains on the providers of healthcare services, including the sites where we conduct our clinical trials. These strains have resulted in some clinical sites slowing or halting enrollment in clinical trials and restricting the on-site monitoring of clinical trials. We follow FDA guidance on clinical trial conduct during the COVID-19 pandemic, including the remote monitoring of clinical data. We are monitoring the impact COVID-19 may have on the clinical development of our product candidates, including potential delays or modifications to ongoing and planned trials. We believe that the rapid spread of the Omicron variant in late 2021 and early 2022 has likely had a minor impact on the enrollment of our clinical trials. Because of this likely impact, along with the inherent challenges of enrolling young children in clinical trials, we have updated our expectation for providing topline data for the INTEGUMENT-PED trial, in atopic dermatitis subjects between two and five years of age, to 2023. We cannot, at this time, predict the specific extent, duration, or full impact that the COVID-19 outbreak will have on our ongoing and planned clinical trials and other business operations, including our commercialization activities.</w:t>
      </w:r>
    </w:p>
    <w:p>
      <w:pPr>
        <w:spacing w:after="0" w:line="131" w:lineRule="exact"/>
        <w:rPr>
          <w:sz w:val="20"/>
          <w:szCs w:val="20"/>
          <w:color w:val="auto"/>
        </w:rPr>
      </w:pPr>
    </w:p>
    <w:p>
      <w:pPr>
        <w:ind w:right="500" w:firstLine="620"/>
        <w:spacing w:after="0" w:line="269" w:lineRule="auto"/>
        <w:rPr>
          <w:sz w:val="20"/>
          <w:szCs w:val="20"/>
          <w:color w:val="auto"/>
        </w:rPr>
      </w:pPr>
      <w:r>
        <w:rPr>
          <w:rFonts w:ascii="Arial" w:cs="Arial" w:eastAsia="Arial" w:hAnsi="Arial"/>
          <w:sz w:val="17"/>
          <w:szCs w:val="17"/>
          <w:color w:val="auto"/>
        </w:rPr>
        <w:t>There have been no disruptions in our supply chain of drug manufacturers necessary to conduct our clinical trials and, given our drug inventories, we believe that we will be able to supply the drug needs of our ongoing clinical studies.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314" w:lineRule="exact"/>
        <w:rPr>
          <w:sz w:val="20"/>
          <w:szCs w:val="20"/>
          <w:color w:val="auto"/>
        </w:rPr>
      </w:pPr>
    </w:p>
    <w:p>
      <w:pPr>
        <w:jc w:val="both"/>
        <w:ind w:right="40" w:firstLine="620"/>
        <w:spacing w:after="0" w:line="261" w:lineRule="auto"/>
        <w:rPr>
          <w:sz w:val="20"/>
          <w:szCs w:val="20"/>
          <w:color w:val="auto"/>
        </w:rPr>
      </w:pPr>
      <w:r>
        <w:rPr>
          <w:rFonts w:ascii="Arial" w:cs="Arial" w:eastAsia="Arial" w:hAnsi="Arial"/>
          <w:sz w:val="17"/>
          <w:szCs w:val="17"/>
          <w:color w:val="auto"/>
        </w:rPr>
        <w:t>In alignment with public health guidance designed to slow the spread of COVID-19, we implemented a remote work plan for all employees as of mid-March 2020. We may need to undertake additional actions that could impact our operations as required by applicable laws or regulations, or which we determine to be in the best interests of our employees.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License Agreements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AstraZeneca License Agreement</w:t>
      </w:r>
    </w:p>
    <w:p>
      <w:pPr>
        <w:spacing w:after="0" w:line="173"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In July 2018, we entered into the AstraZeneca License Agreement with AstraZeneca, granting us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we have sole responsibility for development, regulatory, and commercialization activities for the AZ-Licensed Products in the Dermatology Field, at our expense, and we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115"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We paid AstraZeneca an upfront non-refundable cash payment of $1.0 million and issued 484,388 shares of our Series B convertible preferred stock, valued at $3.0 million on the date of the AstraZeneca License Agreement. We subsequently paid AstraZeneca the first milestone cash payment of $2.0 million upon the completion of a Phase 2b study of roflumilast cream in plaque psoriasis in August 2019 for the achievement of positive Phase 2 data for an AZ-Licensed Product. We have agreed to make additional cash payments to AstraZeneca of up to an aggregate of $12.5 million upon the achievement of specific regulatory approval milestones with respect to the AZ-Licensed Products, which includes $7.5 million upon FDA approval of our first product, and payments up to an additional aggregate amount of $15.0 million upon the achievement of certain aggregate worldwide net sales milestones. With respect to any AZ-Licensed Products we commercialize under the AstraZeneca License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 See Note 6 to the financial statements for additional information.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Hengrui Exclusive Option and License Agreement</w:t>
      </w:r>
    </w:p>
    <w:p>
      <w:pPr>
        <w:spacing w:after="0" w:line="160" w:lineRule="exact"/>
        <w:rPr>
          <w:sz w:val="20"/>
          <w:szCs w:val="20"/>
          <w:color w:val="auto"/>
        </w:rPr>
      </w:pPr>
    </w:p>
    <w:p>
      <w:pPr>
        <w:ind w:firstLine="620"/>
        <w:spacing w:after="0" w:line="254" w:lineRule="auto"/>
        <w:rPr>
          <w:sz w:val="20"/>
          <w:szCs w:val="20"/>
          <w:color w:val="auto"/>
        </w:rPr>
      </w:pPr>
      <w:r>
        <w:rPr>
          <w:rFonts w:ascii="Arial" w:cs="Arial" w:eastAsia="Arial" w:hAnsi="Arial"/>
          <w:sz w:val="17"/>
          <w:szCs w:val="17"/>
          <w:color w:val="auto"/>
        </w:rPr>
        <w:t>In January 2018, we entered into the Hengrui License Agreement, with Hengrui, whereby Hengrui granted us an exclusive option to obtain certain exclusive rights to research, develop, and commercialize products containing the compound designated by Hengrui as SHR0302, a JAK 1 inhibitor, in topical formulations for the treatment of skin diseases, disorders, and conditions in the United States, Canada, Japan, and the European Union (including for clarity the United Kingdom). We made a $0.4 million upfront non-refundable cash payment to Hengrui upon execution of the Hengrui Option and License Agreement. In December 2019, we exercised our exclusive option under the agreement, for which we made a $1.5 million cash payment, and also contemporaneously amended the agreement to expand the territory to additionally include Canada. In addition, we have agreed to make cash payments of up to an aggregate of $20.5 million upon our achievement of specified clinical development and regulatory approval milestones with respect to the licensed products and cash payments of up to an additional aggregate of $200.0 million in sales-based milestones based on achieving certain aggregate annual net sales volumes with respect to a licensed product. With respect to any products we commercialize under the Hengrui License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w:t>
      </w:r>
    </w:p>
    <w:p>
      <w:pPr>
        <w:spacing w:after="0" w:line="140" w:lineRule="exact"/>
        <w:rPr>
          <w:sz w:val="20"/>
          <w:szCs w:val="20"/>
          <w:color w:val="auto"/>
        </w:rPr>
      </w:pPr>
    </w:p>
    <w:p>
      <w:pPr>
        <w:ind w:right="240" w:firstLine="620"/>
        <w:spacing w:after="0" w:line="257" w:lineRule="auto"/>
        <w:rPr>
          <w:sz w:val="20"/>
          <w:szCs w:val="20"/>
          <w:color w:val="auto"/>
        </w:rPr>
      </w:pPr>
      <w:r>
        <w:rPr>
          <w:rFonts w:ascii="Arial" w:cs="Arial" w:eastAsia="Arial" w:hAnsi="Arial"/>
          <w:sz w:val="17"/>
          <w:szCs w:val="17"/>
          <w:color w:val="auto"/>
        </w:rPr>
        <w:t>The agreement continues in effect until the expiration of our obligation to pay royalties as described above, unless earlier terminated in accordance with the following: (1) by either party upon written notice for the other party’s material breach or insolvency event if such party fails to cure such breach or the insolvency event is not dismissed within specified time periods; and (2) by us for convenience upon 90 days prior written notice to Hengrui and having discussed and consulted any potential cause or concern with Hengrui in good faith. See Note 6 to the financial statements for additional information.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73"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Since our inception, we have focused significant resources on our research and development activities, including conducting nonclinical studies and clinical trials, manufacturing development efforts, and activities related to regulatory filings for our product candidates. Research and development costs are expensed as incurred. These costs include direct program expenses, which are payments made to third parties that specifically relate to our research and development, such as payments to clinical research organizations, clinical investigators, manufacturing of clinical material, nonclinical testing, and consultants. In addition, employee costs, including salaries, payroll taxes, benefits, stock-based compensation, and travel for employees contributing to research and development activities are classified as research and development costs. We allocate direct external costs on a program specific basis (topical roflumilast program, topical JAK inhibitor program, and early stage programs). Our internal costs are primarily related to personnel or professional services and apply across programs, and thus are not allocable on a program specific basis.</w:t>
      </w:r>
    </w:p>
    <w:p>
      <w:pPr>
        <w:spacing w:after="0" w:line="121" w:lineRule="exact"/>
        <w:rPr>
          <w:sz w:val="20"/>
          <w:szCs w:val="20"/>
          <w:color w:val="auto"/>
        </w:rPr>
      </w:pPr>
    </w:p>
    <w:p>
      <w:pPr>
        <w:ind w:right="100" w:firstLine="620"/>
        <w:spacing w:after="0" w:line="258" w:lineRule="auto"/>
        <w:rPr>
          <w:sz w:val="20"/>
          <w:szCs w:val="20"/>
          <w:color w:val="auto"/>
        </w:rPr>
      </w:pPr>
      <w:r>
        <w:rPr>
          <w:rFonts w:ascii="Arial" w:cs="Arial" w:eastAsia="Arial" w:hAnsi="Arial"/>
          <w:sz w:val="17"/>
          <w:szCs w:val="17"/>
          <w:color w:val="auto"/>
        </w:rPr>
        <w:t>We expect to continue to incur substantial research and development expenses in the future as we develop our product candidates. In particular, we expect to incur substantial research and development expenses for the Phase 3 trials of roflumilast cream for atopic dermatitis, the Phase 3 trials of roflumilast foam for seborrheic dermatitis and scalp and body psoriasis, ARQ-252 for chronic hand eczema and vitiligo, and ARQ-255 for alopecia areata.</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314"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We have entered, and may continue to enter, into license agreements to access and utilize certain molecules for the treatment of dermatological diseases and disorders. We evaluate if the license agreement is an acquisition of an asset or a business. To date, none of our license agreements have been considered to be an acquisition of a business. For asset acquisitions, the upfront payments to acquire such licenses, as well as any future milestone payments made before product approval, are immediately recognized as research and development expense when due, provided there is no alternative future use of the rights in other research and development projects.</w:t>
      </w:r>
    </w:p>
    <w:p>
      <w:pPr>
        <w:spacing w:after="0" w:line="116" w:lineRule="exact"/>
        <w:rPr>
          <w:sz w:val="20"/>
          <w:szCs w:val="20"/>
          <w:color w:val="auto"/>
        </w:rPr>
      </w:pPr>
    </w:p>
    <w:p>
      <w:pPr>
        <w:ind w:right="180" w:firstLine="620"/>
        <w:spacing w:after="0" w:line="258" w:lineRule="auto"/>
        <w:rPr>
          <w:sz w:val="20"/>
          <w:szCs w:val="20"/>
          <w:color w:val="auto"/>
        </w:rPr>
      </w:pPr>
      <w:r>
        <w:rPr>
          <w:rFonts w:ascii="Arial" w:cs="Arial" w:eastAsia="Arial" w:hAnsi="Arial"/>
          <w:sz w:val="17"/>
          <w:szCs w:val="17"/>
          <w:color w:val="auto"/>
        </w:rPr>
        <w:t>The successful development of our product candidates is highly uncertain. At this time, we cannot reasonably estimate the nature, timing, or costs required to complete the remaining development of roflumilast cream, roflumilast foam, ARQ-252, and ARQ-255, or any future product candidates. This is due to the numerous risks and uncertainties associated with the development of product candidates. See “Risk Factors” for a discussion of the risks and uncertainties associated with the development of our product candidates.</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73" w:lineRule="exact"/>
        <w:rPr>
          <w:sz w:val="20"/>
          <w:szCs w:val="20"/>
          <w:color w:val="auto"/>
        </w:rPr>
      </w:pPr>
    </w:p>
    <w:p>
      <w:pPr>
        <w:ind w:right="180" w:firstLine="620"/>
        <w:spacing w:after="0" w:line="256" w:lineRule="auto"/>
        <w:rPr>
          <w:sz w:val="20"/>
          <w:szCs w:val="20"/>
          <w:color w:val="auto"/>
        </w:rPr>
      </w:pPr>
      <w:r>
        <w:rPr>
          <w:rFonts w:ascii="Arial" w:cs="Arial" w:eastAsia="Arial" w:hAnsi="Arial"/>
          <w:sz w:val="17"/>
          <w:szCs w:val="17"/>
          <w:color w:val="auto"/>
        </w:rPr>
        <w:t>Our general and administrative expenses consist primarily of salaries and related costs, including payroll taxes, benefits, stock-based compensation, and travel. Other general and administrative expenses include costs related to sales support as we prepare for commercialization, legal costs of pursuing patent protection of our intellectual property, insurance, and professional services fees for marketing, auditing, tax, and general legal services. We expect our general and administrative expenses to continue to increase in the future as we expand our operating activities and prepare for potential commercialization of our product candidates, increase our headcount, and support our operations as a public company; including increased expenses related to legal, accounting, insurance, regulatory, and tax-related services associated with maintaining compliance with exchange listing and SEC requirements, directors and officers liability insurance premiums, and investor relations activities.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income, net primarily consists of interest income earned on our cash, cash equivalents, and marketable securities.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2021 and 2020</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our results of operations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700" w:type="dxa"/>
            <w:vAlign w:val="bottom"/>
          </w:tcPr>
          <w:p>
            <w:pPr>
              <w:ind w:left="960"/>
              <w:spacing w:after="0"/>
              <w:rPr>
                <w:sz w:val="20"/>
                <w:szCs w:val="20"/>
                <w:color w:val="auto"/>
              </w:rPr>
            </w:pPr>
            <w:r>
              <w:rPr>
                <w:rFonts w:ascii="Arial" w:cs="Arial" w:eastAsia="Arial" w:hAnsi="Arial"/>
                <w:sz w:val="17"/>
                <w:szCs w:val="17"/>
                <w:color w:val="auto"/>
              </w:rPr>
              <w:t>Research and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700" w:type="dxa"/>
            <w:vAlign w:val="bottom"/>
          </w:tcPr>
          <w:p>
            <w:pPr>
              <w:ind w:left="340"/>
              <w:spacing w:after="0"/>
              <w:rPr>
                <w:sz w:val="20"/>
                <w:szCs w:val="20"/>
                <w:color w:val="auto"/>
              </w:rPr>
            </w:pPr>
            <w:r>
              <w:rPr>
                <w:rFonts w:ascii="Arial" w:cs="Arial" w:eastAsia="Arial" w:hAnsi="Arial"/>
                <w:sz w:val="17"/>
                <w:szCs w:val="17"/>
                <w:color w:val="auto"/>
              </w:rPr>
              <w:t>development</w:t>
            </w:r>
          </w:p>
        </w:tc>
        <w:tc>
          <w:tcPr>
            <w:tcW w:w="114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145,558</w:t>
            </w:r>
          </w:p>
        </w:tc>
        <w:tc>
          <w:tcPr>
            <w:tcW w:w="100" w:type="dxa"/>
            <w:vAlign w:val="bottom"/>
          </w:tcPr>
          <w:p>
            <w:pPr>
              <w:spacing w:after="0"/>
              <w:rPr>
                <w:sz w:val="20"/>
                <w:szCs w:val="20"/>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115,308</w:t>
            </w:r>
          </w:p>
        </w:tc>
        <w:tc>
          <w:tcPr>
            <w:tcW w:w="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30,250</w:t>
            </w:r>
          </w:p>
        </w:tc>
        <w:tc>
          <w:tcPr>
            <w:tcW w:w="1220" w:type="dxa"/>
            <w:vAlign w:val="bottom"/>
            <w:gridSpan w:val="2"/>
          </w:tcPr>
          <w:p>
            <w:pPr>
              <w:jc w:val="right"/>
              <w:ind w:right="14"/>
              <w:spacing w:after="0"/>
              <w:rPr>
                <w:sz w:val="20"/>
                <w:szCs w:val="20"/>
                <w:color w:val="auto"/>
              </w:rPr>
            </w:pPr>
            <w:r>
              <w:rPr>
                <w:rFonts w:ascii="Arial" w:cs="Arial" w:eastAsia="Arial" w:hAnsi="Arial"/>
                <w:sz w:val="17"/>
                <w:szCs w:val="17"/>
                <w:color w:val="auto"/>
              </w:rPr>
              <w:t>26</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ind w:left="960"/>
              <w:spacing w:after="0"/>
              <w:rPr>
                <w:sz w:val="20"/>
                <w:szCs w:val="20"/>
                <w:color w:val="auto"/>
              </w:rPr>
            </w:pPr>
            <w:r>
              <w:rPr>
                <w:rFonts w:ascii="Arial" w:cs="Arial" w:eastAsia="Arial" w:hAnsi="Arial"/>
                <w:sz w:val="17"/>
                <w:szCs w:val="17"/>
                <w:color w:val="auto"/>
              </w:rPr>
              <w:t>General and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administrative</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60,971</w:t>
            </w:r>
          </w:p>
        </w:tc>
        <w:tc>
          <w:tcPr>
            <w:tcW w:w="10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21,337</w:t>
            </w:r>
          </w:p>
        </w:tc>
        <w:tc>
          <w:tcPr>
            <w:tcW w:w="4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39,634</w:t>
            </w:r>
          </w:p>
        </w:tc>
        <w:tc>
          <w:tcPr>
            <w:tcW w:w="10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186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270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operating expenses</w:t>
            </w:r>
          </w:p>
        </w:tc>
        <w:tc>
          <w:tcPr>
            <w:tcW w:w="11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206,529</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136,645</w:t>
            </w:r>
          </w:p>
        </w:tc>
        <w:tc>
          <w:tcPr>
            <w:tcW w:w="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69,884</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2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Loss from operations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(206,529)</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(136,645)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(69,884)</w:t>
            </w:r>
          </w:p>
        </w:tc>
        <w:tc>
          <w:tcPr>
            <w:tcW w:w="12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51</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270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Other income, net</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967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Net loss</w:t>
            </w:r>
          </w:p>
        </w:tc>
        <w:tc>
          <w:tcPr>
            <w:tcW w:w="114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(206,356)</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(135,678)</w:t>
            </w:r>
          </w:p>
        </w:tc>
        <w:tc>
          <w:tcPr>
            <w:tcW w:w="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(70,678)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52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840" w:type="dxa"/>
            <w:vAlign w:val="bottom"/>
            <w:gridSpan w:val="3"/>
          </w:tcPr>
          <w:p>
            <w:pPr>
              <w:ind w:left="620"/>
              <w:spacing w:after="0"/>
              <w:rPr>
                <w:sz w:val="20"/>
                <w:szCs w:val="20"/>
                <w:color w:val="auto"/>
              </w:rPr>
            </w:pPr>
            <w:r>
              <w:rPr>
                <w:rFonts w:ascii="Arial" w:cs="Arial" w:eastAsia="Arial" w:hAnsi="Arial"/>
                <w:sz w:val="17"/>
                <w:szCs w:val="17"/>
                <w:b w:val="1"/>
                <w:bCs w:val="1"/>
                <w:i w:val="1"/>
                <w:iCs w:val="1"/>
                <w:color w:val="auto"/>
              </w:rPr>
              <w:t>Research and Development Expenses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574"/>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7"/>
              </w:rPr>
              <w:t>(in thousands)</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Direct external costs: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700" w:type="dxa"/>
            <w:vAlign w:val="bottom"/>
          </w:tcPr>
          <w:p>
            <w:pPr>
              <w:ind w:left="960"/>
              <w:spacing w:after="0" w:line="180" w:lineRule="exact"/>
              <w:rPr>
                <w:sz w:val="20"/>
                <w:szCs w:val="20"/>
                <w:color w:val="auto"/>
              </w:rPr>
            </w:pPr>
            <w:r>
              <w:rPr>
                <w:rFonts w:ascii="Arial" w:cs="Arial" w:eastAsia="Arial" w:hAnsi="Arial"/>
                <w:sz w:val="17"/>
                <w:szCs w:val="17"/>
                <w:color w:val="auto"/>
              </w:rPr>
              <w:t>Topical roflumilast</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700" w:type="dxa"/>
            <w:vAlign w:val="bottom"/>
          </w:tcPr>
          <w:p>
            <w:pPr>
              <w:ind w:left="340"/>
              <w:spacing w:after="0"/>
              <w:rPr>
                <w:sz w:val="20"/>
                <w:szCs w:val="20"/>
                <w:color w:val="auto"/>
              </w:rPr>
            </w:pPr>
            <w:r>
              <w:rPr>
                <w:rFonts w:ascii="Arial" w:cs="Arial" w:eastAsia="Arial" w:hAnsi="Arial"/>
                <w:sz w:val="17"/>
                <w:szCs w:val="17"/>
                <w:color w:val="auto"/>
              </w:rPr>
              <w:t>program</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89,196</w:t>
            </w:r>
          </w:p>
        </w:tc>
        <w:tc>
          <w:tcPr>
            <w:tcW w:w="124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80,971</w:t>
            </w:r>
          </w:p>
        </w:tc>
        <w:tc>
          <w:tcPr>
            <w:tcW w:w="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8,225</w:t>
            </w:r>
          </w:p>
        </w:tc>
        <w:tc>
          <w:tcPr>
            <w:tcW w:w="1220" w:type="dxa"/>
            <w:vAlign w:val="bottom"/>
            <w:gridSpan w:val="2"/>
          </w:tcPr>
          <w:p>
            <w:pPr>
              <w:jc w:val="right"/>
              <w:ind w:right="14"/>
              <w:spacing w:after="0"/>
              <w:rPr>
                <w:sz w:val="20"/>
                <w:szCs w:val="20"/>
                <w:color w:val="auto"/>
              </w:rPr>
            </w:pPr>
            <w:r>
              <w:rPr>
                <w:rFonts w:ascii="Arial" w:cs="Arial" w:eastAsia="Arial" w:hAnsi="Arial"/>
                <w:sz w:val="17"/>
                <w:szCs w:val="17"/>
                <w:color w:val="auto"/>
              </w:rPr>
              <w:t>10</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ind w:left="960"/>
              <w:spacing w:after="0"/>
              <w:rPr>
                <w:sz w:val="20"/>
                <w:szCs w:val="20"/>
                <w:color w:val="auto"/>
              </w:rPr>
            </w:pPr>
            <w:r>
              <w:rPr>
                <w:rFonts w:ascii="Arial" w:cs="Arial" w:eastAsia="Arial" w:hAnsi="Arial"/>
                <w:sz w:val="17"/>
                <w:szCs w:val="17"/>
                <w:color w:val="auto"/>
              </w:rPr>
              <w:t>Topical JAK inhibitor</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program</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11,683</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14,691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2700" w:type="dxa"/>
            <w:vAlign w:val="bottom"/>
          </w:tcPr>
          <w:p>
            <w:pPr>
              <w:ind w:left="960"/>
              <w:spacing w:after="0"/>
              <w:rPr>
                <w:sz w:val="20"/>
                <w:szCs w:val="20"/>
                <w:color w:val="auto"/>
              </w:rPr>
            </w:pPr>
            <w:r>
              <w:rPr>
                <w:rFonts w:ascii="Arial" w:cs="Arial" w:eastAsia="Arial" w:hAnsi="Arial"/>
                <w:sz w:val="17"/>
                <w:szCs w:val="17"/>
                <w:color w:val="auto"/>
              </w:rPr>
              <w:t>Other early stage</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700" w:type="dxa"/>
            <w:vAlign w:val="bottom"/>
          </w:tcPr>
          <w:p>
            <w:pPr>
              <w:ind w:left="340"/>
              <w:spacing w:after="0"/>
              <w:rPr>
                <w:sz w:val="20"/>
                <w:szCs w:val="20"/>
                <w:color w:val="auto"/>
              </w:rPr>
            </w:pPr>
            <w:r>
              <w:rPr>
                <w:rFonts w:ascii="Arial" w:cs="Arial" w:eastAsia="Arial" w:hAnsi="Arial"/>
                <w:sz w:val="17"/>
                <w:szCs w:val="17"/>
                <w:color w:val="auto"/>
              </w:rPr>
              <w:t>programs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548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298</w:t>
            </w:r>
          </w:p>
        </w:tc>
        <w:tc>
          <w:tcPr>
            <w:tcW w:w="1220" w:type="dxa"/>
            <w:vAlign w:val="bottom"/>
            <w:gridSpan w:val="2"/>
          </w:tcPr>
          <w:p>
            <w:pPr>
              <w:jc w:val="right"/>
              <w:ind w:right="14"/>
              <w:spacing w:after="0"/>
              <w:rPr>
                <w:sz w:val="20"/>
                <w:szCs w:val="20"/>
                <w:color w:val="auto"/>
              </w:rPr>
            </w:pPr>
            <w:r>
              <w:rPr>
                <w:rFonts w:ascii="Arial" w:cs="Arial" w:eastAsia="Arial" w:hAnsi="Arial"/>
                <w:sz w:val="17"/>
                <w:szCs w:val="17"/>
                <w:color w:val="auto"/>
              </w:rPr>
              <w:t>119</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Indirect costs: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700" w:type="dxa"/>
            <w:vAlign w:val="bottom"/>
          </w:tcPr>
          <w:p>
            <w:pPr>
              <w:ind w:left="960"/>
              <w:spacing w:after="0" w:line="180" w:lineRule="exact"/>
              <w:rPr>
                <w:sz w:val="20"/>
                <w:szCs w:val="20"/>
                <w:color w:val="auto"/>
              </w:rPr>
            </w:pPr>
            <w:r>
              <w:rPr>
                <w:rFonts w:ascii="Arial" w:cs="Arial" w:eastAsia="Arial" w:hAnsi="Arial"/>
                <w:sz w:val="17"/>
                <w:szCs w:val="17"/>
                <w:color w:val="auto"/>
              </w:rPr>
              <w:t>Compensation and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700" w:type="dxa"/>
            <w:vAlign w:val="bottom"/>
          </w:tcPr>
          <w:p>
            <w:pPr>
              <w:ind w:left="340"/>
              <w:spacing w:after="0"/>
              <w:rPr>
                <w:sz w:val="20"/>
                <w:szCs w:val="20"/>
                <w:color w:val="auto"/>
              </w:rPr>
            </w:pPr>
            <w:r>
              <w:rPr>
                <w:rFonts w:ascii="Arial" w:cs="Arial" w:eastAsia="Arial" w:hAnsi="Arial"/>
                <w:sz w:val="17"/>
                <w:szCs w:val="17"/>
                <w:color w:val="auto"/>
              </w:rPr>
              <w:t>personnel-related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28,729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13,747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14,982</w:t>
            </w:r>
          </w:p>
        </w:tc>
        <w:tc>
          <w:tcPr>
            <w:tcW w:w="1220" w:type="dxa"/>
            <w:vAlign w:val="bottom"/>
            <w:gridSpan w:val="2"/>
          </w:tcPr>
          <w:p>
            <w:pPr>
              <w:jc w:val="right"/>
              <w:ind w:right="14"/>
              <w:spacing w:after="0"/>
              <w:rPr>
                <w:sz w:val="20"/>
                <w:szCs w:val="20"/>
                <w:color w:val="auto"/>
              </w:rPr>
            </w:pPr>
            <w:r>
              <w:rPr>
                <w:rFonts w:ascii="Arial" w:cs="Arial" w:eastAsia="Arial" w:hAnsi="Arial"/>
                <w:sz w:val="17"/>
                <w:szCs w:val="17"/>
                <w:color w:val="auto"/>
              </w:rPr>
              <w:t>109</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700" w:type="dxa"/>
            <w:vAlign w:val="bottom"/>
            <w:shd w:val="clear" w:color="auto" w:fill="CCEEFF"/>
          </w:tcPr>
          <w:p>
            <w:pPr>
              <w:ind w:left="960"/>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15,402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9,753</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173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0"/>
        </w:trPr>
        <w:tc>
          <w:tcPr>
            <w:tcW w:w="2700" w:type="dxa"/>
            <w:vAlign w:val="bottom"/>
          </w:tcPr>
          <w:p>
            <w:pPr>
              <w:ind w:left="640"/>
              <w:spacing w:after="0" w:line="160" w:lineRule="exact"/>
              <w:rPr>
                <w:sz w:val="20"/>
                <w:szCs w:val="20"/>
                <w:color w:val="auto"/>
              </w:rPr>
            </w:pPr>
            <w:r>
              <w:rPr>
                <w:rFonts w:ascii="Arial" w:cs="Arial" w:eastAsia="Arial" w:hAnsi="Arial"/>
                <w:sz w:val="17"/>
                <w:szCs w:val="17"/>
                <w:color w:val="auto"/>
              </w:rPr>
              <w:t>Total research and</w:t>
            </w: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gridSpan w:val="2"/>
            <w:vMerge w:val="restart"/>
          </w:tcPr>
          <w:p>
            <w:pPr>
              <w:jc w:val="right"/>
              <w:spacing w:after="0"/>
              <w:rPr>
                <w:sz w:val="20"/>
                <w:szCs w:val="20"/>
                <w:color w:val="auto"/>
              </w:rPr>
            </w:pPr>
            <w:r>
              <w:rPr>
                <w:rFonts w:ascii="Arial" w:cs="Arial" w:eastAsia="Arial" w:hAnsi="Arial"/>
                <w:sz w:val="17"/>
                <w:szCs w:val="17"/>
                <w:color w:val="auto"/>
              </w:rPr>
              <w:t>145,558</w:t>
            </w:r>
          </w:p>
        </w:tc>
        <w:tc>
          <w:tcPr>
            <w:tcW w:w="1240" w:type="dxa"/>
            <w:vAlign w:val="bottom"/>
            <w:gridSpan w:val="3"/>
            <w:vMerge w:val="restart"/>
          </w:tcPr>
          <w:p>
            <w:pPr>
              <w:jc w:val="right"/>
              <w:ind w:right="380"/>
              <w:spacing w:after="0"/>
              <w:rPr>
                <w:sz w:val="20"/>
                <w:szCs w:val="20"/>
                <w:color w:val="auto"/>
              </w:rPr>
            </w:pPr>
            <w:r>
              <w:rPr>
                <w:rFonts w:ascii="Arial" w:cs="Arial" w:eastAsia="Arial" w:hAnsi="Arial"/>
                <w:sz w:val="17"/>
                <w:szCs w:val="17"/>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115,308</w:t>
            </w:r>
          </w:p>
        </w:tc>
        <w:tc>
          <w:tcPr>
            <w:tcW w:w="40" w:type="dxa"/>
            <w:vAlign w:val="bottom"/>
          </w:tcPr>
          <w:p>
            <w:pPr>
              <w:spacing w:after="0"/>
              <w:rPr>
                <w:sz w:val="13"/>
                <w:szCs w:val="13"/>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w:t>
            </w: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30,250</w:t>
            </w:r>
          </w:p>
        </w:tc>
        <w:tc>
          <w:tcPr>
            <w:tcW w:w="1220" w:type="dxa"/>
            <w:vAlign w:val="bottom"/>
            <w:gridSpan w:val="2"/>
            <w:vMerge w:val="restart"/>
          </w:tcPr>
          <w:p>
            <w:pPr>
              <w:jc w:val="right"/>
              <w:ind w:right="14"/>
              <w:spacing w:after="0"/>
              <w:rPr>
                <w:sz w:val="20"/>
                <w:szCs w:val="20"/>
                <w:color w:val="auto"/>
              </w:rPr>
            </w:pPr>
            <w:r>
              <w:rPr>
                <w:rFonts w:ascii="Arial" w:cs="Arial" w:eastAsia="Arial" w:hAnsi="Arial"/>
                <w:sz w:val="17"/>
                <w:szCs w:val="17"/>
                <w:color w:val="auto"/>
              </w:rPr>
              <w:t>26</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2700" w:type="dxa"/>
            <w:vAlign w:val="bottom"/>
          </w:tcPr>
          <w:p>
            <w:pPr>
              <w:ind w:left="20"/>
              <w:spacing w:after="0" w:line="182" w:lineRule="exact"/>
              <w:rPr>
                <w:sz w:val="20"/>
                <w:szCs w:val="20"/>
                <w:color w:val="auto"/>
              </w:rPr>
            </w:pPr>
            <w:r>
              <w:rPr>
                <w:rFonts w:ascii="Arial" w:cs="Arial" w:eastAsia="Arial" w:hAnsi="Arial"/>
                <w:sz w:val="17"/>
                <w:szCs w:val="17"/>
                <w:color w:val="auto"/>
              </w:rPr>
              <w:t>development expense</w:t>
            </w:r>
          </w:p>
        </w:tc>
        <w:tc>
          <w:tcPr>
            <w:tcW w:w="11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right="180" w:firstLine="620"/>
        <w:spacing w:after="0" w:line="255" w:lineRule="auto"/>
        <w:rPr>
          <w:sz w:val="20"/>
          <w:szCs w:val="20"/>
          <w:color w:val="auto"/>
        </w:rPr>
      </w:pPr>
      <w:r>
        <w:rPr>
          <w:rFonts w:ascii="Arial" w:cs="Arial" w:eastAsia="Arial" w:hAnsi="Arial"/>
          <w:sz w:val="17"/>
          <w:szCs w:val="17"/>
          <w:color w:val="auto"/>
        </w:rPr>
        <w:t>Research and development expenses increased by $30.3 million, or 26%, for the year ended December 31, 2021 compared to the year ended December 31, 2020. The increase was primarily due to an increase in compensation and personnel-related costs of $15.0 million, an increase in other indirect costs of $ 9.8 million, and an increase in direct costs related to the topical roflumilast program of $8.2 million. These increases were partially offset by a decrease in direct costs related to the topical JAK inhibitor program (ARQ-252 and ARQ-255) of $3.0 million. The increase in compensation and personnel-related expenses, which includes stock-based compensation, was primarily due to an increase in headcount to manage our growing clinical programs. The increase in other indirect costs was primarily due to an increase in medical affairs spending and consulting activity. The increase in topical roflumilast program costs was primarily due to increased manufacturing costs partially offset by a decrease in clinical trial costs. Clinical trial costs declined due to the completion of Phase 3 studies of roflumilast cream in plaque psoriasis, partially offset by the initiation of Phase 3 studies of roflumilast cream in atopic dermatitis and Phase 3 studies of roflumilast foam in seborrheic dermatitis and scalp psoriasis. The decrease in topical JAK inhibitor program costs was primarily due to the completion of our Phase 2 study of ARQ-252 in chronic hand eczema.</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73" w:lineRule="exact"/>
        <w:rPr>
          <w:sz w:val="20"/>
          <w:szCs w:val="20"/>
          <w:color w:val="auto"/>
        </w:rPr>
      </w:pPr>
    </w:p>
    <w:p>
      <w:pPr>
        <w:jc w:val="both"/>
        <w:ind w:right="140" w:firstLine="620"/>
        <w:spacing w:after="0" w:line="257" w:lineRule="auto"/>
        <w:rPr>
          <w:sz w:val="20"/>
          <w:szCs w:val="20"/>
          <w:color w:val="auto"/>
        </w:rPr>
      </w:pPr>
      <w:r>
        <w:rPr>
          <w:rFonts w:ascii="Arial" w:cs="Arial" w:eastAsia="Arial" w:hAnsi="Arial"/>
          <w:sz w:val="17"/>
          <w:szCs w:val="17"/>
          <w:color w:val="auto"/>
        </w:rPr>
        <w:t>General and administrative expenses increased by $39.6 million, or 186%, for the year ended December 31, 2021 compared to the year ended December 31, 2020. The increase was primarily due to an increase in compensation and personnel related expenses of $25.3 million, and an increase in professional services of $13.1 million. The increase in compensation and personnel related expenses, which includes stock-based compensation, was primarily due to an increase in headcount as we prepare for commercialization. The increase in professional services was due to an increase in sales and marketing expenses and consulting activity.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60" w:lineRule="exact"/>
        <w:rPr>
          <w:sz w:val="20"/>
          <w:szCs w:val="20"/>
          <w:color w:val="auto"/>
        </w:rPr>
      </w:pPr>
    </w:p>
    <w:p>
      <w:pPr>
        <w:ind w:right="220" w:firstLine="620"/>
        <w:spacing w:after="0" w:line="269" w:lineRule="auto"/>
        <w:rPr>
          <w:sz w:val="20"/>
          <w:szCs w:val="20"/>
          <w:color w:val="auto"/>
        </w:rPr>
      </w:pPr>
      <w:r>
        <w:rPr>
          <w:rFonts w:ascii="Arial" w:cs="Arial" w:eastAsia="Arial" w:hAnsi="Arial"/>
          <w:sz w:val="17"/>
          <w:szCs w:val="17"/>
          <w:color w:val="auto"/>
        </w:rPr>
        <w:t>Other income, net decreased by $0.8 million, or 82%, for the year ended December 31, 2021 compared to the year ended December 31, 2020. The decrease was primarily due to a lower yield on our investment portfolio.</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2020 and 2019</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our results of operations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760" w:type="dxa"/>
            <w:vAlign w:val="bottom"/>
          </w:tcPr>
          <w:p>
            <w:pPr>
              <w:ind w:left="960"/>
              <w:spacing w:after="0"/>
              <w:rPr>
                <w:sz w:val="20"/>
                <w:szCs w:val="20"/>
                <w:color w:val="auto"/>
              </w:rPr>
            </w:pPr>
            <w:r>
              <w:rPr>
                <w:rFonts w:ascii="Arial" w:cs="Arial" w:eastAsia="Arial" w:hAnsi="Arial"/>
                <w:sz w:val="17"/>
                <w:szCs w:val="17"/>
                <w:color w:val="auto"/>
              </w:rPr>
              <w:t>Research and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760" w:type="dxa"/>
            <w:vAlign w:val="bottom"/>
          </w:tcPr>
          <w:p>
            <w:pPr>
              <w:ind w:left="340"/>
              <w:spacing w:after="0"/>
              <w:rPr>
                <w:sz w:val="20"/>
                <w:szCs w:val="20"/>
                <w:color w:val="auto"/>
              </w:rPr>
            </w:pPr>
            <w:r>
              <w:rPr>
                <w:rFonts w:ascii="Arial" w:cs="Arial" w:eastAsia="Arial" w:hAnsi="Arial"/>
                <w:sz w:val="17"/>
                <w:szCs w:val="17"/>
                <w:color w:val="auto"/>
              </w:rPr>
              <w:t>development</w:t>
            </w: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115,308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36,522</w:t>
            </w:r>
          </w:p>
        </w:tc>
        <w:tc>
          <w:tcPr>
            <w:tcW w:w="100" w:type="dxa"/>
            <w:vAlign w:val="bottom"/>
          </w:tcPr>
          <w:p>
            <w:pPr>
              <w:spacing w:after="0"/>
              <w:rPr>
                <w:sz w:val="20"/>
                <w:szCs w:val="20"/>
                <w:color w:val="auto"/>
              </w:rPr>
            </w:pPr>
          </w:p>
        </w:tc>
        <w:tc>
          <w:tcPr>
            <w:tcW w:w="9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78,786</w:t>
            </w:r>
          </w:p>
        </w:tc>
        <w:tc>
          <w:tcPr>
            <w:tcW w:w="6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216</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27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General and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administrative</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21,337</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6,610</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14,727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gridSpan w:val="2"/>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276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operating expenses</w:t>
            </w: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136,645</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43,132</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93,513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gridSpan w:val="2"/>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2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Loss from operations</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(136,645)</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(43,132)</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(93,513)</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276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Other income, net</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gridSpan w:val="2"/>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Net loss</w:t>
            </w:r>
          </w:p>
        </w:tc>
        <w:tc>
          <w:tcPr>
            <w:tcW w:w="112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(135,678)</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(41,996)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(93,682)</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880" w:type="dxa"/>
            <w:vAlign w:val="bottom"/>
            <w:gridSpan w:val="3"/>
          </w:tcPr>
          <w:p>
            <w:pPr>
              <w:ind w:left="620"/>
              <w:spacing w:after="0"/>
              <w:rPr>
                <w:sz w:val="20"/>
                <w:szCs w:val="20"/>
                <w:color w:val="auto"/>
              </w:rPr>
            </w:pPr>
            <w:r>
              <w:rPr>
                <w:rFonts w:ascii="Arial" w:cs="Arial" w:eastAsia="Arial" w:hAnsi="Arial"/>
                <w:sz w:val="17"/>
                <w:szCs w:val="17"/>
                <w:b w:val="1"/>
                <w:bCs w:val="1"/>
                <w:i w:val="1"/>
                <w:iCs w:val="1"/>
                <w:color w:val="auto"/>
              </w:rPr>
              <w:t>Research and Development Expenses</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Direct external costs: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760" w:type="dxa"/>
            <w:vAlign w:val="bottom"/>
          </w:tcPr>
          <w:p>
            <w:pPr>
              <w:ind w:left="960"/>
              <w:spacing w:after="0"/>
              <w:rPr>
                <w:sz w:val="20"/>
                <w:szCs w:val="20"/>
                <w:color w:val="auto"/>
              </w:rPr>
            </w:pPr>
            <w:r>
              <w:rPr>
                <w:rFonts w:ascii="Arial" w:cs="Arial" w:eastAsia="Arial" w:hAnsi="Arial"/>
                <w:sz w:val="17"/>
                <w:szCs w:val="17"/>
                <w:color w:val="auto"/>
              </w:rPr>
              <w:t>Topical roflumilast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760" w:type="dxa"/>
            <w:vAlign w:val="bottom"/>
          </w:tcPr>
          <w:p>
            <w:pPr>
              <w:ind w:left="340"/>
              <w:spacing w:after="0"/>
              <w:rPr>
                <w:sz w:val="20"/>
                <w:szCs w:val="20"/>
                <w:color w:val="auto"/>
              </w:rPr>
            </w:pPr>
            <w:r>
              <w:rPr>
                <w:rFonts w:ascii="Arial" w:cs="Arial" w:eastAsia="Arial" w:hAnsi="Arial"/>
                <w:sz w:val="17"/>
                <w:szCs w:val="17"/>
                <w:color w:val="auto"/>
              </w:rPr>
              <w:t>program</w:t>
            </w: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80,971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26,677</w:t>
            </w:r>
          </w:p>
        </w:tc>
        <w:tc>
          <w:tcPr>
            <w:tcW w:w="100" w:type="dxa"/>
            <w:vAlign w:val="bottom"/>
          </w:tcPr>
          <w:p>
            <w:pPr>
              <w:spacing w:after="0"/>
              <w:rPr>
                <w:sz w:val="20"/>
                <w:szCs w:val="20"/>
                <w:color w:val="auto"/>
              </w:rPr>
            </w:pPr>
          </w:p>
        </w:tc>
        <w:tc>
          <w:tcPr>
            <w:tcW w:w="9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54,294</w:t>
            </w:r>
          </w:p>
        </w:tc>
        <w:tc>
          <w:tcPr>
            <w:tcW w:w="6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204</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27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Topical JAK inhibitor</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program</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14,691</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3,379</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11,312</w:t>
            </w:r>
          </w:p>
        </w:tc>
        <w:tc>
          <w:tcPr>
            <w:tcW w:w="6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0"/>
        </w:trPr>
        <w:tc>
          <w:tcPr>
            <w:tcW w:w="2760" w:type="dxa"/>
            <w:vAlign w:val="bottom"/>
          </w:tcPr>
          <w:p>
            <w:pPr>
              <w:ind w:left="960"/>
              <w:spacing w:after="0" w:line="180" w:lineRule="exact"/>
              <w:rPr>
                <w:sz w:val="20"/>
                <w:szCs w:val="20"/>
                <w:color w:val="auto"/>
              </w:rPr>
            </w:pPr>
            <w:r>
              <w:rPr>
                <w:rFonts w:ascii="Arial" w:cs="Arial" w:eastAsia="Arial" w:hAnsi="Arial"/>
                <w:sz w:val="17"/>
                <w:szCs w:val="17"/>
                <w:color w:val="auto"/>
              </w:rPr>
              <w:t>Other early stage</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760" w:type="dxa"/>
            <w:vAlign w:val="bottom"/>
          </w:tcPr>
          <w:p>
            <w:pPr>
              <w:ind w:left="340"/>
              <w:spacing w:after="0"/>
              <w:rPr>
                <w:sz w:val="20"/>
                <w:szCs w:val="20"/>
                <w:color w:val="auto"/>
              </w:rPr>
            </w:pPr>
            <w:r>
              <w:rPr>
                <w:rFonts w:ascii="Arial" w:cs="Arial" w:eastAsia="Arial" w:hAnsi="Arial"/>
                <w:sz w:val="17"/>
                <w:szCs w:val="17"/>
                <w:color w:val="auto"/>
              </w:rPr>
              <w:t>programs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228</w:t>
            </w:r>
          </w:p>
        </w:tc>
        <w:tc>
          <w:tcPr>
            <w:tcW w:w="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1036</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Indirect costs: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760" w:type="dxa"/>
            <w:vAlign w:val="bottom"/>
          </w:tcPr>
          <w:p>
            <w:pPr>
              <w:ind w:left="960"/>
              <w:spacing w:after="0" w:line="180" w:lineRule="exact"/>
              <w:rPr>
                <w:sz w:val="20"/>
                <w:szCs w:val="20"/>
                <w:color w:val="auto"/>
              </w:rPr>
            </w:pPr>
            <w:r>
              <w:rPr>
                <w:rFonts w:ascii="Arial" w:cs="Arial" w:eastAsia="Arial" w:hAnsi="Arial"/>
                <w:sz w:val="17"/>
                <w:szCs w:val="17"/>
                <w:color w:val="auto"/>
              </w:rPr>
              <w:t>Compensation and</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760" w:type="dxa"/>
            <w:vAlign w:val="bottom"/>
          </w:tcPr>
          <w:p>
            <w:pPr>
              <w:ind w:left="340"/>
              <w:spacing w:after="0"/>
              <w:rPr>
                <w:sz w:val="20"/>
                <w:szCs w:val="20"/>
                <w:color w:val="auto"/>
              </w:rPr>
            </w:pPr>
            <w:r>
              <w:rPr>
                <w:rFonts w:ascii="Arial" w:cs="Arial" w:eastAsia="Arial" w:hAnsi="Arial"/>
                <w:sz w:val="17"/>
                <w:szCs w:val="17"/>
                <w:color w:val="auto"/>
              </w:rPr>
              <w:t>personnel-related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13,747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4,590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9,157</w:t>
            </w:r>
          </w:p>
        </w:tc>
        <w:tc>
          <w:tcPr>
            <w:tcW w:w="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199</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7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5,649</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0"/>
        </w:trPr>
        <w:tc>
          <w:tcPr>
            <w:tcW w:w="2760" w:type="dxa"/>
            <w:vAlign w:val="bottom"/>
          </w:tcPr>
          <w:p>
            <w:pPr>
              <w:ind w:left="640"/>
              <w:spacing w:after="0" w:line="160" w:lineRule="exact"/>
              <w:rPr>
                <w:sz w:val="20"/>
                <w:szCs w:val="20"/>
                <w:color w:val="auto"/>
              </w:rPr>
            </w:pPr>
            <w:r>
              <w:rPr>
                <w:rFonts w:ascii="Arial" w:cs="Arial" w:eastAsia="Arial" w:hAnsi="Arial"/>
                <w:sz w:val="17"/>
                <w:szCs w:val="17"/>
                <w:color w:val="auto"/>
              </w:rPr>
              <w:t>Total research and</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115,308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36,522</w:t>
            </w:r>
          </w:p>
        </w:tc>
        <w:tc>
          <w:tcPr>
            <w:tcW w:w="100" w:type="dxa"/>
            <w:vAlign w:val="bottom"/>
          </w:tcPr>
          <w:p>
            <w:pPr>
              <w:spacing w:after="0"/>
              <w:rPr>
                <w:sz w:val="13"/>
                <w:szCs w:val="13"/>
                <w:color w:val="auto"/>
              </w:rPr>
            </w:pPr>
          </w:p>
        </w:tc>
        <w:tc>
          <w:tcPr>
            <w:tcW w:w="980" w:type="dxa"/>
            <w:vAlign w:val="bottom"/>
            <w:vMerge w:val="restart"/>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78,786</w:t>
            </w:r>
          </w:p>
        </w:tc>
        <w:tc>
          <w:tcPr>
            <w:tcW w:w="60" w:type="dxa"/>
            <w:vAlign w:val="bottom"/>
          </w:tcPr>
          <w:p>
            <w:pPr>
              <w:spacing w:after="0"/>
              <w:rPr>
                <w:sz w:val="13"/>
                <w:szCs w:val="13"/>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7"/>
                <w:szCs w:val="17"/>
                <w:color w:val="auto"/>
              </w:rPr>
              <w:t>216</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2760" w:type="dxa"/>
            <w:vAlign w:val="bottom"/>
          </w:tcPr>
          <w:p>
            <w:pPr>
              <w:ind w:left="20"/>
              <w:spacing w:after="0" w:line="182" w:lineRule="exact"/>
              <w:rPr>
                <w:sz w:val="20"/>
                <w:szCs w:val="20"/>
                <w:color w:val="auto"/>
              </w:rPr>
            </w:pPr>
            <w:r>
              <w:rPr>
                <w:rFonts w:ascii="Arial" w:cs="Arial" w:eastAsia="Arial" w:hAnsi="Arial"/>
                <w:sz w:val="17"/>
                <w:szCs w:val="17"/>
                <w:color w:val="auto"/>
              </w:rPr>
              <w:t>development expense</w:t>
            </w:r>
          </w:p>
        </w:tc>
        <w:tc>
          <w:tcPr>
            <w:tcW w:w="112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60" w:firstLine="620"/>
        <w:spacing w:after="0" w:line="256" w:lineRule="auto"/>
        <w:rPr>
          <w:sz w:val="20"/>
          <w:szCs w:val="20"/>
          <w:color w:val="auto"/>
        </w:rPr>
      </w:pPr>
      <w:r>
        <w:rPr>
          <w:rFonts w:ascii="Arial" w:cs="Arial" w:eastAsia="Arial" w:hAnsi="Arial"/>
          <w:sz w:val="17"/>
          <w:szCs w:val="17"/>
          <w:color w:val="auto"/>
        </w:rPr>
        <w:t>Research and development expenses increased by $78.8 million, or 216%, for the year ended December 31, 2020 compared to the year ended December 31, 2019. The increase was due to an increase in direct costs related to the topical roflumilast program of $54.3 million, an increase in direct costs related to the topical JAK inhibitor program of $11.3 million, an increase in compensation and personnel-related expenses of $9.2 million, and an increase of $3.8 million in other indirect costs which includes regulatory, research and clinical consulting costs. The increase in topical roflumilast program costs was primarily due to new and ongoing studies, including Phase 3 studies of roflumilast cream for plaque psoriasis, Phase 2 studies of roflumilast foam in scalp psoriasis and seborrheic dermatitis, as well as an increase in manufacturing costs. The increase in compensation and personnel-related expenses, which includes stock compensation, was primarily due to an increase in headcount.</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73" w:lineRule="exact"/>
        <w:rPr>
          <w:sz w:val="20"/>
          <w:szCs w:val="20"/>
          <w:color w:val="auto"/>
        </w:rPr>
      </w:pPr>
    </w:p>
    <w:p>
      <w:pPr>
        <w:ind w:right="180" w:firstLine="620"/>
        <w:spacing w:after="0" w:line="257" w:lineRule="auto"/>
        <w:rPr>
          <w:sz w:val="20"/>
          <w:szCs w:val="20"/>
          <w:color w:val="auto"/>
        </w:rPr>
      </w:pPr>
      <w:r>
        <w:rPr>
          <w:rFonts w:ascii="Arial" w:cs="Arial" w:eastAsia="Arial" w:hAnsi="Arial"/>
          <w:sz w:val="17"/>
          <w:szCs w:val="17"/>
          <w:color w:val="auto"/>
        </w:rPr>
        <w:t>General and administrative expenses increased by $14.7 million, or 223%, for the year ended December 31, 2020 compared to the year ended December 31, 2019. The increase was primarily due to an increase in compensation and personnel-related expenses of $7.6 million, an increase in professional services of $3.8 million, and an increase in insurance costs of $ 2.6 million. The increase in compensation and personnel-related expenses, which includes stock compensation, was primarily due to an increase in headcount. The increases in professional services and insurance costs were mainly due to overall Company growth and the costs associated with being a public company.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60" w:lineRule="exact"/>
        <w:rPr>
          <w:sz w:val="20"/>
          <w:szCs w:val="20"/>
          <w:color w:val="auto"/>
        </w:rPr>
      </w:pPr>
    </w:p>
    <w:p>
      <w:pPr>
        <w:ind w:right="2520" w:firstLine="620"/>
        <w:spacing w:after="0" w:line="261" w:lineRule="auto"/>
        <w:rPr>
          <w:sz w:val="20"/>
          <w:szCs w:val="20"/>
          <w:color w:val="auto"/>
        </w:rPr>
      </w:pPr>
      <w:r>
        <w:rPr>
          <w:rFonts w:ascii="Arial" w:cs="Arial" w:eastAsia="Arial" w:hAnsi="Arial"/>
          <w:sz w:val="17"/>
          <w:szCs w:val="17"/>
          <w:color w:val="auto"/>
        </w:rPr>
        <w:t>Other income, net decreased by $0.2 million, or 15%, for the year ended December 31, 2020 compared to the year ended December 31, 2019. The decrease was primarily due to a lower yield on our investment portfolio, partially offset by higher balances.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Liquidity, Capital Resources and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60" w:lineRule="exact"/>
        <w:rPr>
          <w:sz w:val="20"/>
          <w:szCs w:val="20"/>
          <w:color w:val="auto"/>
        </w:rPr>
      </w:pPr>
    </w:p>
    <w:p>
      <w:pPr>
        <w:ind w:right="120" w:firstLine="620"/>
        <w:spacing w:after="0" w:line="257" w:lineRule="auto"/>
        <w:rPr>
          <w:sz w:val="20"/>
          <w:szCs w:val="20"/>
          <w:color w:val="auto"/>
        </w:rPr>
      </w:pPr>
      <w:r>
        <w:rPr>
          <w:rFonts w:ascii="Arial" w:cs="Arial" w:eastAsia="Arial" w:hAnsi="Arial"/>
          <w:sz w:val="17"/>
          <w:szCs w:val="17"/>
          <w:color w:val="auto"/>
        </w:rPr>
        <w:t>We have incurred operating losses since our inception and have an accumulated deficit as a result of ongoing efforts to develop our product candidates, including conducting nonclinical and clinical trials and providing general and administrative support for these operations. As of December 31, 2021 and 2020, we had cash, cash equivalents, restricted cash, and marketable securities of $388.6 million and $286.0 million, respectively, and an accumulated deficit of $408.3 million and $202.0 million, respectively. As of December 31, 2021, we had $75.0 million outstanding under our loan and security agreement, or the Loan Agreement, with SLR Investment Corp., or SLR, and the lenders party thereto.</w:t>
      </w:r>
    </w:p>
    <w:p>
      <w:pPr>
        <w:spacing w:after="0" w:line="129"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We have historically financed our operations primarily through private placements of preferred stock, as well as our IPO completed in January 2020 and our follow-on equity offerings in October 2020 and February 2021. During the year ended December 31, 2021, we expanded our financing sources to include our ATM program and our Loan Agreement. On May 6, 2021, we entered into a Sales Agreement with Cowen, to sell shares of our common stock, from time to time, with aggregate gross sales proceeds of up to $100.0 million through an ATM equity offering program. During the year ended December 31, 2021, we did not issue or sell any shares of our common stock through our ATM program. On December 22, 2021 we entered into a Loan Agreement with SLR and the lenders party thereto. Pursuant to the Loan Agreement, the lenders agreed to extend term loans to the us in an aggregate principal amount of up to $ 225.0 million, comprised of four tranches that become available subject to the satisfaction of specified conditions. We received gross proceeds of $75.0 million from the first tranche on December 22, 2021.</w:t>
      </w:r>
    </w:p>
    <w:p>
      <w:pPr>
        <w:spacing w:after="0" w:line="128" w:lineRule="exact"/>
        <w:rPr>
          <w:sz w:val="20"/>
          <w:szCs w:val="20"/>
          <w:color w:val="auto"/>
        </w:rPr>
      </w:pPr>
    </w:p>
    <w:p>
      <w:pPr>
        <w:ind w:right="80" w:firstLine="620"/>
        <w:spacing w:after="0" w:line="269" w:lineRule="auto"/>
        <w:rPr>
          <w:sz w:val="20"/>
          <w:szCs w:val="20"/>
          <w:color w:val="auto"/>
        </w:rPr>
      </w:pPr>
      <w:r>
        <w:rPr>
          <w:rFonts w:ascii="Arial" w:cs="Arial" w:eastAsia="Arial" w:hAnsi="Arial"/>
          <w:sz w:val="17"/>
          <w:szCs w:val="17"/>
          <w:color w:val="auto"/>
        </w:rPr>
        <w:t>We will continue to be dependent upon equity, debt financing, collaborations, or other forms of capital at least until we are able to generate positive cash flows from our operations.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73"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We have historically incurred significant losses and negative cash flows from operations since our inception and had an accumulated deficit of $408.3 million and $202.0 million as of December 31, 2021 and 2020, respectively. We had cash, cash equivalents, and marketable securities of $387.1 million and $284.4 million as of December 31, 2021 and 2020, respectively. As of December 31, 2021, we had $75.0 million outstanding under our Loan Agreement and an aggregate of up to $150.0 million in additional funding that may become available subject to the satisfaction of specified conditions. Based on our current planned operations, we expect that our current cash, cash equivalents, and marketable securities, combined with committed funding under the Loan Agreement, will be sufficient to fund our operations into 2024. Our ability to continue as a going concern is dependent upon our ability to successfully secure sources of financing and ultimately achieve profitable operations.</w:t>
      </w:r>
    </w:p>
    <w:p>
      <w:pPr>
        <w:spacing w:after="0" w:line="130" w:lineRule="exact"/>
        <w:rPr>
          <w:sz w:val="20"/>
          <w:szCs w:val="20"/>
          <w:color w:val="auto"/>
        </w:rPr>
      </w:pPr>
    </w:p>
    <w:p>
      <w:pPr>
        <w:ind w:right="80" w:firstLine="620"/>
        <w:spacing w:after="0" w:line="256" w:lineRule="auto"/>
        <w:rPr>
          <w:sz w:val="20"/>
          <w:szCs w:val="20"/>
          <w:color w:val="auto"/>
        </w:rPr>
      </w:pPr>
      <w:r>
        <w:rPr>
          <w:rFonts w:ascii="Arial" w:cs="Arial" w:eastAsia="Arial" w:hAnsi="Arial"/>
          <w:sz w:val="17"/>
          <w:szCs w:val="17"/>
          <w:color w:val="auto"/>
        </w:rPr>
        <w:t>We will need to raise substantial additional capital to fund our operations through the sale of our equity securities, accessing or incurring additional debt, entering into licensing or collaboration agreements with partners, grants, or other sources of financing. There can be no assurance that sufficient funds will be available to us at all or on attractive terms when needed from these sources. If we are unable to obtain additional funding from these or other sources when needed it may be necessary to significantly reduce our current rate of spending through reductions in staff and delaying, scaling back, or stopping certain research and development programs. Insufficient liquidity may also require us to relinquish rights to product candidates at an earlier stage of development or on less favorable terms than we would otherwise choose.</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9" w:name="page100"/>
    <w:bookmarkEnd w:id="9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180" w:firstLine="620"/>
        <w:spacing w:after="0" w:line="258" w:lineRule="auto"/>
        <w:rPr>
          <w:sz w:val="20"/>
          <w:szCs w:val="20"/>
          <w:color w:val="auto"/>
        </w:rPr>
      </w:pPr>
      <w:r>
        <w:rPr>
          <w:rFonts w:ascii="Arial" w:cs="Arial" w:eastAsia="Arial" w:hAnsi="Arial"/>
          <w:sz w:val="17"/>
          <w:szCs w:val="17"/>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116" w:lineRule="exact"/>
        <w:rPr>
          <w:sz w:val="20"/>
          <w:szCs w:val="20"/>
          <w:color w:val="auto"/>
        </w:rPr>
      </w:pPr>
    </w:p>
    <w:p>
      <w:pPr>
        <w:ind w:left="780" w:right="60" w:hanging="156"/>
        <w:spacing w:after="0" w:line="258" w:lineRule="auto"/>
        <w:tabs>
          <w:tab w:leader="none" w:pos="77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lead product candidates or any future product candidates, and conducting nonclinical studies and clinical trials, in particular our planned or ongoing clinical studies of roflumilast cream in plaque psoriasis and atopic dermatitis, roflumilast foam in seborrheic dermatitis and scalp psoriasis, ARQ-252 in hand eczema and vitiligo, and our formulation and nonclinical efforts for ARQ-255 in alopecia areata;</w:t>
      </w:r>
    </w:p>
    <w:p>
      <w:pPr>
        <w:spacing w:after="0" w:line="128" w:lineRule="exact"/>
        <w:rPr>
          <w:rFonts w:ascii="Arial" w:cs="Arial" w:eastAsia="Arial" w:hAnsi="Arial"/>
          <w:sz w:val="17"/>
          <w:szCs w:val="17"/>
          <w:color w:val="auto"/>
        </w:rPr>
      </w:pPr>
    </w:p>
    <w:p>
      <w:pPr>
        <w:ind w:left="780" w:right="100" w:hanging="156"/>
        <w:spacing w:after="0" w:line="269" w:lineRule="auto"/>
        <w:tabs>
          <w:tab w:leader="none" w:pos="776"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suspensions or delays in the enrollment or changes to the number of subjects we decide to enroll in our ongoing clinical trials as a result of the COVID-19 pandemic;</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our lead product candidate or our other product candidates;</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number and characteristics of any additional product candidates we develop or acquire;</w:t>
      </w:r>
    </w:p>
    <w:p>
      <w:pPr>
        <w:spacing w:after="0" w:line="153" w:lineRule="exact"/>
        <w:rPr>
          <w:rFonts w:ascii="Arial" w:cs="Arial" w:eastAsia="Arial" w:hAnsi="Arial"/>
          <w:sz w:val="17"/>
          <w:szCs w:val="17"/>
          <w:color w:val="auto"/>
        </w:rPr>
      </w:pPr>
    </w:p>
    <w:p>
      <w:pPr>
        <w:ind w:left="780" w:right="20" w:hanging="156"/>
        <w:spacing w:after="0" w:line="269" w:lineRule="auto"/>
        <w:tabs>
          <w:tab w:leader="none" w:pos="77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 of manufacturing our lead product candidates or any future product candidates and any products we successfully commercialize, including costs associated with building out our supply chain;</w:t>
      </w:r>
    </w:p>
    <w:p>
      <w:pPr>
        <w:spacing w:after="0" w:line="117" w:lineRule="exact"/>
        <w:rPr>
          <w:rFonts w:ascii="Arial" w:cs="Arial" w:eastAsia="Arial" w:hAnsi="Arial"/>
          <w:sz w:val="17"/>
          <w:szCs w:val="17"/>
          <w:color w:val="auto"/>
        </w:rPr>
      </w:pPr>
    </w:p>
    <w:p>
      <w:pPr>
        <w:ind w:left="780" w:right="240" w:hanging="156"/>
        <w:spacing w:after="0" w:line="269" w:lineRule="auto"/>
        <w:tabs>
          <w:tab w:leader="none" w:pos="77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 of commercialization activities if our lead product candidates or any future product candidates are approved for sale, including marketing, sales and distribution costs;</w:t>
      </w:r>
    </w:p>
    <w:p>
      <w:pPr>
        <w:spacing w:after="0" w:line="104" w:lineRule="exact"/>
        <w:rPr>
          <w:rFonts w:ascii="Arial" w:cs="Arial" w:eastAsia="Arial" w:hAnsi="Arial"/>
          <w:sz w:val="17"/>
          <w:szCs w:val="17"/>
          <w:color w:val="auto"/>
        </w:rPr>
      </w:pPr>
    </w:p>
    <w:p>
      <w:pPr>
        <w:ind w:left="780" w:hanging="156"/>
        <w:spacing w:after="0"/>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 of building a sales force in anticipation of product commercialization;</w:t>
      </w:r>
    </w:p>
    <w:p>
      <w:pPr>
        <w:spacing w:after="0" w:line="153" w:lineRule="exact"/>
        <w:rPr>
          <w:rFonts w:ascii="Arial" w:cs="Arial" w:eastAsia="Arial" w:hAnsi="Arial"/>
          <w:sz w:val="17"/>
          <w:szCs w:val="17"/>
          <w:color w:val="auto"/>
        </w:rPr>
      </w:pPr>
    </w:p>
    <w:p>
      <w:pPr>
        <w:ind w:left="780" w:right="720" w:hanging="156"/>
        <w:spacing w:after="0" w:line="269" w:lineRule="auto"/>
        <w:tabs>
          <w:tab w:leader="none" w:pos="776"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any such agreements that we may enter into;</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costs related to milestone payments to AstraZeneca or Hengrui, upon the achievement of predetermined milestones;</w:t>
      </w:r>
    </w:p>
    <w:p>
      <w:pPr>
        <w:spacing w:after="0" w:line="140" w:lineRule="exact"/>
        <w:rPr>
          <w:rFonts w:ascii="Arial" w:cs="Arial" w:eastAsia="Arial" w:hAnsi="Arial"/>
          <w:sz w:val="17"/>
          <w:szCs w:val="17"/>
          <w:color w:val="auto"/>
        </w:rPr>
      </w:pPr>
    </w:p>
    <w:p>
      <w:pPr>
        <w:ind w:left="780" w:hanging="156"/>
        <w:spacing w:after="0"/>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product liability or other lawsuits related to our products;</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expenses needed to attract and retain skilled personnel;</w:t>
      </w:r>
    </w:p>
    <w:p>
      <w:pPr>
        <w:spacing w:after="0" w:line="153" w:lineRule="exact"/>
        <w:rPr>
          <w:rFonts w:ascii="Arial" w:cs="Arial" w:eastAsia="Arial" w:hAnsi="Arial"/>
          <w:sz w:val="17"/>
          <w:szCs w:val="17"/>
          <w:color w:val="auto"/>
        </w:rPr>
      </w:pPr>
    </w:p>
    <w:p>
      <w:pPr>
        <w:ind w:left="780" w:hanging="156"/>
        <w:spacing w:after="0"/>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140" w:lineRule="exact"/>
        <w:rPr>
          <w:rFonts w:ascii="Arial" w:cs="Arial" w:eastAsia="Arial" w:hAnsi="Arial"/>
          <w:sz w:val="17"/>
          <w:szCs w:val="17"/>
          <w:color w:val="auto"/>
        </w:rPr>
      </w:pPr>
    </w:p>
    <w:p>
      <w:pPr>
        <w:ind w:left="780" w:right="100" w:hanging="156"/>
        <w:spacing w:after="0" w:line="269" w:lineRule="auto"/>
        <w:tabs>
          <w:tab w:leader="none" w:pos="77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defending, and enforcing patent claims, and the outcome of this and any other future patent litigation we may be involved in; and</w:t>
      </w:r>
    </w:p>
    <w:p>
      <w:pPr>
        <w:spacing w:after="0" w:line="117" w:lineRule="exact"/>
        <w:rPr>
          <w:rFonts w:ascii="Arial" w:cs="Arial" w:eastAsia="Arial" w:hAnsi="Arial"/>
          <w:sz w:val="17"/>
          <w:szCs w:val="17"/>
          <w:color w:val="auto"/>
        </w:rPr>
      </w:pPr>
    </w:p>
    <w:p>
      <w:pPr>
        <w:ind w:left="780" w:hanging="156"/>
        <w:spacing w:after="0"/>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timing, receipt and amount of sales of any future approved products, if any.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160"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On December 22, 2021 we entered into a Loan Agreement with SLR and the lenders party thereto. Pursuant to the Loan Agreement, the lenders agreed to extend term loans to the us in an aggregate principal amount of up to $225.0 million, comprised of: (i) a tranche A term loan of $75.0 million, (ii) a tranche B-1 term loan of $50.0 million, (iii) a tranche B-2 term loan of up to $75.0 million, available in minimum increments of $15.0 million, and (iv) a tranche C term loan of up to $25.0 million. We refer to the tranche A, tranche B and tranche C term loans together as our Term Loans. As security for the obligations under the Loan Agreement, we granted SLR, for the benefit of the lenders, a continuing security interest in substantially all of our assets, including our intellectual property, subject to certain exceptions.</w:t>
      </w:r>
    </w:p>
    <w:p>
      <w:pPr>
        <w:spacing w:after="0" w:line="132"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The tranche A term loan was funded on December 22, 2021. Each tranche B term loan is available following delivery to SLR of satisfactory evidence that we have received FDA approval of roflumilast cream for an indication relating to the treatment of patients with plaque psoriasis, which we refer to as the FDA Approval. The tranche B-1 term loan will remain available for funding until the earlier of (i) 15 days after we have received FDA Approval and (ii) June 30, 2023. The tranche B-2 term loan will remain available for funding until June 30, 2023. The tranche C term loan is available following the achievement of a net product revenue milestone of $110.0 million, calculated on a trailing six month basis. The tranche C term loan will remain available for funding until September 30, 2024.</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0" w:name="page101"/>
    <w:bookmarkEnd w:id="10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Principal amounts outstanding under the Term Loans will accrue interest at a floating rate equal to the applicable rate in effect from time to time, as determined by SLR on the third business day prior to the funding date of the applicable Term Loan and on the first business day of the month prior to each payment date of each Term Loan. The applicable rate is a per annum interest rate equal to 7.45% plus the greater of (a) 0.10% and (b) the per annum rate published by the Intercontinental Exchange Benchmark Administration Ltd. (or on any successor or substitute published rate) for a term of one month, subject to a replacement with an alternate benchmark rate and spread in certain circumstances. On December 31, 2021, the rate was 7.55%.</w:t>
      </w:r>
    </w:p>
    <w:p>
      <w:pPr>
        <w:spacing w:after="0" w:line="119" w:lineRule="exact"/>
        <w:rPr>
          <w:sz w:val="20"/>
          <w:szCs w:val="20"/>
          <w:color w:val="auto"/>
        </w:rPr>
      </w:pPr>
    </w:p>
    <w:p>
      <w:pPr>
        <w:ind w:right="140" w:firstLine="620"/>
        <w:spacing w:after="0" w:line="256" w:lineRule="auto"/>
        <w:rPr>
          <w:sz w:val="20"/>
          <w:szCs w:val="20"/>
          <w:color w:val="auto"/>
        </w:rPr>
      </w:pPr>
      <w:r>
        <w:rPr>
          <w:rFonts w:ascii="Arial" w:cs="Arial" w:eastAsia="Arial" w:hAnsi="Arial"/>
          <w:sz w:val="17"/>
          <w:szCs w:val="17"/>
          <w:color w:val="auto"/>
        </w:rPr>
        <w:t>Commencing on February 1, 2022, interest payments are payable monthly following the funding of any Term Loan. Any principal amounts outstanding under the Term Loans, if not repaid sooner, are due and payable on January 1, 2027, or the Maturity Date. We may voluntarily prepay principal amounts outstanding under the Term Loans in minimum increments of $5.0 million, subject to a prepayment premium of (i) 3.0% of the principal amount of such Term Loan so prepaid prior to December 22, 2022, (ii) 2.0% of the principal amount of such Term Loan so prepaid after December 22, 2022 and prior to December 22, 2023, or (iii) 1.0% of the principal amount of such Term Loan so prepaid after December 22, 2023 and prior to December 22, 2025.</w:t>
      </w:r>
    </w:p>
    <w:p>
      <w:pPr>
        <w:spacing w:after="0" w:line="132" w:lineRule="exact"/>
        <w:rPr>
          <w:sz w:val="20"/>
          <w:szCs w:val="20"/>
          <w:color w:val="auto"/>
        </w:rPr>
      </w:pPr>
    </w:p>
    <w:p>
      <w:pPr>
        <w:ind w:right="160" w:firstLine="620"/>
        <w:spacing w:after="0" w:line="257" w:lineRule="auto"/>
        <w:rPr>
          <w:sz w:val="20"/>
          <w:szCs w:val="20"/>
          <w:color w:val="auto"/>
        </w:rPr>
      </w:pPr>
      <w:r>
        <w:rPr>
          <w:rFonts w:ascii="Arial" w:cs="Arial" w:eastAsia="Arial" w:hAnsi="Arial"/>
          <w:sz w:val="17"/>
          <w:szCs w:val="17"/>
          <w:color w:val="auto"/>
        </w:rPr>
        <w:t>If the Term Loans are accelerated due to, among others, the occurrence of a bankruptcy or insolvency event, we are required to make mandatory prepayments of (i) all principal amounts outstanding under the Term Loans, plus accrued and unpaid interest thereon through the prepayment date, (ii) any fees applicable by reason of such prepayment, (iii) the prepayment premiums set forth in the paragraph above, plus (iv) all other obligations that are due and payable, including expenses and interest at the Default Rate (as defined below) with respect to any past due amounts.</w:t>
      </w:r>
    </w:p>
    <w:p>
      <w:pPr>
        <w:spacing w:after="0" w:line="129"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The Loan Agreement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to pay any dividends or other distributions on capital stock other than dividends payable solely in capital stock or to redeem capital stock. We have also agreed to a financial covenant whereby, beginning with the month ending December 31, 2023, we must generate net product revenue in excess of specified amounts for applicable measuring periods; provided, however, that such financial covenant shall not apply if our average market capitalization over the trailing five day period prior to the last day of any measurement month is equal to or in excess of $400.0 million. We were in compliance with all covenants under the Loan Agreement as of December 31, 2021.</w:t>
      </w:r>
    </w:p>
    <w:p>
      <w:pPr>
        <w:spacing w:after="0" w:line="121" w:lineRule="exact"/>
        <w:rPr>
          <w:sz w:val="20"/>
          <w:szCs w:val="20"/>
          <w:color w:val="auto"/>
        </w:rPr>
      </w:pPr>
    </w:p>
    <w:p>
      <w:pPr>
        <w:ind w:right="100" w:firstLine="620"/>
        <w:spacing w:after="0" w:line="256" w:lineRule="auto"/>
        <w:rPr>
          <w:sz w:val="20"/>
          <w:szCs w:val="20"/>
          <w:color w:val="auto"/>
        </w:rPr>
      </w:pPr>
      <w:r>
        <w:rPr>
          <w:rFonts w:ascii="Arial" w:cs="Arial" w:eastAsia="Arial" w:hAnsi="Arial"/>
          <w:sz w:val="17"/>
          <w:szCs w:val="17"/>
          <w:color w:val="auto"/>
        </w:rPr>
        <w:t>In addition, the Loan Agreement contains customary events of default that entitle the lenders to cause any indebtedness under the Loan Agreement to become immediately due and payable, and to exercise remedies against us and the collateral securing the Term Loans. Under the Loan Agreement, an event of default will occur if, among other things, we fail to make payments under the Loan Agreement, we breach any of our covenants under the Loan Agreement, subject to specified cure periods with respect to certain breaches, the lenders determine that a material adverse change has occurred, or we or our assets become subject to certain legal proceedings, such as bankruptcy proceedings. Upon the occurrence and for the duration of an event of default, an additional default interest rate, or the Default Rate, equal to 4.0% per annum will apply to all obligations owed under the Loan Agreement.</w:t>
      </w:r>
    </w:p>
    <w:p>
      <w:pPr>
        <w:spacing w:after="0" w:line="130" w:lineRule="exact"/>
        <w:rPr>
          <w:sz w:val="20"/>
          <w:szCs w:val="20"/>
          <w:color w:val="auto"/>
        </w:rPr>
      </w:pPr>
    </w:p>
    <w:p>
      <w:pPr>
        <w:ind w:right="60" w:firstLine="620"/>
        <w:spacing w:after="0" w:line="256" w:lineRule="auto"/>
        <w:rPr>
          <w:sz w:val="20"/>
          <w:szCs w:val="20"/>
          <w:color w:val="auto"/>
        </w:rPr>
      </w:pPr>
      <w:r>
        <w:rPr>
          <w:rFonts w:ascii="Arial" w:cs="Arial" w:eastAsia="Arial" w:hAnsi="Arial"/>
          <w:sz w:val="17"/>
          <w:szCs w:val="17"/>
          <w:color w:val="auto"/>
        </w:rPr>
        <w:t>In connection with the Loan Agreement, we paid a closing fee of $ 1.0 million on December 22, 2021, and we are further obligated to pay (i) a final fee equal to 6.95% of the aggregate original principal amount of the Term Loans funded upon the earliest to occur of the Maturity Date, the acceleration of any Term Loan and the prepayment, refinancing, substitution or replacement of any Term Loan and (ii) a certain amount of lenders’ expenses incurred in connection with the execution of the Loan Agreement. Additionally, in connection with the Loan Agreement, we entered into an Exit Fee Agreement, whereby we agreed to pay an exit fee in the amount 3.0% of each Term Loan funded upon (i) any change of control transaction or (ii) a revenue milestone, calculated on a trailing six month basis. Notwithstanding the prepayment or termination of the Term Loan, the exit fee will expire 10 years from the date of the Loan Agreement.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our cash flows for the periods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4"/>
                <w:szCs w:val="14"/>
                <w:b w:val="1"/>
                <w:bCs w:val="1"/>
                <w:color w:val="auto"/>
                <w:w w:val="97"/>
              </w:rPr>
              <w:t>Year Ended December 31,</w:t>
            </w:r>
          </w:p>
        </w:tc>
        <w:tc>
          <w:tcPr>
            <w:tcW w:w="10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4"/>
        </w:trPr>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(in thousands)</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Cash used in operating activities</w:t>
            </w:r>
          </w:p>
        </w:tc>
        <w:tc>
          <w:tcPr>
            <w:tcW w:w="10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(174,627)</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(113,033)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center"/>
              <w:ind w:left="457"/>
              <w:spacing w:after="0"/>
              <w:rPr>
                <w:sz w:val="20"/>
                <w:szCs w:val="20"/>
                <w:color w:val="auto"/>
              </w:rPr>
            </w:pPr>
            <w:r>
              <w:rPr>
                <w:rFonts w:ascii="Arial" w:cs="Arial" w:eastAsia="Arial" w:hAnsi="Arial"/>
                <w:sz w:val="17"/>
                <w:szCs w:val="17"/>
                <w:color w:val="auto"/>
              </w:rPr>
              <w:t>(42,836)</w:t>
            </w:r>
          </w:p>
        </w:tc>
        <w:tc>
          <w:tcPr>
            <w:tcW w:w="0" w:type="dxa"/>
            <w:vAlign w:val="bottom"/>
          </w:tcPr>
          <w:p>
            <w:pPr>
              <w:spacing w:after="0"/>
              <w:rPr>
                <w:sz w:val="1"/>
                <w:szCs w:val="1"/>
                <w:color w:val="auto"/>
              </w:rPr>
            </w:pPr>
          </w:p>
        </w:tc>
      </w:tr>
      <w:tr>
        <w:trPr>
          <w:trHeight w:val="220"/>
        </w:trPr>
        <w:tc>
          <w:tcPr>
            <w:tcW w:w="4280" w:type="dxa"/>
            <w:vAlign w:val="bottom"/>
          </w:tcPr>
          <w:p>
            <w:pPr>
              <w:ind w:left="640"/>
              <w:spacing w:after="0"/>
              <w:rPr>
                <w:sz w:val="20"/>
                <w:szCs w:val="20"/>
                <w:color w:val="auto"/>
              </w:rPr>
            </w:pPr>
            <w:r>
              <w:rPr>
                <w:rFonts w:ascii="Arial" w:cs="Arial" w:eastAsia="Arial" w:hAnsi="Arial"/>
                <w:sz w:val="17"/>
                <w:szCs w:val="17"/>
                <w:color w:val="auto"/>
              </w:rPr>
              <w:t>Cash used in investing activities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(75,953)</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(181,824)</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jc w:val="center"/>
              <w:ind w:left="457"/>
              <w:spacing w:after="0"/>
              <w:rPr>
                <w:sz w:val="20"/>
                <w:szCs w:val="20"/>
                <w:color w:val="auto"/>
              </w:rPr>
            </w:pPr>
            <w:r>
              <w:rPr>
                <w:rFonts w:ascii="Arial" w:cs="Arial" w:eastAsia="Arial" w:hAnsi="Arial"/>
                <w:sz w:val="17"/>
                <w:szCs w:val="17"/>
                <w:color w:val="auto"/>
              </w:rPr>
              <w:t>(26,325)</w:t>
            </w: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Cash provided by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281,947</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298,145</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477"/>
              <w:spacing w:after="0"/>
              <w:rPr>
                <w:sz w:val="20"/>
                <w:szCs w:val="20"/>
                <w:color w:val="auto"/>
              </w:rPr>
            </w:pPr>
            <w:r>
              <w:rPr>
                <w:rFonts w:ascii="Arial" w:cs="Arial" w:eastAsia="Arial" w:hAnsi="Arial"/>
                <w:sz w:val="17"/>
                <w:szCs w:val="17"/>
                <w:color w:val="auto"/>
              </w:rPr>
              <w:t>93,103</w:t>
            </w:r>
          </w:p>
        </w:tc>
        <w:tc>
          <w:tcPr>
            <w:tcW w:w="0" w:type="dxa"/>
            <w:vAlign w:val="bottom"/>
          </w:tcPr>
          <w:p>
            <w:pPr>
              <w:spacing w:after="0"/>
              <w:rPr>
                <w:sz w:val="1"/>
                <w:szCs w:val="1"/>
                <w:color w:val="auto"/>
              </w:rPr>
            </w:pPr>
          </w:p>
        </w:tc>
      </w:tr>
      <w:tr>
        <w:trPr>
          <w:trHeight w:val="160"/>
        </w:trPr>
        <w:tc>
          <w:tcPr>
            <w:tcW w:w="4280" w:type="dxa"/>
            <w:vAlign w:val="bottom"/>
          </w:tcPr>
          <w:p>
            <w:pPr>
              <w:ind w:left="640"/>
              <w:spacing w:after="0" w:line="160" w:lineRule="exact"/>
              <w:rPr>
                <w:sz w:val="20"/>
                <w:szCs w:val="20"/>
                <w:color w:val="auto"/>
              </w:rPr>
            </w:pPr>
            <w:r>
              <w:rPr>
                <w:rFonts w:ascii="Arial" w:cs="Arial" w:eastAsia="Arial" w:hAnsi="Arial"/>
                <w:sz w:val="17"/>
                <w:szCs w:val="17"/>
                <w:color w:val="auto"/>
              </w:rPr>
              <w:t>Net increase in cash, cash equivalents and</w:t>
            </w:r>
          </w:p>
        </w:tc>
        <w:tc>
          <w:tcPr>
            <w:tcW w:w="1020" w:type="dxa"/>
            <w:vAlign w:val="bottom"/>
            <w:vMerge w:val="restart"/>
          </w:tcPr>
          <w:p>
            <w:pPr>
              <w:jc w:val="right"/>
              <w:ind w:right="194"/>
              <w:spacing w:after="0"/>
              <w:rPr>
                <w:sz w:val="20"/>
                <w:szCs w:val="20"/>
                <w:color w:val="auto"/>
              </w:rPr>
            </w:pPr>
            <w:r>
              <w:rPr>
                <w:rFonts w:ascii="Arial" w:cs="Arial" w:eastAsia="Arial" w:hAnsi="Arial"/>
                <w:sz w:val="17"/>
                <w:szCs w:val="17"/>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31,367</w:t>
            </w:r>
          </w:p>
        </w:tc>
        <w:tc>
          <w:tcPr>
            <w:tcW w:w="80" w:type="dxa"/>
            <w:vAlign w:val="bottom"/>
          </w:tcPr>
          <w:p>
            <w:pPr>
              <w:spacing w:after="0"/>
              <w:rPr>
                <w:sz w:val="13"/>
                <w:szCs w:val="13"/>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7"/>
                <w:szCs w:val="17"/>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3,288</w:t>
            </w:r>
          </w:p>
        </w:tc>
        <w:tc>
          <w:tcPr>
            <w:tcW w:w="80" w:type="dxa"/>
            <w:vAlign w:val="bottom"/>
          </w:tcPr>
          <w:p>
            <w:pPr>
              <w:spacing w:after="0"/>
              <w:rPr>
                <w:sz w:val="13"/>
                <w:szCs w:val="13"/>
                <w:color w:val="auto"/>
              </w:rPr>
            </w:pPr>
          </w:p>
        </w:tc>
        <w:tc>
          <w:tcPr>
            <w:tcW w:w="1020" w:type="dxa"/>
            <w:vAlign w:val="bottom"/>
            <w:vMerge w:val="restart"/>
          </w:tcPr>
          <w:p>
            <w:pPr>
              <w:jc w:val="right"/>
              <w:ind w:right="194"/>
              <w:spacing w:after="0"/>
              <w:rPr>
                <w:sz w:val="20"/>
                <w:szCs w:val="20"/>
                <w:color w:val="auto"/>
              </w:rPr>
            </w:pPr>
            <w:r>
              <w:rPr>
                <w:rFonts w:ascii="Arial" w:cs="Arial" w:eastAsia="Arial" w:hAnsi="Arial"/>
                <w:sz w:val="17"/>
                <w:szCs w:val="17"/>
                <w:color w:val="auto"/>
              </w:rPr>
              <w:t>$</w:t>
            </w:r>
          </w:p>
        </w:tc>
        <w:tc>
          <w:tcPr>
            <w:tcW w:w="1220" w:type="dxa"/>
            <w:vAlign w:val="bottom"/>
            <w:vMerge w:val="restart"/>
          </w:tcPr>
          <w:p>
            <w:pPr>
              <w:jc w:val="center"/>
              <w:ind w:left="477"/>
              <w:spacing w:after="0"/>
              <w:rPr>
                <w:sz w:val="20"/>
                <w:szCs w:val="20"/>
                <w:color w:val="auto"/>
              </w:rPr>
            </w:pPr>
            <w:r>
              <w:rPr>
                <w:rFonts w:ascii="Arial" w:cs="Arial" w:eastAsia="Arial" w:hAnsi="Arial"/>
                <w:sz w:val="17"/>
                <w:szCs w:val="17"/>
                <w:color w:val="auto"/>
              </w:rPr>
              <w:t>23,942</w:t>
            </w:r>
          </w:p>
        </w:tc>
        <w:tc>
          <w:tcPr>
            <w:tcW w:w="0" w:type="dxa"/>
            <w:vAlign w:val="bottom"/>
          </w:tcPr>
          <w:p>
            <w:pPr>
              <w:spacing w:after="0"/>
              <w:rPr>
                <w:sz w:val="1"/>
                <w:szCs w:val="1"/>
                <w:color w:val="auto"/>
              </w:rPr>
            </w:pPr>
          </w:p>
        </w:tc>
      </w:tr>
      <w:tr>
        <w:trPr>
          <w:trHeight w:val="187"/>
        </w:trPr>
        <w:tc>
          <w:tcPr>
            <w:tcW w:w="4280" w:type="dxa"/>
            <w:vAlign w:val="bottom"/>
          </w:tcPr>
          <w:p>
            <w:pPr>
              <w:ind w:left="20"/>
              <w:spacing w:after="0" w:line="182" w:lineRule="exact"/>
              <w:rPr>
                <w:sz w:val="20"/>
                <w:szCs w:val="20"/>
                <w:color w:val="auto"/>
              </w:rPr>
            </w:pPr>
            <w:r>
              <w:rPr>
                <w:rFonts w:ascii="Arial" w:cs="Arial" w:eastAsia="Arial" w:hAnsi="Arial"/>
                <w:sz w:val="17"/>
                <w:szCs w:val="17"/>
                <w:color w:val="auto"/>
              </w:rPr>
              <w:t>restricted cash</w:t>
            </w:r>
          </w:p>
        </w:tc>
        <w:tc>
          <w:tcPr>
            <w:tcW w:w="102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Cash Used in Operating Activities</w:t>
      </w:r>
    </w:p>
    <w:p>
      <w:pPr>
        <w:spacing w:after="0" w:line="160"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During the year ended December 31, 2021, net cash used in operating activities was $174.6 million, which consisted of a net loss of $206.4 million, partially offset by net non-cash charges of $28.1 million and a change in net operating assets and liabilities of $3.6 million. The net non-cash charges were primarily related to stock-based compensation expense of $23.9 million. The change in net operating assets and liabilities was primarily due to an increase of $10.7 million in accounts payable and accrued liabilities due to an increase in bonus and clinical accruals, partially offset by an increase of $7.3 million in prepaid expenses and other current assets.</w:t>
      </w:r>
    </w:p>
    <w:p>
      <w:pPr>
        <w:spacing w:after="0" w:line="129"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During the year ended December 31, 2020, net cash used in operating activities was $113.0 million, which consisted of a net loss of $135.7 million, offset by a change in net operating assets and liabilities of $14.1 million and net non-cash charges of $8.5 million. The change in net operating assets and liabilities was primarily due to an increase of $ 17.6 million in accounts payable and accrued liabilities due to our operating expense growth and timing of payments. The net non-cash charges were primarily related to stock-based compensation expense of $7.9 million.</w:t>
      </w:r>
    </w:p>
    <w:p>
      <w:pPr>
        <w:spacing w:after="0" w:line="129" w:lineRule="exact"/>
        <w:rPr>
          <w:sz w:val="20"/>
          <w:szCs w:val="20"/>
          <w:color w:val="auto"/>
        </w:rPr>
      </w:pPr>
    </w:p>
    <w:p>
      <w:pPr>
        <w:ind w:right="180" w:firstLine="620"/>
        <w:spacing w:after="0" w:line="256" w:lineRule="auto"/>
        <w:rPr>
          <w:sz w:val="20"/>
          <w:szCs w:val="20"/>
          <w:color w:val="auto"/>
        </w:rPr>
      </w:pPr>
      <w:r>
        <w:rPr>
          <w:rFonts w:ascii="Arial" w:cs="Arial" w:eastAsia="Arial" w:hAnsi="Arial"/>
          <w:sz w:val="17"/>
          <w:szCs w:val="17"/>
          <w:color w:val="auto"/>
        </w:rPr>
        <w:t>During the year ended December 31, 2019, net cash used in operating activities was $42.8 million, which consisted of a net loss of $42.0 million, a change in net operating assets and liabilities of $1.5 million, partially offset by net non-cash charges of $0.7 million. The change in net operating assets and liabilities was due to an increase of $3.3 million in prepaid expenses and other current assets for advances made for clinical trial costs, partially offset by an increase of $1.9 million in accounts payable and accrued liabilities due to our overall growth, increased research and development spending and timing of payments. The net non-cash charges were primarily related to stock-based compensation expense of $0.8 million, and depreciation and right-of-use asset amortization of $0.2 million, partially offset by net amortization/accretion on marketable securities of $0.4 million.</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Cash Used in Investing Activities</w:t>
      </w:r>
    </w:p>
    <w:p>
      <w:pPr>
        <w:spacing w:after="0" w:line="173" w:lineRule="exact"/>
        <w:rPr>
          <w:sz w:val="20"/>
          <w:szCs w:val="20"/>
          <w:color w:val="auto"/>
        </w:rPr>
      </w:pPr>
    </w:p>
    <w:p>
      <w:pPr>
        <w:ind w:right="160" w:firstLine="620"/>
        <w:spacing w:after="0" w:line="269" w:lineRule="auto"/>
        <w:rPr>
          <w:sz w:val="20"/>
          <w:szCs w:val="20"/>
          <w:color w:val="auto"/>
        </w:rPr>
      </w:pPr>
      <w:r>
        <w:rPr>
          <w:rFonts w:ascii="Arial" w:cs="Arial" w:eastAsia="Arial" w:hAnsi="Arial"/>
          <w:sz w:val="17"/>
          <w:szCs w:val="17"/>
          <w:color w:val="auto"/>
        </w:rPr>
        <w:t>During the year ended December 31, 2021, net cash used in investing activities was $76.0 million, which was comprised primarily of purchases of marketable securities of $292.5 million, partially offset by the proceeds from the maturities of marketable securities of $217.6 million.</w:t>
      </w:r>
    </w:p>
    <w:p>
      <w:pPr>
        <w:spacing w:after="0" w:line="117" w:lineRule="exact"/>
        <w:rPr>
          <w:sz w:val="20"/>
          <w:szCs w:val="20"/>
          <w:color w:val="auto"/>
        </w:rPr>
      </w:pPr>
    </w:p>
    <w:p>
      <w:pPr>
        <w:jc w:val="both"/>
        <w:ind w:right="480" w:firstLine="620"/>
        <w:spacing w:after="0" w:line="269" w:lineRule="auto"/>
        <w:rPr>
          <w:sz w:val="20"/>
          <w:szCs w:val="20"/>
          <w:color w:val="auto"/>
        </w:rPr>
      </w:pPr>
      <w:r>
        <w:rPr>
          <w:rFonts w:ascii="Arial" w:cs="Arial" w:eastAsia="Arial" w:hAnsi="Arial"/>
          <w:sz w:val="17"/>
          <w:szCs w:val="17"/>
          <w:color w:val="auto"/>
        </w:rPr>
        <w:t>During the year ended December 31, 2020, net cash used in investing activities was $181.8 million, which was comprised primarily of purchases of marketable securities of $279.1 million, partially offset by proceeds from the maturities of marketable securities of $97.6 million.</w:t>
      </w:r>
    </w:p>
    <w:p>
      <w:pPr>
        <w:spacing w:after="0" w:line="104" w:lineRule="exact"/>
        <w:rPr>
          <w:sz w:val="20"/>
          <w:szCs w:val="20"/>
          <w:color w:val="auto"/>
        </w:rPr>
      </w:pPr>
    </w:p>
    <w:p>
      <w:pPr>
        <w:ind w:right="240" w:firstLine="620"/>
        <w:spacing w:after="0" w:line="261" w:lineRule="auto"/>
        <w:rPr>
          <w:sz w:val="20"/>
          <w:szCs w:val="20"/>
          <w:color w:val="auto"/>
        </w:rPr>
      </w:pPr>
      <w:r>
        <w:rPr>
          <w:rFonts w:ascii="Arial" w:cs="Arial" w:eastAsia="Arial" w:hAnsi="Arial"/>
          <w:sz w:val="17"/>
          <w:szCs w:val="17"/>
          <w:color w:val="auto"/>
        </w:rPr>
        <w:t>During the year ended December 31, 2019, net cash used in investing activities was $26.3 million, which was comprised of purchases of marketable securities of $60.8 million and property and equipment of $0.3 million, partially offset by proceeds from the maturities of marketable securities of $34.8 million.</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Cash Provided by Financing Activities</w:t>
      </w:r>
    </w:p>
    <w:p>
      <w:pPr>
        <w:spacing w:after="0" w:line="173" w:lineRule="exact"/>
        <w:rPr>
          <w:sz w:val="20"/>
          <w:szCs w:val="20"/>
          <w:color w:val="auto"/>
        </w:rPr>
      </w:pPr>
    </w:p>
    <w:p>
      <w:pPr>
        <w:ind w:right="140" w:firstLine="620"/>
        <w:spacing w:after="0" w:line="261" w:lineRule="auto"/>
        <w:rPr>
          <w:sz w:val="20"/>
          <w:szCs w:val="20"/>
          <w:color w:val="auto"/>
        </w:rPr>
      </w:pPr>
      <w:r>
        <w:rPr>
          <w:rFonts w:ascii="Arial" w:cs="Arial" w:eastAsia="Arial" w:hAnsi="Arial"/>
          <w:sz w:val="17"/>
          <w:szCs w:val="17"/>
          <w:color w:val="auto"/>
        </w:rPr>
        <w:t>During the year ended December 31, 2021, net cash provided by financing activities was $281.9 million, which was comprised primarily of the net cash proceeds received from the follow-on financing in February 2021 of $207.5 million as well as from our debt financing in December 2021 of $72.4 million.</w:t>
      </w:r>
    </w:p>
    <w:p>
      <w:pPr>
        <w:spacing w:after="0" w:line="112" w:lineRule="exact"/>
        <w:rPr>
          <w:sz w:val="20"/>
          <w:szCs w:val="20"/>
          <w:color w:val="auto"/>
        </w:rPr>
      </w:pPr>
    </w:p>
    <w:p>
      <w:pPr>
        <w:ind w:right="140" w:firstLine="620"/>
        <w:spacing w:after="0" w:line="269" w:lineRule="auto"/>
        <w:rPr>
          <w:sz w:val="20"/>
          <w:szCs w:val="20"/>
          <w:color w:val="auto"/>
        </w:rPr>
      </w:pPr>
      <w:r>
        <w:rPr>
          <w:rFonts w:ascii="Arial" w:cs="Arial" w:eastAsia="Arial" w:hAnsi="Arial"/>
          <w:sz w:val="17"/>
          <w:szCs w:val="17"/>
          <w:color w:val="auto"/>
        </w:rPr>
        <w:t>During the year ended December 31, 2020, net cash provided by financing activities was $298.1 million, which was comprised primarily of the net cash proceeds received from the IPO of $168.6 million and follow-on financing in October 2020 of $128.4 million.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jc w:val="both"/>
        <w:ind w:right="320" w:firstLine="620"/>
        <w:spacing w:after="0" w:line="261" w:lineRule="auto"/>
        <w:rPr>
          <w:sz w:val="20"/>
          <w:szCs w:val="20"/>
          <w:color w:val="auto"/>
        </w:rPr>
      </w:pPr>
      <w:r>
        <w:rPr>
          <w:rFonts w:ascii="Arial" w:cs="Arial" w:eastAsia="Arial" w:hAnsi="Arial"/>
          <w:sz w:val="17"/>
          <w:szCs w:val="17"/>
          <w:color w:val="auto"/>
        </w:rPr>
        <w:t>During the year ended December 31, 2019, net cash provided by financing activities was $93.1 million, which was comprised of the net proceeds received from the issuance of Series C convertible preferred stock of $94.2 million as well as the proceeds from the exercise of stock options of $0.3 million, offset by deferred financing costs of $1.4 million paid in connection with the IPO.</w:t>
      </w:r>
    </w:p>
    <w:p>
      <w:pPr>
        <w:spacing w:after="0" w:line="90" w:lineRule="exact"/>
        <w:rPr>
          <w:sz w:val="20"/>
          <w:szCs w:val="20"/>
          <w:color w:val="auto"/>
        </w:rPr>
      </w:pPr>
    </w:p>
    <w:p>
      <w:pPr>
        <w:ind w:left="620" w:right="3520" w:firstLine="2948"/>
        <w:spacing w:after="0" w:line="429" w:lineRule="auto"/>
        <w:rPr>
          <w:sz w:val="20"/>
          <w:szCs w:val="20"/>
          <w:color w:val="auto"/>
        </w:rPr>
      </w:pPr>
      <w:r>
        <w:rPr>
          <w:rFonts w:ascii="Arial" w:cs="Arial" w:eastAsia="Arial" w:hAnsi="Arial"/>
          <w:sz w:val="17"/>
          <w:szCs w:val="17"/>
          <w:b w:val="1"/>
          <w:bCs w:val="1"/>
          <w:color w:val="auto"/>
        </w:rPr>
        <w:t xml:space="preserve">Contractual Obligations and Contingent Liabilities </w:t>
      </w:r>
      <w:r>
        <w:rPr>
          <w:rFonts w:ascii="Arial" w:cs="Arial" w:eastAsia="Arial" w:hAnsi="Arial"/>
          <w:sz w:val="17"/>
          <w:szCs w:val="17"/>
          <w:color w:val="auto"/>
        </w:rPr>
        <w:t>The following summarizes our significant contractual obligations as of December 31, 2021: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Facility Operating Lease</w:t>
      </w:r>
    </w:p>
    <w:p>
      <w:pPr>
        <w:spacing w:after="0" w:line="160" w:lineRule="exact"/>
        <w:rPr>
          <w:sz w:val="20"/>
          <w:szCs w:val="20"/>
          <w:color w:val="auto"/>
        </w:rPr>
      </w:pPr>
    </w:p>
    <w:p>
      <w:pPr>
        <w:ind w:right="280" w:firstLine="620"/>
        <w:spacing w:after="0" w:line="261" w:lineRule="auto"/>
        <w:rPr>
          <w:sz w:val="20"/>
          <w:szCs w:val="20"/>
          <w:color w:val="auto"/>
        </w:rPr>
      </w:pPr>
      <w:r>
        <w:rPr>
          <w:rFonts w:ascii="Arial" w:cs="Arial" w:eastAsia="Arial" w:hAnsi="Arial"/>
          <w:sz w:val="17"/>
          <w:szCs w:val="17"/>
          <w:color w:val="auto"/>
        </w:rPr>
        <w:t>In April 2020, we amended our lease agreement for our facility in Westlake Village, California to relocate to a new expanded space including 22,643 square feet. The lease payment term for the new space began on December 30, 2020 and will terminate 91 months thereafter, with a renewal option for a term of five years. We have a one-time option to cancel the lease after month 67.</w:t>
      </w:r>
    </w:p>
    <w:p>
      <w:pPr>
        <w:spacing w:after="0" w:line="125" w:lineRule="exact"/>
        <w:rPr>
          <w:sz w:val="20"/>
          <w:szCs w:val="20"/>
          <w:color w:val="auto"/>
        </w:rPr>
      </w:pPr>
    </w:p>
    <w:p>
      <w:pPr>
        <w:ind w:right="120" w:firstLine="620"/>
        <w:spacing w:after="0" w:line="256" w:lineRule="auto"/>
        <w:rPr>
          <w:sz w:val="20"/>
          <w:szCs w:val="20"/>
          <w:color w:val="auto"/>
        </w:rPr>
      </w:pPr>
      <w:r>
        <w:rPr>
          <w:rFonts w:ascii="Arial" w:cs="Arial" w:eastAsia="Arial" w:hAnsi="Arial"/>
          <w:sz w:val="17"/>
          <w:szCs w:val="17"/>
          <w:color w:val="auto"/>
        </w:rPr>
        <w:t>The lease is subject to fixed rate escalation increases with an initial base rent of $76,000 per month and includes rent free periods aggregating approximately one year. The amended lease agreement required that we deliver a letter of credit to the landlord of $1.5 million upon occupying the space, which is allowed to be reduced throughout the lease period as rent obligations are met. Accordingly, in November 2020, we entered into a letter of credit for $1.5 million, which is secured with a restricted cash account in the same amount. The total commitment under the operating lease agreement is $6.6 million, including $0.8 million for the year 2022, $1.0 million for each of the years 2023 through 2027, and $0.6 million for the year 2028. See Note 7 to the financial statements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Agreements</w:t>
      </w:r>
    </w:p>
    <w:p>
      <w:pPr>
        <w:spacing w:after="0" w:line="160" w:lineRule="exact"/>
        <w:rPr>
          <w:sz w:val="20"/>
          <w:szCs w:val="20"/>
          <w:color w:val="auto"/>
        </w:rPr>
      </w:pPr>
    </w:p>
    <w:p>
      <w:pPr>
        <w:ind w:right="180" w:firstLine="620"/>
        <w:spacing w:after="0" w:line="258" w:lineRule="auto"/>
        <w:rPr>
          <w:sz w:val="20"/>
          <w:szCs w:val="20"/>
          <w:color w:val="auto"/>
        </w:rPr>
      </w:pPr>
      <w:r>
        <w:rPr>
          <w:rFonts w:ascii="Arial" w:cs="Arial" w:eastAsia="Arial" w:hAnsi="Arial"/>
          <w:sz w:val="17"/>
          <w:szCs w:val="17"/>
          <w:color w:val="auto"/>
        </w:rPr>
        <w:t>We have entered into manufacturing supply agreements for the commercial supply of roflumilast cream that include certain minimum purchase commitments. Firm future purchase commitments under these agreements are approximately $8.2 million for 2022 and $0.6 million per year for 2023, 2024 and 2025. This amount does not represent all of our anticipated purchases, but instead represents only the contractually obligated minimum purchases or firm commitments of non-cancelable minimum amounts.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Debt Obligations</w:t>
      </w:r>
    </w:p>
    <w:p>
      <w:pPr>
        <w:spacing w:after="0" w:line="173" w:lineRule="exact"/>
        <w:rPr>
          <w:sz w:val="20"/>
          <w:szCs w:val="20"/>
          <w:color w:val="auto"/>
        </w:rPr>
      </w:pPr>
    </w:p>
    <w:p>
      <w:pPr>
        <w:ind w:right="140" w:firstLine="620"/>
        <w:spacing w:after="0" w:line="257" w:lineRule="auto"/>
        <w:rPr>
          <w:sz w:val="20"/>
          <w:szCs w:val="20"/>
          <w:color w:val="auto"/>
        </w:rPr>
      </w:pPr>
      <w:r>
        <w:rPr>
          <w:rFonts w:ascii="Arial" w:cs="Arial" w:eastAsia="Arial" w:hAnsi="Arial"/>
          <w:sz w:val="17"/>
          <w:szCs w:val="17"/>
          <w:color w:val="auto"/>
        </w:rPr>
        <w:t>As of December 31, 2021, we had $75.0 million outstanding under our Loan Agreement and an aggregate of up to $150.0 million in additional funding under the Loan Agreement that may become available subject to the satisfaction of specified conditions. The total commitment under the Loan Agreement is $108.9 million, including $5.7 million for each of the years 2022 through 2026, and $ 80.2 million for 2027. These amounts do not represent or include any future draw downs, but instead represent only the contractually obligated minimum payments of interest, principal, and loan fees related to the funding of the $75.0 million tranche A term loan on December 22, 2021.</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Agreements</w:t>
      </w:r>
    </w:p>
    <w:p>
      <w:pPr>
        <w:spacing w:after="0" w:line="173" w:lineRule="exact"/>
        <w:rPr>
          <w:sz w:val="20"/>
          <w:szCs w:val="20"/>
          <w:color w:val="auto"/>
        </w:rPr>
      </w:pPr>
    </w:p>
    <w:p>
      <w:pPr>
        <w:ind w:right="180" w:firstLine="620"/>
        <w:spacing w:after="0" w:line="261" w:lineRule="auto"/>
        <w:rPr>
          <w:sz w:val="20"/>
          <w:szCs w:val="20"/>
          <w:color w:val="auto"/>
        </w:rPr>
      </w:pPr>
      <w:r>
        <w:rPr>
          <w:rFonts w:ascii="Arial" w:cs="Arial" w:eastAsia="Arial" w:hAnsi="Arial"/>
          <w:sz w:val="17"/>
          <w:szCs w:val="17"/>
          <w:color w:val="auto"/>
        </w:rPr>
        <w:t>The terms of certain of our license agreements require us to pay potential future milestone payments based on product development and commercial success. The amount and timing of such obligations are unknown or uncertain. These potential obligations are further described in Note 6 to the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160" w:lineRule="exact"/>
        <w:rPr>
          <w:sz w:val="20"/>
          <w:szCs w:val="20"/>
          <w:color w:val="auto"/>
        </w:rPr>
      </w:pPr>
    </w:p>
    <w:p>
      <w:pPr>
        <w:ind w:right="40" w:firstLine="620"/>
        <w:spacing w:after="0" w:line="258" w:lineRule="auto"/>
        <w:rPr>
          <w:sz w:val="20"/>
          <w:szCs w:val="20"/>
          <w:color w:val="auto"/>
        </w:rPr>
      </w:pPr>
      <w:r>
        <w:rPr>
          <w:rFonts w:ascii="Arial" w:cs="Arial" w:eastAsia="Arial" w:hAnsi="Arial"/>
          <w:sz w:val="17"/>
          <w:szCs w:val="17"/>
          <w:color w:val="auto"/>
        </w:rPr>
        <w:t>In the normal course of business, we enter into contracts and agreements that contain a variety of representations and warranties and provide for general indemnifications. Our exposure under these agreements is unknown because it involves claims that may be made against us in the future, but have not yet been made. To date, we have not paid any claims or been required to defend any action related to our indemnification obligations. However, we may record charges in the future as a result of these indemnification obligations.</w:t>
      </w:r>
    </w:p>
    <w:p>
      <w:pPr>
        <w:spacing w:after="0" w:line="129" w:lineRule="exact"/>
        <w:rPr>
          <w:sz w:val="20"/>
          <w:szCs w:val="20"/>
          <w:color w:val="auto"/>
        </w:rPr>
      </w:pPr>
    </w:p>
    <w:p>
      <w:pPr>
        <w:jc w:val="both"/>
        <w:ind w:firstLine="620"/>
        <w:spacing w:after="0" w:line="261" w:lineRule="auto"/>
        <w:rPr>
          <w:sz w:val="20"/>
          <w:szCs w:val="20"/>
          <w:color w:val="auto"/>
        </w:rPr>
      </w:pPr>
      <w:r>
        <w:rPr>
          <w:rFonts w:ascii="Arial" w:cs="Arial" w:eastAsia="Arial" w:hAnsi="Arial"/>
          <w:sz w:val="17"/>
          <w:szCs w:val="17"/>
          <w:color w:val="auto"/>
        </w:rPr>
        <w:t>In accordance with our certificate of incorporation and bylaws, we have indemnification obligations to our officers and directors for specified events or occurrences, subject to some limits, while they are serving at our request in such capacities. There have been no claims to date, and we have director and officer insurance that may enable us to recover a portion of any amounts paid for future potential claims.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3" w:name="page104"/>
    <w:bookmarkEnd w:id="10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rules.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Use of Estimates</w:t>
      </w:r>
    </w:p>
    <w:p>
      <w:pPr>
        <w:spacing w:after="0" w:line="173"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financial statements, which have been prepared in accordance with accounting principles generally accepted in the United States,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21" w:lineRule="exact"/>
        <w:rPr>
          <w:sz w:val="20"/>
          <w:szCs w:val="20"/>
          <w:color w:val="auto"/>
        </w:rPr>
      </w:pPr>
    </w:p>
    <w:p>
      <w:pPr>
        <w:jc w:val="both"/>
        <w:ind w:right="80" w:firstLine="620"/>
        <w:spacing w:after="0" w:line="261" w:lineRule="auto"/>
        <w:rPr>
          <w:sz w:val="20"/>
          <w:szCs w:val="20"/>
          <w:color w:val="auto"/>
        </w:rPr>
      </w:pPr>
      <w:r>
        <w:rPr>
          <w:rFonts w:ascii="Arial" w:cs="Arial" w:eastAsia="Arial" w:hAnsi="Arial"/>
          <w:sz w:val="17"/>
          <w:szCs w:val="17"/>
          <w:color w:val="auto"/>
        </w:rPr>
        <w:t>While our significant accounting policies are more fully described in the notes to our financial statements included elsewhere in this Annual Report on Form 10-K, we believe that the following accounting policies are critical to the process of making significant judgments and estimates in the preparation of our financial statements and understanding and evaluating our reported financial results.</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Nonclinical and Clinical Accruals and Costs</w:t>
      </w:r>
    </w:p>
    <w:p>
      <w:pPr>
        <w:spacing w:after="0" w:line="173" w:lineRule="exact"/>
        <w:rPr>
          <w:sz w:val="20"/>
          <w:szCs w:val="20"/>
          <w:color w:val="auto"/>
        </w:rPr>
      </w:pPr>
    </w:p>
    <w:p>
      <w:pPr>
        <w:ind w:right="20" w:firstLine="620"/>
        <w:spacing w:after="0" w:line="254" w:lineRule="auto"/>
        <w:rPr>
          <w:sz w:val="20"/>
          <w:szCs w:val="20"/>
          <w:color w:val="auto"/>
        </w:rPr>
      </w:pPr>
      <w:r>
        <w:rPr>
          <w:rFonts w:ascii="Arial" w:cs="Arial" w:eastAsia="Arial" w:hAnsi="Arial"/>
          <w:sz w:val="17"/>
          <w:szCs w:val="17"/>
          <w:color w:val="auto"/>
        </w:rPr>
        <w:t>We record accrued liabilities for estimated costs of research and development activities conducted by third-party service providers, which include the conduct of nonclinical studies, clinical studies, clinical trials and contract manufacturing activities. These costs are a significant component of our research and development expenses. Research and development costs are expensed as incurred unless there is an alternative future use in other research and development projects. We accrue for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Additionally, if expectations change such that we do not expect goods to be delivered or services to be rendered, such prepayments are charged to expense. Our objective is to reflect the appropriate expense in our financial statements by matching those expenses with the period in which the services and efforts are expended. We account for these expenses according to the progress of the trial as measured by patient progression and the timing of various aspects of the trial utilizing financial models taking into consideration discussions with applicable personnel and outside service providers. In this manner, our clinical trial accrual is dependent in part upon the timely and accurate reporting of progress and efforts incurred from CROs, contract manufacturers and other third-party vendors. Although we expect our estimates to be materially consistent with actual amounts incurred, our understanding of the status and timing of services performed relative to the actual status and timing of services performed may vary and may result in our reporting changes in estimates in any particular period. We make significant judgments and estimates in determining the accrued liabilities balance in each reporting period. As actual costs become known, we adjust our accrued liabilities. We have not experienced any material differences between accrued costs as of December 31, 2021 and 2020 and actual costs incurred.</w:t>
      </w:r>
    </w:p>
    <w:p>
      <w:pPr>
        <w:spacing w:after="0" w:line="10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73" w:lineRule="exact"/>
        <w:rPr>
          <w:sz w:val="20"/>
          <w:szCs w:val="20"/>
          <w:color w:val="auto"/>
        </w:rPr>
      </w:pPr>
    </w:p>
    <w:p>
      <w:pPr>
        <w:ind w:right="140" w:firstLine="620"/>
        <w:spacing w:after="0" w:line="257" w:lineRule="auto"/>
        <w:rPr>
          <w:sz w:val="20"/>
          <w:szCs w:val="20"/>
          <w:color w:val="auto"/>
        </w:rPr>
      </w:pPr>
      <w:r>
        <w:rPr>
          <w:rFonts w:ascii="Arial" w:cs="Arial" w:eastAsia="Arial" w:hAnsi="Arial"/>
          <w:sz w:val="17"/>
          <w:szCs w:val="17"/>
          <w:color w:val="auto"/>
        </w:rPr>
        <w:t>We account for share-based payments at fair value. For share-based awards that vest subject to the satisfaction of a service requirement, the fair value measurement date for such awards is the date of grant and the expense is recognized on a straight-line basis, over the expected vesting period. For share-based awards that vest subject to a performance condition, we recognize compensation cost for awards if and when we conclude that it is probable that the awards with a performance condition will be achieved on an accelerated attribution method. We account for forfeitures as they occur.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calculate the fair value measurement of stock options using the Black-Scholes option pricing model and assumptions discussed below.</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Each of these inputs is subjective and generally requires significant judgement.</w:t>
      </w:r>
    </w:p>
    <w:p>
      <w:pPr>
        <w:spacing w:after="0" w:line="12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—see the subsection titled “Common Stock Valuation” below.</w:t>
      </w:r>
    </w:p>
    <w:p>
      <w:pPr>
        <w:spacing w:after="0" w:line="153" w:lineRule="exact"/>
        <w:rPr>
          <w:sz w:val="20"/>
          <w:szCs w:val="20"/>
          <w:color w:val="auto"/>
        </w:rPr>
      </w:pPr>
    </w:p>
    <w:p>
      <w:pPr>
        <w:ind w:right="680" w:firstLine="620"/>
        <w:spacing w:after="0" w:line="291"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—The expected term represents the period that we expect our stock-based awards to be outstanding. We used the</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simplified method (based on the mid-point between the vesting date and the end of the contractual term) to determine the expected term.</w:t>
      </w:r>
    </w:p>
    <w:p>
      <w:pPr>
        <w:spacing w:after="0" w:line="82" w:lineRule="exact"/>
        <w:rPr>
          <w:sz w:val="20"/>
          <w:szCs w:val="20"/>
          <w:color w:val="auto"/>
        </w:rPr>
      </w:pPr>
    </w:p>
    <w:p>
      <w:pPr>
        <w:ind w:right="120" w:firstLine="620"/>
        <w:spacing w:after="0" w:line="263"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—Since we do not yet have sufficient trading history for our common stock to use it solely for our historical volatility,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volatility was estimated based a combination of our own historical common stock volatility as well as the average historical volatilities for comparable publicly traded pharmaceutical companies over a period equal to the expected term of the stock option grants. The comparable companies were chosen based on their similar size, stage in the life cycle and area of specialty. We will continue to apply this process until a sufficient amount of historical information regarding the volatility of our stock price becomes available.</w:t>
      </w:r>
    </w:p>
    <w:p>
      <w:pPr>
        <w:spacing w:after="0" w:line="92" w:lineRule="exact"/>
        <w:rPr>
          <w:sz w:val="20"/>
          <w:szCs w:val="20"/>
          <w:color w:val="auto"/>
        </w:rPr>
      </w:pPr>
    </w:p>
    <w:p>
      <w:pPr>
        <w:ind w:right="460" w:firstLine="620"/>
        <w:spacing w:after="0" w:line="291"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is based on the U.S. Treasury zero coupon issues in effect at the time of grant for</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corresponding with the expected term of option.</w:t>
      </w:r>
    </w:p>
    <w:p>
      <w:pPr>
        <w:spacing w:after="0" w:line="82" w:lineRule="exact"/>
        <w:rPr>
          <w:sz w:val="20"/>
          <w:szCs w:val="20"/>
          <w:color w:val="auto"/>
        </w:rPr>
      </w:pPr>
    </w:p>
    <w:p>
      <w:pPr>
        <w:ind w:firstLine="620"/>
        <w:spacing w:after="0" w:line="291" w:lineRule="auto"/>
        <w:rPr>
          <w:sz w:val="20"/>
          <w:szCs w:val="20"/>
          <w:color w:val="auto"/>
        </w:rPr>
      </w:pPr>
      <w:r>
        <w:rPr>
          <w:rFonts w:ascii="Arial" w:cs="Arial" w:eastAsia="Arial" w:hAnsi="Arial"/>
          <w:sz w:val="17"/>
          <w:szCs w:val="17"/>
          <w:i w:val="1"/>
          <w:iCs w:val="1"/>
          <w:color w:val="auto"/>
        </w:rPr>
        <w:t>Dividend Yield</w:t>
      </w:r>
      <w:r>
        <w:rPr>
          <w:rFonts w:ascii="Arial" w:cs="Arial" w:eastAsia="Arial" w:hAnsi="Arial"/>
          <w:sz w:val="17"/>
          <w:szCs w:val="17"/>
          <w:color w:val="auto"/>
        </w:rPr>
        <w:t>—We have never paid dividends on common stock and have no plans to pay dividends on our common stock. Therefore, we</w:t>
      </w:r>
      <w:r>
        <w:rPr>
          <w:rFonts w:ascii="Arial" w:cs="Arial" w:eastAsia="Arial" w:hAnsi="Arial"/>
          <w:sz w:val="17"/>
          <w:szCs w:val="17"/>
          <w:i w:val="1"/>
          <w:iCs w:val="1"/>
          <w:color w:val="auto"/>
        </w:rPr>
        <w:t xml:space="preserve"> </w:t>
      </w:r>
      <w:r>
        <w:rPr>
          <w:rFonts w:ascii="Arial" w:cs="Arial" w:eastAsia="Arial" w:hAnsi="Arial"/>
          <w:sz w:val="17"/>
          <w:szCs w:val="17"/>
          <w:color w:val="auto"/>
        </w:rPr>
        <w:t>used an expected dividend yield of zero.</w:t>
      </w:r>
    </w:p>
    <w:p>
      <w:pPr>
        <w:spacing w:after="0" w:line="100" w:lineRule="exact"/>
        <w:rPr>
          <w:sz w:val="20"/>
          <w:szCs w:val="20"/>
          <w:color w:val="auto"/>
        </w:rPr>
      </w:pPr>
    </w:p>
    <w:p>
      <w:pPr>
        <w:jc w:val="both"/>
        <w:ind w:right="200" w:firstLine="620"/>
        <w:spacing w:after="0" w:line="258" w:lineRule="auto"/>
        <w:rPr>
          <w:sz w:val="20"/>
          <w:szCs w:val="20"/>
          <w:color w:val="auto"/>
        </w:rPr>
      </w:pPr>
      <w:r>
        <w:rPr>
          <w:rFonts w:ascii="Arial" w:cs="Arial" w:eastAsia="Arial" w:hAnsi="Arial"/>
          <w:sz w:val="17"/>
          <w:szCs w:val="17"/>
          <w:color w:val="auto"/>
        </w:rPr>
        <w:t>See Note 10 to our audited financial statements included elsewhere in this Annual Report on Form 10-K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16" w:lineRule="exact"/>
        <w:rPr>
          <w:sz w:val="20"/>
          <w:szCs w:val="20"/>
          <w:color w:val="auto"/>
        </w:rPr>
      </w:pPr>
    </w:p>
    <w:p>
      <w:pPr>
        <w:ind w:right="120" w:firstLine="620"/>
        <w:spacing w:after="0" w:line="256" w:lineRule="auto"/>
        <w:rPr>
          <w:sz w:val="20"/>
          <w:szCs w:val="20"/>
          <w:color w:val="auto"/>
        </w:rPr>
      </w:pPr>
      <w:r>
        <w:rPr>
          <w:rFonts w:ascii="Arial" w:cs="Arial" w:eastAsia="Arial" w:hAnsi="Arial"/>
          <w:sz w:val="17"/>
          <w:szCs w:val="17"/>
          <w:color w:val="auto"/>
        </w:rPr>
        <w:t>We recorded stock-based compensation expense of $23.9 million, $7.9 million, and $0.8 million for the years ended December 31, 2021, 2020 and 2019, respectively. As of December 31, 2021, there was $54.0 million of unrecognized compensation expense related to unvested options, which are expected to be recognized over a weighted-average period of approximately 3.0 years. As of December 31, 2021, there was $7.1 million of unrecognized compensation expense related to restricted stock, which are expected to be recognized over a weighted-average period of approximately 3.0 years. We expect to continue to grant stock options, restricted stock, and other equity-based awards in the future, and to the extent that we do, our stock-based compensation expense recognized in future periods will likely increase.</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Common Stock Valuation</w:t>
      </w:r>
    </w:p>
    <w:p>
      <w:pPr>
        <w:spacing w:after="0" w:line="171"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 xml:space="preserve">Prior to the completion of our public offering, there were significant assumptions and estimates required in determining the fair value of our common stock. Due to the absence of an active market for our common stock prior to our IPO, the fair value of our common stock for grants during that time period was determined in good faith by our board of directors, with the assistance and upon the recommendation of management and valuations of our common stock prepared by an unrelated third-party valuation firm, based on a number of objective and subjective factors consistent with the methodologies outlined in the American Institute of Certified Public Accountants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referred to as the AICPA Practice Aid, including:</w:t>
      </w:r>
    </w:p>
    <w:p>
      <w:pPr>
        <w:spacing w:after="0" w:line="119" w:lineRule="exact"/>
        <w:rPr>
          <w:sz w:val="20"/>
          <w:szCs w:val="20"/>
          <w:color w:val="auto"/>
        </w:rPr>
      </w:pPr>
    </w:p>
    <w:p>
      <w:pPr>
        <w:ind w:left="740" w:hanging="116"/>
        <w:spacing w:after="0"/>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contemporaneous valuations of our shares of common stock;</w:t>
      </w:r>
    </w:p>
    <w:p>
      <w:pPr>
        <w:spacing w:after="0" w:line="153" w:lineRule="exact"/>
        <w:rPr>
          <w:rFonts w:ascii="Arial" w:cs="Arial" w:eastAsia="Arial" w:hAnsi="Arial"/>
          <w:sz w:val="17"/>
          <w:szCs w:val="17"/>
          <w:color w:val="auto"/>
        </w:rPr>
      </w:pPr>
    </w:p>
    <w:p>
      <w:pPr>
        <w:ind w:left="780" w:right="80" w:hanging="156"/>
        <w:spacing w:after="0" w:line="269" w:lineRule="auto"/>
        <w:tabs>
          <w:tab w:leader="none" w:pos="733"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prices of each of our series of preferred stock sold by us to outside investors in arm’s length transactions, and the rights, preferences and privileges of each of these series of preferred stock relative to our common stock;</w:t>
      </w:r>
    </w:p>
    <w:p>
      <w:pPr>
        <w:spacing w:after="0" w:line="117" w:lineRule="exact"/>
        <w:rPr>
          <w:rFonts w:ascii="Arial" w:cs="Arial" w:eastAsia="Arial" w:hAnsi="Arial"/>
          <w:sz w:val="17"/>
          <w:szCs w:val="17"/>
          <w:color w:val="auto"/>
        </w:rPr>
      </w:pPr>
    </w:p>
    <w:p>
      <w:pPr>
        <w:ind w:left="740" w:hanging="116"/>
        <w:spacing w:after="0"/>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results of operations, financial position and the status of our research and development efforts;</w:t>
      </w:r>
    </w:p>
    <w:p>
      <w:pPr>
        <w:spacing w:after="0" w:line="140" w:lineRule="exact"/>
        <w:rPr>
          <w:rFonts w:ascii="Arial" w:cs="Arial" w:eastAsia="Arial" w:hAnsi="Arial"/>
          <w:sz w:val="17"/>
          <w:szCs w:val="17"/>
          <w:color w:val="auto"/>
        </w:rPr>
      </w:pPr>
    </w:p>
    <w:p>
      <w:pPr>
        <w:ind w:left="740" w:hanging="116"/>
        <w:spacing w:after="0"/>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composition of our management team and board of directors;</w:t>
      </w:r>
    </w:p>
    <w:p>
      <w:pPr>
        <w:spacing w:after="0" w:line="153" w:lineRule="exact"/>
        <w:rPr>
          <w:rFonts w:ascii="Arial" w:cs="Arial" w:eastAsia="Arial" w:hAnsi="Arial"/>
          <w:sz w:val="17"/>
          <w:szCs w:val="17"/>
          <w:color w:val="auto"/>
        </w:rPr>
      </w:pPr>
    </w:p>
    <w:p>
      <w:pPr>
        <w:ind w:left="740" w:hanging="116"/>
        <w:spacing w:after="0"/>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material risks related to our business;</w:t>
      </w:r>
    </w:p>
    <w:p>
      <w:pPr>
        <w:spacing w:after="0" w:line="153" w:lineRule="exact"/>
        <w:rPr>
          <w:rFonts w:ascii="Arial" w:cs="Arial" w:eastAsia="Arial" w:hAnsi="Arial"/>
          <w:sz w:val="17"/>
          <w:szCs w:val="17"/>
          <w:color w:val="auto"/>
        </w:rPr>
      </w:pPr>
    </w:p>
    <w:p>
      <w:pPr>
        <w:ind w:left="740" w:hanging="116"/>
        <w:spacing w:after="0"/>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market performance of publicly traded companies in the life sciences and biotechnology sectors;</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5" w:name="page106"/>
    <w:bookmarkEnd w:id="10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left="780" w:right="40" w:hanging="156"/>
        <w:spacing w:after="0" w:line="269" w:lineRule="auto"/>
        <w:tabs>
          <w:tab w:leader="none" w:pos="73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likelihood of achieving a liquidity event for the holders of our shares of common stock, such as a sale of the company or an IPO, given prevailing market conditions;</w:t>
      </w:r>
    </w:p>
    <w:p>
      <w:pPr>
        <w:spacing w:after="0" w:line="104" w:lineRule="exact"/>
        <w:rPr>
          <w:rFonts w:ascii="Arial" w:cs="Arial" w:eastAsia="Arial" w:hAnsi="Arial"/>
          <w:sz w:val="17"/>
          <w:szCs w:val="17"/>
          <w:color w:val="auto"/>
        </w:rPr>
      </w:pPr>
    </w:p>
    <w:p>
      <w:pPr>
        <w:ind w:left="740" w:hanging="116"/>
        <w:spacing w:after="0"/>
        <w:tabs>
          <w:tab w:leader="none" w:pos="7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lack of marketability of our common stock; and</w:t>
      </w:r>
    </w:p>
    <w:p>
      <w:pPr>
        <w:spacing w:after="0" w:line="153" w:lineRule="exact"/>
        <w:rPr>
          <w:rFonts w:ascii="Arial" w:cs="Arial" w:eastAsia="Arial" w:hAnsi="Arial"/>
          <w:sz w:val="17"/>
          <w:szCs w:val="17"/>
          <w:color w:val="auto"/>
        </w:rPr>
      </w:pPr>
    </w:p>
    <w:p>
      <w:pPr>
        <w:ind w:left="740" w:hanging="116"/>
        <w:spacing w:after="0"/>
        <w:tabs>
          <w:tab w:leader="none" w:pos="7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external market conditions affecting the life sciences and biotechnology industry sectors.</w:t>
      </w:r>
    </w:p>
    <w:p>
      <w:pPr>
        <w:spacing w:after="0" w:line="153"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If we had made different assumptions than those described below, the fair value of the underlying common stock and amount of our stock-based compensation expense, net loss and net loss per share amounts would have differed. Following the closing of our IPO, the fair value per share of our common stock for purposes of determining stock-based compensation will be the closing price of our common stock as reported on the applicable grant date.</w:t>
      </w:r>
    </w:p>
    <w:p>
      <w:pPr>
        <w:spacing w:after="0" w:line="116" w:lineRule="exact"/>
        <w:rPr>
          <w:sz w:val="20"/>
          <w:szCs w:val="20"/>
          <w:color w:val="auto"/>
        </w:rPr>
      </w:pPr>
    </w:p>
    <w:p>
      <w:pPr>
        <w:ind w:right="120" w:firstLine="620"/>
        <w:spacing w:after="0" w:line="258" w:lineRule="auto"/>
        <w:rPr>
          <w:sz w:val="20"/>
          <w:szCs w:val="20"/>
          <w:color w:val="auto"/>
        </w:rPr>
      </w:pPr>
      <w:r>
        <w:rPr>
          <w:rFonts w:ascii="Arial" w:cs="Arial" w:eastAsia="Arial" w:hAnsi="Arial"/>
          <w:sz w:val="17"/>
          <w:szCs w:val="17"/>
          <w:color w:val="auto"/>
        </w:rPr>
        <w:t xml:space="preserve">Historically, prior to our IPO, fair values of the shares of common stock underlying our share-based awards were estimated on each grant date by our board of directors. Our board of directors considered, among other things, valuations of our common stock which were prepared by an unrelated third-party valuation firm in accordance with the guidance provided by the AICPA Practice Aid, </w:t>
      </w:r>
      <w:r>
        <w:rPr>
          <w:rFonts w:ascii="Arial" w:cs="Arial" w:eastAsia="Arial" w:hAnsi="Arial"/>
          <w:sz w:val="17"/>
          <w:szCs w:val="17"/>
          <w:i w:val="1"/>
          <w:iCs w:val="1"/>
          <w:color w:val="auto"/>
        </w:rPr>
        <w:t>Valuation of Privately-Held-Company</w:t>
      </w:r>
      <w:r>
        <w:rPr>
          <w:rFonts w:ascii="Arial" w:cs="Arial" w:eastAsia="Arial" w:hAnsi="Arial"/>
          <w:sz w:val="17"/>
          <w:szCs w:val="17"/>
          <w:color w:val="auto"/>
        </w:rPr>
        <w:t xml:space="preserve"> </w:t>
      </w:r>
      <w:r>
        <w:rPr>
          <w:rFonts w:ascii="Arial" w:cs="Arial" w:eastAsia="Arial" w:hAnsi="Arial"/>
          <w:sz w:val="17"/>
          <w:szCs w:val="17"/>
          <w:i w:val="1"/>
          <w:iCs w:val="1"/>
          <w:color w:val="auto"/>
        </w:rPr>
        <w:t>Equity Securities Issued as Compensation</w:t>
      </w:r>
      <w:r>
        <w:rPr>
          <w:rFonts w:ascii="Arial" w:cs="Arial" w:eastAsia="Arial" w:hAnsi="Arial"/>
          <w:sz w:val="17"/>
          <w:szCs w:val="17"/>
          <w:color w:val="auto"/>
        </w:rPr>
        <w:t>.</w:t>
      </w:r>
    </w:p>
    <w:p>
      <w:pPr>
        <w:spacing w:after="0" w:line="129" w:lineRule="exact"/>
        <w:rPr>
          <w:sz w:val="20"/>
          <w:szCs w:val="20"/>
          <w:color w:val="auto"/>
        </w:rPr>
      </w:pPr>
    </w:p>
    <w:p>
      <w:pPr>
        <w:ind w:right="180" w:firstLine="620"/>
        <w:spacing w:after="0" w:line="256" w:lineRule="auto"/>
        <w:rPr>
          <w:sz w:val="20"/>
          <w:szCs w:val="20"/>
          <w:color w:val="auto"/>
        </w:rPr>
      </w:pPr>
      <w:r>
        <w:rPr>
          <w:rFonts w:ascii="Arial" w:cs="Arial" w:eastAsia="Arial" w:hAnsi="Arial"/>
          <w:sz w:val="17"/>
          <w:szCs w:val="17"/>
          <w:color w:val="auto"/>
        </w:rPr>
        <w:t>In 2019, we reassessed the determination of the fair value of the common shares underlying the grants made prior to August 2018 in connection with a valuation of the convertible preferred stock liability. This analysis revised our implied equity value, which was then allocated to each equity class using an option pricing method and the implied value of common stock was then reduced by a discount for lack of marketability. As a result of this reassessment, we determined that fair value of common stock increased to $0.46, $1.12 and $1.18 per share as of April 2017, December 2017 and March 2018, respectively. The increase to both recognized and unrecognized share-based compensation expense due to these higher share prices was approximately $0.1 million and $0.4 million, respectively, as of December 31, 2018.</w:t>
      </w:r>
    </w:p>
    <w:p>
      <w:pPr>
        <w:spacing w:after="0" w:line="11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Income Taxes</w:t>
      </w:r>
    </w:p>
    <w:p>
      <w:pPr>
        <w:spacing w:after="0" w:line="160"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As of December 31, 2021, we had net deferred tax assets of $90.4 million. The deferred tax assets have been offset by a valuation allowance due to uncertainties surrounding our ability to realize these tax benefits. The deferred tax assets are primarily composed of NOL, tax carryforwards. As of December 31, 2021, we had federal, California and other state NOL carryforwards of $ 361.3 million, $360.1 million and $5.3 million, respectively, available to potentially offset future taxable income. As of December 31, 2021, we also had federal and California research and development tax credit carryforwards of approximately $10.8 million and $ 2.4 million, respectively, available to potentially offset future federal income taxes. The federal research and development tax carryforwards, if not utilized, will expire beginning in 2036. The California research and development tax credit carryforwards are available indefinitely. Federal and California tax law impose significant restrictions on the utilization of NOL carryforwards in the event of a change in ownership, as defined by Internal Revenue Code Section 382 and 383. We have not completed a formal study to determine any limitations on our tax attributes due to changes in ownership and may have limitations on the utilization of NOL carryforwards, credit carryforwards, or other tax attributes due to ownership changes.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2 to our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75" w:lineRule="exact"/>
        <w:rPr>
          <w:sz w:val="20"/>
          <w:szCs w:val="20"/>
          <w:color w:val="auto"/>
        </w:rPr>
      </w:pPr>
    </w:p>
    <w:p>
      <w:pPr>
        <w:ind w:right="100" w:firstLine="620"/>
        <w:spacing w:after="0" w:line="256"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As of December 31, 2021, we had cash and cash equivalents of $96.4 million, restricted cash of $1.5 million and marketable securities of $290.6 million, which consist of bank deposits, money market funds, commercial paper, government securities, and corporate debt securities. The primary objective of our investment activities is to preserve capital to fund our operations. We also seek to maximize income from our investments without assuming significant risk. Because our investments are primarily short-term in duration, we believe that this exposure to interest rate risk is not significant, and a 1% movement in market interest rates would not have a significant impact on the total value of our portfolio.</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In addition, amounts outstanding under our Loan Agreement bear interest at a floating rate equal a per annum interest rate equal to 7.45% plus the greater of (a) 0.10% and (b) the per annum rate published by the Intercontinental Exchange Benchmark Administration Ltd. (or on any successor or substitute published rate) for a term of one month, subject to a replacement with an alternate benchmark rate and spread in certain circumstances. As a result, we are exposed to risks related to our indebtedness from changes in interest rates. We do not believe that a hypothetical 100 basis point increase or decrease in the applicable interest rate would have had a significant impact on our interest expense for the year ended December 31, 2021.</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75" w:lineRule="exact"/>
        <w:rPr>
          <w:sz w:val="20"/>
          <w:szCs w:val="20"/>
          <w:color w:val="auto"/>
        </w:rPr>
      </w:pPr>
    </w:p>
    <w:p>
      <w:pPr>
        <w:ind w:right="260" w:firstLine="620"/>
        <w:spacing w:after="0" w:line="269" w:lineRule="auto"/>
        <w:rPr>
          <w:sz w:val="20"/>
          <w:szCs w:val="20"/>
          <w:color w:val="auto"/>
        </w:rPr>
      </w:pPr>
      <w:r>
        <w:rPr>
          <w:rFonts w:ascii="Arial" w:cs="Arial" w:eastAsia="Arial" w:hAnsi="Arial"/>
          <w:sz w:val="17"/>
          <w:szCs w:val="17"/>
          <w:color w:val="auto"/>
        </w:rPr>
        <w:t>Our financial statements, together with the independent registered public accounting firm report thereon, are set forth in Part IV Item 15, “Exhibits, Financial Statement Schedules” of this Annual Report on Form 10-K.</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60" w:lineRule="exact"/>
        <w:rPr>
          <w:sz w:val="20"/>
          <w:szCs w:val="20"/>
          <w:color w:val="auto"/>
        </w:rPr>
      </w:pPr>
    </w:p>
    <w:p>
      <w:pPr>
        <w:ind w:right="80" w:firstLine="620"/>
        <w:spacing w:after="0" w:line="256"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as of December 31, 2021,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required information is accumulated and communicated to our management, including our Chief Executive Officer and Chief Financial Officer, as appropriate, to allow timely decisions regarding required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Report on Internal Control Over Financial Reporting</w:t>
      </w:r>
    </w:p>
    <w:p>
      <w:pPr>
        <w:spacing w:after="0" w:line="173"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Rule 13a-15(f) under the Exchange Act. Under the supervision and with the participation of our management, including our Chief Executive Officer and Chief Financial Officer, we conducted an assessment of the effectiveness of our internal control over financial reporting based our assessment on the criteria set forth in "Internal Control - Integrated Framework (2013)" issued by the Committee of Sponsoring Organizations of the Treadway Commission. Based on the results of our assessment, our management concluded that our internal control over financial reporting was effective as of December 31, 2021. The effectiveness of our internal control over financial reporting as of December 31, 2021 has been audited by an independent registered public accounting firm, as stated in their report included in Part IV Item 15, “Exhibits, Financial Statement Schedules” of this Annual Report on Form 10-K.</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73" w:lineRule="exact"/>
        <w:rPr>
          <w:sz w:val="20"/>
          <w:szCs w:val="20"/>
          <w:color w:val="auto"/>
        </w:rPr>
      </w:pPr>
    </w:p>
    <w:p>
      <w:pPr>
        <w:ind w:right="320" w:firstLine="620"/>
        <w:spacing w:after="0" w:line="269" w:lineRule="auto"/>
        <w:rPr>
          <w:sz w:val="20"/>
          <w:szCs w:val="20"/>
          <w:color w:val="auto"/>
        </w:rPr>
      </w:pPr>
      <w:r>
        <w:rPr>
          <w:rFonts w:ascii="Arial" w:cs="Arial" w:eastAsia="Arial" w:hAnsi="Arial"/>
          <w:sz w:val="17"/>
          <w:szCs w:val="17"/>
          <w:color w:val="auto"/>
        </w:rPr>
        <w:t>There was no change in our internal controls over financial reporting during the year ended December 31, 2021 covered by this Annual Report on Form 10-K that has materially affected, or is reasonably likely to materially affect, our internal control over financial reporting.</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Inherent Limitations on Effectiveness of Controls and Procedures</w:t>
      </w:r>
    </w:p>
    <w:p>
      <w:pPr>
        <w:spacing w:after="0" w:line="160" w:lineRule="exact"/>
        <w:rPr>
          <w:sz w:val="20"/>
          <w:szCs w:val="20"/>
          <w:color w:val="auto"/>
        </w:rPr>
      </w:pPr>
    </w:p>
    <w:p>
      <w:pPr>
        <w:ind w:right="140" w:firstLine="620"/>
        <w:spacing w:after="0" w:line="269" w:lineRule="auto"/>
        <w:rPr>
          <w:sz w:val="20"/>
          <w:szCs w:val="20"/>
          <w:color w:val="auto"/>
        </w:rPr>
      </w:pPr>
      <w:r>
        <w:rPr>
          <w:rFonts w:ascii="Arial" w:cs="Arial" w:eastAsia="Arial" w:hAnsi="Arial"/>
          <w:sz w:val="17"/>
          <w:szCs w:val="17"/>
          <w:color w:val="auto"/>
        </w:rPr>
        <w:t>Our internal control over financial reporting is designed to provide reasonable assurance regarding the reliability of financial reporting and the preparation of financial statements for external purposes in accordance with U.S. GAAP.</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internal control over financial reporting includes those policies and procedures that:</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 pertain to the maintenance of records that, in reasonable detail, accurately and fairly reflect the transactions and dispositions of our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assets;</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7" w:name="page108"/>
    <w:bookmarkEnd w:id="10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jc w:val="both"/>
        <w:ind w:right="160" w:firstLine="624"/>
        <w:spacing w:after="0" w:line="261" w:lineRule="auto"/>
        <w:tabs>
          <w:tab w:leader="none" w:pos="859"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111" w:lineRule="exact"/>
        <w:rPr>
          <w:rFonts w:ascii="Arial" w:cs="Arial" w:eastAsia="Arial" w:hAnsi="Arial"/>
          <w:sz w:val="17"/>
          <w:szCs w:val="17"/>
          <w:color w:val="auto"/>
        </w:rPr>
      </w:pPr>
    </w:p>
    <w:p>
      <w:pPr>
        <w:ind w:firstLine="624"/>
        <w:spacing w:after="0" w:line="269" w:lineRule="auto"/>
        <w:tabs>
          <w:tab w:leader="none" w:pos="897"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117"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Management, including our Chief Executive Officer and Chief Financial Officer, do not expect that our internal controls will prevent or detect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are subject to the risk that those internal controls may become inadequate because of changes in business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ind w:right="2920" w:firstLine="3553"/>
        <w:spacing w:after="0" w:line="432" w:lineRule="auto"/>
        <w:rPr>
          <w:sz w:val="20"/>
          <w:szCs w:val="20"/>
          <w:color w:val="auto"/>
        </w:rPr>
      </w:pPr>
      <w:r>
        <w:rPr>
          <w:rFonts w:ascii="Arial" w:cs="Arial" w:eastAsia="Arial" w:hAnsi="Arial"/>
          <w:sz w:val="17"/>
          <w:szCs w:val="17"/>
          <w:b w:val="1"/>
          <w:bCs w:val="1"/>
          <w:color w:val="auto"/>
        </w:rPr>
        <w:t>Report of Independent Registered Public Accounting Firm To the Stockholders and the Board of Directors of Arcutis Biotherapeutics, Inc. Opinion on Internal Control Over Financial Reporting</w:t>
      </w:r>
    </w:p>
    <w:p>
      <w:pPr>
        <w:jc w:val="both"/>
        <w:spacing w:after="0" w:line="258" w:lineRule="auto"/>
        <w:rPr>
          <w:sz w:val="20"/>
          <w:szCs w:val="20"/>
          <w:color w:val="auto"/>
        </w:rPr>
      </w:pPr>
      <w:r>
        <w:rPr>
          <w:rFonts w:ascii="Arial" w:cs="Arial" w:eastAsia="Arial" w:hAnsi="Arial"/>
          <w:sz w:val="17"/>
          <w:szCs w:val="17"/>
          <w:color w:val="auto"/>
        </w:rPr>
        <w:t>We have audited Arcutis Biotherapeutics, Inc.’s internal control over financial reporting as of December 31, 2021, based on criteria established in Internal Control—Integrated Framework issued by the Committee of Sponsoring Organizations of the Treadway Commission (2013 framework) (the COSO criteria). In our opinion, Amgen Inc. (the Company) maintained, in all material respects, effective internal control over financial reporting as of December 31, 2021, based on the COSO criteria.</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balance sheets of the Company as of December 31, 2021 and 2020, the related statements of operations and comprehensive loss, convertible preferred stock and stockholders’ equity (deficit) and cash flows for each of the three years in the period ended December 31, 2021, and the related notes and our report dated February 22, 2022 expressed an unqualified opinion thereon.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Ernst &amp; Young LLP</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9" w:name="page110"/>
    <w:bookmarkEnd w:id="10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18"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Part III</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75" w:lineRule="exact"/>
        <w:rPr>
          <w:sz w:val="20"/>
          <w:szCs w:val="20"/>
          <w:color w:val="auto"/>
        </w:rPr>
      </w:pPr>
    </w:p>
    <w:p>
      <w:pPr>
        <w:ind w:firstLine="620"/>
        <w:spacing w:after="0" w:line="269" w:lineRule="auto"/>
        <w:rPr>
          <w:sz w:val="20"/>
          <w:szCs w:val="20"/>
          <w:color w:val="auto"/>
        </w:rPr>
      </w:pPr>
      <w:r>
        <w:rPr>
          <w:rFonts w:ascii="Arial" w:cs="Arial" w:eastAsia="Arial" w:hAnsi="Arial"/>
          <w:sz w:val="17"/>
          <w:szCs w:val="17"/>
          <w:color w:val="auto"/>
        </w:rPr>
        <w:t>The information required by this item is incorporated by reference to our definitive proxy statement relating to our 2022 Annual Meeting of Stockholders to be filed with the SEC within 120 days after the end of the fiscal year to which this Annual Report on Form 10-K relates.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75" w:lineRule="exact"/>
        <w:rPr>
          <w:sz w:val="20"/>
          <w:szCs w:val="20"/>
          <w:color w:val="auto"/>
        </w:rPr>
      </w:pPr>
    </w:p>
    <w:p>
      <w:pPr>
        <w:ind w:firstLine="620"/>
        <w:spacing w:after="0" w:line="269" w:lineRule="auto"/>
        <w:rPr>
          <w:sz w:val="20"/>
          <w:szCs w:val="20"/>
          <w:color w:val="auto"/>
        </w:rPr>
      </w:pPr>
      <w:r>
        <w:rPr>
          <w:rFonts w:ascii="Arial" w:cs="Arial" w:eastAsia="Arial" w:hAnsi="Arial"/>
          <w:sz w:val="17"/>
          <w:szCs w:val="17"/>
          <w:color w:val="auto"/>
        </w:rPr>
        <w:t>The information required by this item is incorporated by reference to our definitive proxy statement relating to our 2022 Annual Meeting of Stockholders to be filed with the SEC within 120 days after the end of the fiscal year to which this Annual Report on Form 10-K relates.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62" w:lineRule="exact"/>
        <w:rPr>
          <w:sz w:val="20"/>
          <w:szCs w:val="20"/>
          <w:color w:val="auto"/>
        </w:rPr>
      </w:pPr>
    </w:p>
    <w:p>
      <w:pPr>
        <w:ind w:firstLine="620"/>
        <w:spacing w:after="0" w:line="269" w:lineRule="auto"/>
        <w:rPr>
          <w:sz w:val="20"/>
          <w:szCs w:val="20"/>
          <w:color w:val="auto"/>
        </w:rPr>
      </w:pPr>
      <w:r>
        <w:rPr>
          <w:rFonts w:ascii="Arial" w:cs="Arial" w:eastAsia="Arial" w:hAnsi="Arial"/>
          <w:sz w:val="17"/>
          <w:szCs w:val="17"/>
          <w:color w:val="auto"/>
        </w:rPr>
        <w:t>The information required by this item is incorporated by reference to our definitive proxy statement relating to our 2022 Annual Meeting of Stockholders to be filed with the SEC within 120 days after the end of the fiscal year to which this Annual Report on Form 10-K relates.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PARTY TRANSACTIONS AND DIRECTOR INDEPENDENCE</w:t>
      </w:r>
    </w:p>
    <w:p>
      <w:pPr>
        <w:spacing w:after="0" w:line="175" w:lineRule="exact"/>
        <w:rPr>
          <w:sz w:val="20"/>
          <w:szCs w:val="20"/>
          <w:color w:val="auto"/>
        </w:rPr>
      </w:pPr>
    </w:p>
    <w:p>
      <w:pPr>
        <w:ind w:firstLine="620"/>
        <w:spacing w:after="0" w:line="269" w:lineRule="auto"/>
        <w:rPr>
          <w:sz w:val="20"/>
          <w:szCs w:val="20"/>
          <w:color w:val="auto"/>
        </w:rPr>
      </w:pPr>
      <w:r>
        <w:rPr>
          <w:rFonts w:ascii="Arial" w:cs="Arial" w:eastAsia="Arial" w:hAnsi="Arial"/>
          <w:sz w:val="17"/>
          <w:szCs w:val="17"/>
          <w:color w:val="auto"/>
        </w:rPr>
        <w:t>The information required by this item is incorporated by reference to our definitive proxy statement relating to our 2022 Annual Meeting of Stockholders to be filed with the SEC within 120 days after the end of the fiscal year to which this Annual Report on Form 10-K relates.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75" w:lineRule="exact"/>
        <w:rPr>
          <w:sz w:val="20"/>
          <w:szCs w:val="20"/>
          <w:color w:val="auto"/>
        </w:rPr>
      </w:pPr>
    </w:p>
    <w:p>
      <w:pPr>
        <w:ind w:firstLine="620"/>
        <w:spacing w:after="0" w:line="269" w:lineRule="auto"/>
        <w:rPr>
          <w:sz w:val="20"/>
          <w:szCs w:val="20"/>
          <w:color w:val="auto"/>
        </w:rPr>
      </w:pPr>
      <w:r>
        <w:rPr>
          <w:rFonts w:ascii="Arial" w:cs="Arial" w:eastAsia="Arial" w:hAnsi="Arial"/>
          <w:sz w:val="17"/>
          <w:szCs w:val="17"/>
          <w:color w:val="auto"/>
        </w:rPr>
        <w:t>The information required by this item is incorporated by reference to our definitive proxy statement relating to our 2022 Annual Meeting of Stockholders to be filed with the SEC within 120 days after the end of the fiscal year to which this Annual Report on Form 10-K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sectPr>
      </w:pPr>
    </w:p>
    <w:bookmarkStart w:id="110" w:name="page111"/>
    <w:bookmarkEnd w:id="1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Part IV</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15. EXHIBITS AND FINANCIAL STATEMENT SCHEDULES.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 Financial Statement Schedules.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financial statements are included herein:</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Audited Financial Statements</w:t>
      </w:r>
    </w:p>
    <w:p>
      <w:pPr>
        <w:spacing w:after="0" w:line="137" w:lineRule="exact"/>
        <w:rPr>
          <w:sz w:val="20"/>
          <w:szCs w:val="20"/>
          <w:color w:val="auto"/>
        </w:rPr>
      </w:pPr>
    </w:p>
    <w:p>
      <w:pPr>
        <w:ind w:left="960"/>
        <w:spacing w:after="0"/>
        <w:rPr>
          <w:rFonts w:ascii="Arial" w:cs="Arial" w:eastAsia="Arial" w:hAnsi="Arial"/>
          <w:sz w:val="17"/>
          <w:szCs w:val="17"/>
          <w:color w:val="0000FF"/>
        </w:rPr>
      </w:pPr>
      <w:hyperlink w:anchor="page115">
        <w:r>
          <w:rPr>
            <w:rFonts w:ascii="Arial" w:cs="Arial" w:eastAsia="Arial" w:hAnsi="Arial"/>
            <w:sz w:val="17"/>
            <w:szCs w:val="17"/>
            <w:u w:val="single" w:color="auto"/>
            <w:color w:val="0000FF"/>
          </w:rPr>
          <w:t>Report of Independent Registered Public Accounting Firm</w:t>
        </w:r>
        <w:r>
          <w:rPr>
            <w:rFonts w:ascii="Arial" w:cs="Arial" w:eastAsia="Arial" w:hAnsi="Arial"/>
            <w:sz w:val="17"/>
            <w:szCs w:val="17"/>
            <w:color w:val="0000FF"/>
          </w:rPr>
          <w:t xml:space="preserve"> </w:t>
        </w:r>
      </w:hyperlink>
      <w:r>
        <w:rPr>
          <w:rFonts w:ascii="Arial" w:cs="Arial" w:eastAsia="Arial" w:hAnsi="Arial"/>
          <w:sz w:val="17"/>
          <w:szCs w:val="17"/>
          <w:color w:val="000000"/>
        </w:rPr>
        <w:t>(PCAOB</w:t>
      </w:r>
      <w:r>
        <w:rPr>
          <w:rFonts w:ascii="Arial" w:cs="Arial" w:eastAsia="Arial" w:hAnsi="Arial"/>
          <w:sz w:val="17"/>
          <w:szCs w:val="17"/>
          <w:color w:val="0000FF"/>
        </w:rPr>
        <w:t xml:space="preserve"> </w:t>
      </w:r>
      <w:r>
        <w:rPr>
          <w:rFonts w:ascii="Arial" w:cs="Arial" w:eastAsia="Arial" w:hAnsi="Arial"/>
          <w:sz w:val="17"/>
          <w:szCs w:val="17"/>
          <w:color w:val="000000"/>
        </w:rPr>
        <w:t>ID: 42)</w:t>
      </w:r>
    </w:p>
    <w:p>
      <w:pPr>
        <w:spacing w:after="0" w:line="63" w:lineRule="exact"/>
        <w:rPr>
          <w:sz w:val="20"/>
          <w:szCs w:val="20"/>
          <w:color w:val="auto"/>
        </w:rPr>
      </w:pPr>
    </w:p>
    <w:p>
      <w:pPr>
        <w:ind w:left="960"/>
        <w:spacing w:after="0"/>
        <w:rPr>
          <w:rFonts w:ascii="Arial" w:cs="Arial" w:eastAsia="Arial" w:hAnsi="Arial"/>
          <w:sz w:val="17"/>
          <w:szCs w:val="17"/>
          <w:u w:val="single" w:color="auto"/>
          <w:color w:val="0000FF"/>
        </w:rPr>
      </w:pPr>
      <w:hyperlink w:anchor="page116">
        <w:r>
          <w:rPr>
            <w:rFonts w:ascii="Arial" w:cs="Arial" w:eastAsia="Arial" w:hAnsi="Arial"/>
            <w:sz w:val="17"/>
            <w:szCs w:val="17"/>
            <w:u w:val="single" w:color="auto"/>
            <w:color w:val="0000FF"/>
          </w:rPr>
          <w:t>Balance Sheets</w:t>
        </w:r>
      </w:hyperlink>
    </w:p>
    <w:p>
      <w:pPr>
        <w:spacing w:after="0" w:line="63" w:lineRule="exact"/>
        <w:rPr>
          <w:sz w:val="20"/>
          <w:szCs w:val="20"/>
          <w:color w:val="auto"/>
        </w:rPr>
      </w:pPr>
    </w:p>
    <w:p>
      <w:pPr>
        <w:ind w:left="960"/>
        <w:spacing w:after="0"/>
        <w:rPr>
          <w:rFonts w:ascii="Arial" w:cs="Arial" w:eastAsia="Arial" w:hAnsi="Arial"/>
          <w:sz w:val="17"/>
          <w:szCs w:val="17"/>
          <w:u w:val="single" w:color="auto"/>
          <w:color w:val="0000FF"/>
        </w:rPr>
      </w:pPr>
      <w:hyperlink w:anchor="page117">
        <w:r>
          <w:rPr>
            <w:rFonts w:ascii="Arial" w:cs="Arial" w:eastAsia="Arial" w:hAnsi="Arial"/>
            <w:sz w:val="17"/>
            <w:szCs w:val="17"/>
            <w:u w:val="single" w:color="auto"/>
            <w:color w:val="0000FF"/>
          </w:rPr>
          <w:t>Statements of Operations and Comprehensive Loss</w:t>
        </w:r>
      </w:hyperlink>
    </w:p>
    <w:p>
      <w:pPr>
        <w:spacing w:after="0" w:line="63" w:lineRule="exact"/>
        <w:rPr>
          <w:sz w:val="20"/>
          <w:szCs w:val="20"/>
          <w:color w:val="auto"/>
        </w:rPr>
      </w:pPr>
    </w:p>
    <w:p>
      <w:pPr>
        <w:ind w:left="960"/>
        <w:spacing w:after="0"/>
        <w:rPr>
          <w:rFonts w:ascii="Arial" w:cs="Arial" w:eastAsia="Arial" w:hAnsi="Arial"/>
          <w:sz w:val="17"/>
          <w:szCs w:val="17"/>
          <w:u w:val="single" w:color="auto"/>
          <w:color w:val="0000FF"/>
        </w:rPr>
      </w:pPr>
      <w:hyperlink w:anchor="page118">
        <w:r>
          <w:rPr>
            <w:rFonts w:ascii="Arial" w:cs="Arial" w:eastAsia="Arial" w:hAnsi="Arial"/>
            <w:sz w:val="17"/>
            <w:szCs w:val="17"/>
            <w:u w:val="single" w:color="auto"/>
            <w:color w:val="0000FF"/>
          </w:rPr>
          <w:t>Statements of Convertible Preferred Stock and Stockholders’ Equity (Deficit)</w:t>
        </w:r>
      </w:hyperlink>
    </w:p>
    <w:p>
      <w:pPr>
        <w:spacing w:after="0" w:line="63" w:lineRule="exact"/>
        <w:rPr>
          <w:sz w:val="20"/>
          <w:szCs w:val="20"/>
          <w:color w:val="auto"/>
        </w:rPr>
      </w:pPr>
    </w:p>
    <w:p>
      <w:pPr>
        <w:ind w:left="960"/>
        <w:spacing w:after="0"/>
        <w:rPr>
          <w:rFonts w:ascii="Arial" w:cs="Arial" w:eastAsia="Arial" w:hAnsi="Arial"/>
          <w:sz w:val="17"/>
          <w:szCs w:val="17"/>
          <w:u w:val="single" w:color="auto"/>
          <w:color w:val="0000FF"/>
        </w:rPr>
      </w:pPr>
      <w:hyperlink w:anchor="page119">
        <w:r>
          <w:rPr>
            <w:rFonts w:ascii="Arial" w:cs="Arial" w:eastAsia="Arial" w:hAnsi="Arial"/>
            <w:sz w:val="17"/>
            <w:szCs w:val="17"/>
            <w:u w:val="single" w:color="auto"/>
            <w:color w:val="0000FF"/>
          </w:rPr>
          <w:t>Statements of Cash Flows</w:t>
        </w:r>
      </w:hyperlink>
    </w:p>
    <w:p>
      <w:pPr>
        <w:spacing w:after="0" w:line="63" w:lineRule="exact"/>
        <w:rPr>
          <w:sz w:val="20"/>
          <w:szCs w:val="20"/>
          <w:color w:val="auto"/>
        </w:rPr>
      </w:pPr>
    </w:p>
    <w:p>
      <w:pPr>
        <w:ind w:left="960"/>
        <w:spacing w:after="0"/>
        <w:rPr>
          <w:rFonts w:ascii="Arial" w:cs="Arial" w:eastAsia="Arial" w:hAnsi="Arial"/>
          <w:sz w:val="17"/>
          <w:szCs w:val="17"/>
          <w:u w:val="single" w:color="auto"/>
          <w:color w:val="0000FF"/>
        </w:rPr>
      </w:pPr>
      <w:hyperlink w:anchor="page120">
        <w:r>
          <w:rPr>
            <w:rFonts w:ascii="Arial" w:cs="Arial" w:eastAsia="Arial" w:hAnsi="Arial"/>
            <w:sz w:val="17"/>
            <w:szCs w:val="17"/>
            <w:u w:val="single" w:color="auto"/>
            <w:color w:val="0000FF"/>
          </w:rPr>
          <w:t>Notes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19050</wp:posOffset>
            </wp:positionV>
            <wp:extent cx="14192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19225" cy="8255"/>
                    </a:xfrm>
                    <a:prstGeom prst="rect">
                      <a:avLst/>
                    </a:prstGeom>
                    <a:noFill/>
                  </pic:spPr>
                </pic:pic>
              </a:graphicData>
            </a:graphic>
          </wp:anchor>
        </w:drawing>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F-1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F-3</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F-4</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F-5</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F-6</w:t>
      </w:r>
    </w:p>
    <w:p>
      <w:pPr>
        <w:sectPr>
          <w:pgSz w:w="11900" w:h="16838" w:orient="portrait"/>
          <w:cols w:equalWidth="0" w:num="2">
            <w:col w:w="9560" w:space="720"/>
            <w:col w:w="320"/>
          </w:cols>
          <w:pgMar w:left="320" w:top="127" w:right="979" w:bottom="1440" w:gutter="0" w:footer="0" w:header="0"/>
        </w:sectPr>
      </w:pPr>
    </w:p>
    <w:bookmarkStart w:id="111" w:name="page112"/>
    <w:bookmarkEnd w:id="1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 Exhibits.</w:t>
      </w:r>
    </w:p>
    <w:p>
      <w:pPr>
        <w:spacing w:after="0" w:line="3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35"/>
            <w:vMerge w:val="restart"/>
          </w:tcPr>
          <w:p>
            <w:pPr>
              <w:jc w:val="right"/>
              <w:ind w:right="1140"/>
              <w:spacing w:after="0"/>
              <w:rPr>
                <w:sz w:val="20"/>
                <w:szCs w:val="20"/>
                <w:color w:val="auto"/>
              </w:rPr>
            </w:pPr>
            <w:r>
              <w:rPr>
                <w:rFonts w:ascii="Arial" w:cs="Arial" w:eastAsia="Arial" w:hAnsi="Arial"/>
                <w:sz w:val="14"/>
                <w:szCs w:val="14"/>
                <w:b w:val="1"/>
                <w:bCs w:val="1"/>
                <w:color w:val="auto"/>
              </w:rPr>
              <w:t>Description of Document</w:t>
            </w:r>
          </w:p>
        </w:tc>
        <w:tc>
          <w:tcPr>
            <w:tcW w:w="1360" w:type="dxa"/>
            <w:vAlign w:val="bottom"/>
          </w:tcPr>
          <w:p>
            <w:pPr>
              <w:jc w:val="center"/>
              <w:ind w:left="415"/>
              <w:spacing w:after="0"/>
              <w:rPr>
                <w:sz w:val="20"/>
                <w:szCs w:val="20"/>
                <w:color w:val="auto"/>
              </w:rPr>
            </w:pPr>
            <w:r>
              <w:rPr>
                <w:rFonts w:ascii="Arial" w:cs="Arial" w:eastAsia="Arial" w:hAnsi="Arial"/>
                <w:sz w:val="14"/>
                <w:szCs w:val="14"/>
                <w:b w:val="1"/>
                <w:bCs w:val="1"/>
                <w:color w:val="auto"/>
              </w:rPr>
              <w:t>Incorporated</w:t>
            </w:r>
          </w:p>
        </w:tc>
        <w:tc>
          <w:tcPr>
            <w:tcW w:w="0" w:type="dxa"/>
            <w:vAlign w:val="bottom"/>
          </w:tcPr>
          <w:p>
            <w:pPr>
              <w:spacing w:after="0"/>
              <w:rPr>
                <w:sz w:val="1"/>
                <w:szCs w:val="1"/>
                <w:color w:val="auto"/>
              </w:rPr>
            </w:pPr>
          </w:p>
        </w:tc>
      </w:tr>
      <w:tr>
        <w:trPr>
          <w:trHeight w:val="142"/>
        </w:trPr>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35"/>
            <w:vMerge w:val="continue"/>
          </w:tcPr>
          <w:p>
            <w:pPr>
              <w:spacing w:after="0"/>
              <w:rPr>
                <w:sz w:val="12"/>
                <w:szCs w:val="12"/>
                <w:color w:val="auto"/>
              </w:rPr>
            </w:pPr>
          </w:p>
        </w:tc>
        <w:tc>
          <w:tcPr>
            <w:tcW w:w="1360" w:type="dxa"/>
            <w:vAlign w:val="bottom"/>
          </w:tcPr>
          <w:p>
            <w:pPr>
              <w:spacing w:after="0" w:line="142" w:lineRule="exact"/>
              <w:rPr>
                <w:sz w:val="20"/>
                <w:szCs w:val="20"/>
                <w:color w:val="auto"/>
              </w:rPr>
            </w:pPr>
            <w:r>
              <w:rPr>
                <w:rFonts w:ascii="Arial" w:cs="Arial" w:eastAsia="Arial" w:hAnsi="Arial"/>
                <w:sz w:val="14"/>
                <w:szCs w:val="14"/>
                <w:b w:val="1"/>
                <w:bCs w:val="1"/>
                <w:color w:val="auto"/>
              </w:rPr>
              <w:t>by Reference Form</w:t>
            </w:r>
          </w:p>
        </w:tc>
        <w:tc>
          <w:tcPr>
            <w:tcW w:w="0" w:type="dxa"/>
            <w:vAlign w:val="bottom"/>
          </w:tcPr>
          <w:p>
            <w:pPr>
              <w:spacing w:after="0"/>
              <w:rPr>
                <w:sz w:val="1"/>
                <w:szCs w:val="1"/>
                <w:color w:val="auto"/>
              </w:rPr>
            </w:pPr>
          </w:p>
        </w:tc>
      </w:tr>
      <w:tr>
        <w:trPr>
          <w:trHeight w:val="187"/>
        </w:trPr>
        <w:tc>
          <w:tcPr>
            <w:tcW w:w="520" w:type="dxa"/>
            <w:vAlign w:val="bottom"/>
            <w:tcBorders>
              <w:top w:val="single" w:sz="8" w:color="auto"/>
            </w:tcBorders>
          </w:tcPr>
          <w:p>
            <w:pPr>
              <w:spacing w:after="0" w:line="187" w:lineRule="exact"/>
              <w:rPr>
                <w:sz w:val="20"/>
                <w:szCs w:val="20"/>
                <w:color w:val="auto"/>
              </w:rPr>
            </w:pPr>
            <w:r>
              <w:rPr>
                <w:rFonts w:ascii="Arial" w:cs="Arial" w:eastAsia="Arial" w:hAnsi="Arial"/>
                <w:sz w:val="17"/>
                <w:szCs w:val="17"/>
                <w:color w:val="auto"/>
              </w:rPr>
              <w:t>3.1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80" w:type="dxa"/>
            <w:vAlign w:val="bottom"/>
            <w:gridSpan w:val="38"/>
          </w:tcPr>
          <w:p>
            <w:pPr>
              <w:spacing w:after="0" w:line="187" w:lineRule="exact"/>
              <w:rPr>
                <w:rFonts w:ascii="Arial" w:cs="Arial" w:eastAsia="Arial" w:hAnsi="Arial"/>
                <w:sz w:val="17"/>
                <w:szCs w:val="17"/>
                <w:color w:val="0000FF"/>
              </w:rPr>
            </w:pPr>
            <w:hyperlink r:id="rId137">
              <w:r>
                <w:rPr>
                  <w:rFonts w:ascii="Arial" w:cs="Arial" w:eastAsia="Arial" w:hAnsi="Arial"/>
                  <w:sz w:val="17"/>
                  <w:szCs w:val="17"/>
                  <w:color w:val="0000FF"/>
                </w:rPr>
                <w:t>Restated Certificate of Incorporation.</w:t>
              </w:r>
            </w:hyperlink>
          </w:p>
        </w:tc>
        <w:tc>
          <w:tcPr>
            <w:tcW w:w="1360" w:type="dxa"/>
            <w:vAlign w:val="bottom"/>
          </w:tcPr>
          <w:p>
            <w:pPr>
              <w:jc w:val="center"/>
              <w:ind w:left="415"/>
              <w:spacing w:after="0" w:line="187" w:lineRule="exact"/>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200"/>
        </w:trPr>
        <w:tc>
          <w:tcPr>
            <w:tcW w:w="520" w:type="dxa"/>
            <w:vAlign w:val="bottom"/>
          </w:tcPr>
          <w:p>
            <w:pPr>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tcBorders>
              <w:top w:val="single" w:sz="8" w:color="0000FF"/>
            </w:tcBorders>
            <w:gridSpan w:val="12"/>
          </w:tcPr>
          <w:p>
            <w:pPr>
              <w:spacing w:after="0"/>
              <w:rPr>
                <w:rFonts w:ascii="Arial" w:cs="Arial" w:eastAsia="Arial" w:hAnsi="Arial"/>
                <w:sz w:val="17"/>
                <w:szCs w:val="17"/>
                <w:color w:val="0000FF"/>
              </w:rPr>
            </w:pPr>
            <w:hyperlink r:id="rId138">
              <w:r>
                <w:rPr>
                  <w:rFonts w:ascii="Arial" w:cs="Arial" w:eastAsia="Arial" w:hAnsi="Arial"/>
                  <w:sz w:val="17"/>
                  <w:szCs w:val="17"/>
                  <w:color w:val="0000FF"/>
                </w:rPr>
                <w:t>Restated Bylaws.</w:t>
              </w:r>
            </w:hyperlink>
          </w:p>
        </w:tc>
        <w:tc>
          <w:tcPr>
            <w:tcW w:w="980" w:type="dxa"/>
            <w:vAlign w:val="bottom"/>
            <w:gridSpan w:val="26"/>
          </w:tcPr>
          <w:p>
            <w:pPr>
              <w:spacing w:after="0"/>
              <w:rPr>
                <w:sz w:val="17"/>
                <w:szCs w:val="17"/>
                <w:color w:val="auto"/>
              </w:rPr>
            </w:pPr>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0" w:type="dxa"/>
            <w:vAlign w:val="bottom"/>
          </w:tcPr>
          <w:p>
            <w:pPr>
              <w:spacing w:after="0"/>
              <w:rPr>
                <w:sz w:val="20"/>
                <w:szCs w:val="20"/>
                <w:color w:val="auto"/>
              </w:rPr>
            </w:pPr>
            <w:r>
              <w:rPr>
                <w:rFonts w:ascii="Arial" w:cs="Arial" w:eastAsia="Arial" w:hAnsi="Arial"/>
                <w:sz w:val="17"/>
                <w:szCs w:val="17"/>
                <w:color w:val="auto"/>
              </w:rPr>
              <w:t>4.1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80" w:type="dxa"/>
            <w:vAlign w:val="bottom"/>
            <w:gridSpan w:val="38"/>
          </w:tcPr>
          <w:p>
            <w:pPr>
              <w:spacing w:after="0"/>
              <w:rPr>
                <w:rFonts w:ascii="Arial" w:cs="Arial" w:eastAsia="Arial" w:hAnsi="Arial"/>
                <w:sz w:val="17"/>
                <w:szCs w:val="17"/>
                <w:color w:val="0000FF"/>
              </w:rPr>
            </w:pPr>
            <w:hyperlink r:id="rId139">
              <w:r>
                <w:rPr>
                  <w:rFonts w:ascii="Arial" w:cs="Arial" w:eastAsia="Arial" w:hAnsi="Arial"/>
                  <w:sz w:val="17"/>
                  <w:szCs w:val="17"/>
                  <w:color w:val="0000FF"/>
                </w:rPr>
                <w:t>Form of Common Stock Certificate.</w:t>
              </w:r>
            </w:hyperlink>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0" w:type="dxa"/>
            <w:vAlign w:val="bottom"/>
            <w:gridSpan w:val="2"/>
          </w:tcPr>
          <w:p>
            <w:pPr>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80" w:type="dxa"/>
            <w:vAlign w:val="bottom"/>
            <w:gridSpan w:val="38"/>
          </w:tcPr>
          <w:p>
            <w:pPr>
              <w:spacing w:after="0"/>
              <w:rPr>
                <w:rFonts w:ascii="Arial" w:cs="Arial" w:eastAsia="Arial" w:hAnsi="Arial"/>
                <w:sz w:val="17"/>
                <w:szCs w:val="17"/>
                <w:color w:val="0000FF"/>
              </w:rPr>
            </w:pPr>
            <w:hyperlink r:id="rId140">
              <w:r>
                <w:rPr>
                  <w:rFonts w:ascii="Arial" w:cs="Arial" w:eastAsia="Arial" w:hAnsi="Arial"/>
                  <w:sz w:val="17"/>
                  <w:szCs w:val="17"/>
                  <w:color w:val="0000FF"/>
                </w:rPr>
                <w:t>Amended and Restated Investors’ Rights</w:t>
              </w:r>
            </w:hyperlink>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gridSpan w:val="17"/>
            <w:vMerge w:val="restart"/>
          </w:tcPr>
          <w:p>
            <w:pPr>
              <w:jc w:val="right"/>
              <w:ind w:right="280"/>
              <w:spacing w:after="0" w:line="169" w:lineRule="exact"/>
              <w:rPr>
                <w:rFonts w:ascii="Arial" w:cs="Arial" w:eastAsia="Arial" w:hAnsi="Arial"/>
                <w:sz w:val="17"/>
                <w:szCs w:val="17"/>
                <w:color w:val="0000FF"/>
              </w:rPr>
            </w:pPr>
            <w:hyperlink r:id="rId140">
              <w:r>
                <w:rPr>
                  <w:rFonts w:ascii="Arial" w:cs="Arial" w:eastAsia="Arial" w:hAnsi="Arial"/>
                  <w:sz w:val="17"/>
                  <w:szCs w:val="17"/>
                  <w:color w:val="0000FF"/>
                </w:rPr>
                <w:t>the</w:t>
              </w:r>
            </w:hyperlink>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40" w:type="dxa"/>
            <w:vAlign w:val="bottom"/>
            <w:gridSpan w:val="22"/>
          </w:tcPr>
          <w:p>
            <w:pPr>
              <w:spacing w:after="0" w:line="149" w:lineRule="exact"/>
              <w:rPr>
                <w:rFonts w:ascii="Arial" w:cs="Arial" w:eastAsia="Arial" w:hAnsi="Arial"/>
                <w:sz w:val="17"/>
                <w:szCs w:val="17"/>
                <w:color w:val="0000FF"/>
                <w:w w:val="98"/>
              </w:rPr>
            </w:pPr>
            <w:hyperlink r:id="rId140">
              <w:r>
                <w:rPr>
                  <w:rFonts w:ascii="Arial" w:cs="Arial" w:eastAsia="Arial" w:hAnsi="Arial"/>
                  <w:sz w:val="17"/>
                  <w:szCs w:val="17"/>
                  <w:color w:val="0000FF"/>
                  <w:w w:val="98"/>
                </w:rPr>
                <w:t>Agreement, dated October 8, 2019, by and among</w:t>
              </w:r>
            </w:hyperlink>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580" w:type="dxa"/>
            <w:vAlign w:val="bottom"/>
            <w:gridSpan w:val="17"/>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20" w:type="dxa"/>
            <w:vAlign w:val="bottom"/>
            <w:tcBorders>
              <w:top w:val="single" w:sz="8" w:color="0000FF"/>
            </w:tcBorders>
            <w:gridSpan w:val="35"/>
          </w:tcPr>
          <w:p>
            <w:pPr>
              <w:spacing w:after="0" w:line="148" w:lineRule="exact"/>
              <w:rPr>
                <w:rFonts w:ascii="Arial" w:cs="Arial" w:eastAsia="Arial" w:hAnsi="Arial"/>
                <w:sz w:val="17"/>
                <w:szCs w:val="17"/>
                <w:color w:val="0000FF"/>
              </w:rPr>
            </w:pPr>
            <w:hyperlink r:id="rId140">
              <w:r>
                <w:rPr>
                  <w:rFonts w:ascii="Arial" w:cs="Arial" w:eastAsia="Arial" w:hAnsi="Arial"/>
                  <w:sz w:val="17"/>
                  <w:szCs w:val="17"/>
                  <w:color w:val="0000FF"/>
                </w:rPr>
                <w:t>Registrant and certain of its stockholders.</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0" w:type="dxa"/>
            <w:vAlign w:val="bottom"/>
          </w:tcPr>
          <w:p>
            <w:pPr>
              <w:spacing w:after="0"/>
              <w:rPr>
                <w:sz w:val="20"/>
                <w:szCs w:val="20"/>
                <w:color w:val="auto"/>
              </w:rPr>
            </w:pPr>
            <w:r>
              <w:rPr>
                <w:rFonts w:ascii="Arial" w:cs="Arial" w:eastAsia="Arial" w:hAnsi="Arial"/>
                <w:sz w:val="17"/>
                <w:szCs w:val="17"/>
                <w:color w:val="auto"/>
              </w:rPr>
              <w:t>4.3</w:t>
            </w:r>
          </w:p>
        </w:tc>
        <w:tc>
          <w:tcPr>
            <w:tcW w:w="220" w:type="dxa"/>
            <w:vAlign w:val="bottom"/>
          </w:tcPr>
          <w:p>
            <w:pPr>
              <w:spacing w:after="0"/>
              <w:rPr>
                <w:sz w:val="17"/>
                <w:szCs w:val="17"/>
                <w:color w:val="auto"/>
              </w:rPr>
            </w:pPr>
          </w:p>
        </w:tc>
        <w:tc>
          <w:tcPr>
            <w:tcW w:w="620" w:type="dxa"/>
            <w:vAlign w:val="bottom"/>
            <w:gridSpan w:val="3"/>
            <w:vMerge w:val="restart"/>
          </w:tcPr>
          <w:p>
            <w:pPr>
              <w:spacing w:after="0"/>
              <w:rPr>
                <w:rFonts w:ascii="Arial" w:cs="Arial" w:eastAsia="Arial" w:hAnsi="Arial"/>
                <w:sz w:val="17"/>
                <w:szCs w:val="17"/>
                <w:color w:val="0000FF"/>
                <w:w w:val="80"/>
              </w:rPr>
            </w:pPr>
            <w:hyperlink r:id="rId141">
              <w:r>
                <w:rPr>
                  <w:rFonts w:ascii="Arial" w:cs="Arial" w:eastAsia="Arial" w:hAnsi="Arial"/>
                  <w:sz w:val="17"/>
                  <w:szCs w:val="17"/>
                  <w:color w:val="0000FF"/>
                  <w:w w:val="80"/>
                </w:rPr>
                <w:t>Securities</w:t>
              </w:r>
            </w:hyperlink>
          </w:p>
        </w:tc>
        <w:tc>
          <w:tcPr>
            <w:tcW w:w="2900" w:type="dxa"/>
            <w:vAlign w:val="bottom"/>
            <w:tcBorders>
              <w:bottom w:val="single" w:sz="8" w:color="0000FF"/>
            </w:tcBorders>
            <w:gridSpan w:val="14"/>
          </w:tcPr>
          <w:p>
            <w:pPr>
              <w:spacing w:after="0"/>
              <w:rPr>
                <w:rFonts w:ascii="Arial" w:cs="Arial" w:eastAsia="Arial" w:hAnsi="Arial"/>
                <w:sz w:val="17"/>
                <w:szCs w:val="17"/>
                <w:color w:val="0000FF"/>
              </w:rPr>
            </w:pPr>
            <w:hyperlink r:id="rId141">
              <w:r>
                <w:rPr>
                  <w:rFonts w:ascii="Arial" w:cs="Arial" w:eastAsia="Arial" w:hAnsi="Arial"/>
                  <w:sz w:val="17"/>
                  <w:szCs w:val="17"/>
                  <w:color w:val="0000FF"/>
                </w:rPr>
                <w:t>Description of Arcutis Biotherapeutics’</w:t>
              </w:r>
            </w:hyperlink>
          </w:p>
        </w:tc>
        <w:tc>
          <w:tcPr>
            <w:tcW w:w="880" w:type="dxa"/>
            <w:vAlign w:val="bottom"/>
            <w:gridSpan w:val="24"/>
          </w:tcPr>
          <w:p>
            <w:pPr>
              <w:spacing w:after="0"/>
              <w:rPr>
                <w:sz w:val="17"/>
                <w:szCs w:val="17"/>
                <w:color w:val="auto"/>
              </w:rPr>
            </w:pPr>
          </w:p>
        </w:tc>
        <w:tc>
          <w:tcPr>
            <w:tcW w:w="1360" w:type="dxa"/>
            <w:vAlign w:val="bottom"/>
          </w:tcPr>
          <w:p>
            <w:pPr>
              <w:jc w:val="center"/>
              <w:ind w:left="415"/>
              <w:spacing w:after="0"/>
              <w:rPr>
                <w:sz w:val="20"/>
                <w:szCs w:val="20"/>
                <w:color w:val="auto"/>
              </w:rPr>
            </w:pPr>
            <w:r>
              <w:rPr>
                <w:rFonts w:ascii="Arial" w:cs="Arial" w:eastAsia="Arial" w:hAnsi="Arial"/>
                <w:sz w:val="17"/>
                <w:szCs w:val="17"/>
                <w:color w:val="auto"/>
              </w:rPr>
              <w:t>10-K</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780" w:type="dxa"/>
            <w:vAlign w:val="bottom"/>
            <w:gridSpan w:val="38"/>
          </w:tcPr>
          <w:p>
            <w:pPr>
              <w:ind w:left="180"/>
              <w:spacing w:after="0" w:line="148" w:lineRule="exact"/>
              <w:rPr>
                <w:rFonts w:ascii="Arial" w:cs="Arial" w:eastAsia="Arial" w:hAnsi="Arial"/>
                <w:sz w:val="17"/>
                <w:szCs w:val="17"/>
                <w:color w:val="0000FF"/>
              </w:rPr>
            </w:pPr>
            <w:hyperlink r:id="rId141">
              <w:r>
                <w:rPr>
                  <w:rFonts w:ascii="Arial" w:cs="Arial" w:eastAsia="Arial" w:hAnsi="Arial"/>
                  <w:sz w:val="17"/>
                  <w:szCs w:val="17"/>
                  <w:color w:val="0000FF"/>
                </w:rPr>
                <w:t>Registered Pursuant to Section 12 of the</w:t>
              </w:r>
            </w:hyperlink>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w w:val="99"/>
              </w:rPr>
            </w:pPr>
            <w:hyperlink r:id="rId141">
              <w:r>
                <w:rPr>
                  <w:rFonts w:ascii="Arial" w:cs="Arial" w:eastAsia="Arial" w:hAnsi="Arial"/>
                  <w:sz w:val="17"/>
                  <w:szCs w:val="17"/>
                  <w:color w:val="0000FF"/>
                  <w:w w:val="99"/>
                </w:rPr>
                <w:t>Securities Exchange Act of 1934.</w:t>
              </w:r>
            </w:hyperlink>
          </w:p>
        </w:tc>
        <w:tc>
          <w:tcPr>
            <w:tcW w:w="140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20" w:type="dxa"/>
            <w:vAlign w:val="bottom"/>
          </w:tcPr>
          <w:p>
            <w:pPr>
              <w:spacing w:after="0"/>
              <w:rPr>
                <w:sz w:val="20"/>
                <w:szCs w:val="20"/>
                <w:color w:val="auto"/>
              </w:rPr>
            </w:pPr>
            <w:r>
              <w:rPr>
                <w:rFonts w:ascii="Arial" w:cs="Arial" w:eastAsia="Arial" w:hAnsi="Arial"/>
                <w:sz w:val="17"/>
                <w:szCs w:val="17"/>
                <w:color w:val="auto"/>
              </w:rPr>
              <w:t>10.1#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80" w:type="dxa"/>
            <w:vAlign w:val="bottom"/>
            <w:gridSpan w:val="38"/>
          </w:tcPr>
          <w:p>
            <w:pPr>
              <w:spacing w:after="0"/>
              <w:rPr>
                <w:rFonts w:ascii="Arial" w:cs="Arial" w:eastAsia="Arial" w:hAnsi="Arial"/>
                <w:sz w:val="17"/>
                <w:szCs w:val="17"/>
                <w:color w:val="0000FF"/>
              </w:rPr>
            </w:pPr>
            <w:hyperlink r:id="rId142">
              <w:r>
                <w:rPr>
                  <w:rFonts w:ascii="Arial" w:cs="Arial" w:eastAsia="Arial" w:hAnsi="Arial"/>
                  <w:sz w:val="17"/>
                  <w:szCs w:val="17"/>
                  <w:color w:val="0000FF"/>
                </w:rPr>
                <w:t>Form of Indemnity Agreement.</w:t>
              </w:r>
            </w:hyperlink>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0" w:type="dxa"/>
            <w:vAlign w:val="bottom"/>
          </w:tcPr>
          <w:p>
            <w:pPr>
              <w:spacing w:after="0"/>
              <w:rPr>
                <w:sz w:val="20"/>
                <w:szCs w:val="20"/>
                <w:color w:val="auto"/>
              </w:rPr>
            </w:pPr>
            <w:r>
              <w:rPr>
                <w:rFonts w:ascii="Arial" w:cs="Arial" w:eastAsia="Arial" w:hAnsi="Arial"/>
                <w:sz w:val="17"/>
                <w:szCs w:val="17"/>
                <w:color w:val="auto"/>
              </w:rPr>
              <w:t>10.2#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20" w:type="dxa"/>
            <w:vAlign w:val="bottom"/>
            <w:tcBorders>
              <w:bottom w:val="single" w:sz="8" w:color="0000FF"/>
            </w:tcBorders>
            <w:gridSpan w:val="33"/>
          </w:tcPr>
          <w:p>
            <w:pPr>
              <w:spacing w:after="0"/>
              <w:rPr>
                <w:rFonts w:ascii="Arial" w:cs="Arial" w:eastAsia="Arial" w:hAnsi="Arial"/>
                <w:sz w:val="17"/>
                <w:szCs w:val="17"/>
                <w:color w:val="0000FF"/>
              </w:rPr>
            </w:pPr>
            <w:hyperlink r:id="rId143">
              <w:r>
                <w:rPr>
                  <w:rFonts w:ascii="Arial" w:cs="Arial" w:eastAsia="Arial" w:hAnsi="Arial"/>
                  <w:sz w:val="17"/>
                  <w:szCs w:val="17"/>
                  <w:color w:val="0000FF"/>
                </w:rPr>
                <w:t>2017 Stock Incentive Plan and forms of award</w:t>
              </w:r>
            </w:hyperlink>
          </w:p>
        </w:tc>
        <w:tc>
          <w:tcPr>
            <w:tcW w:w="260" w:type="dxa"/>
            <w:vAlign w:val="bottom"/>
            <w:gridSpan w:val="5"/>
          </w:tcPr>
          <w:p>
            <w:pPr>
              <w:spacing w:after="0"/>
              <w:rPr>
                <w:sz w:val="17"/>
                <w:szCs w:val="17"/>
                <w:color w:val="auto"/>
              </w:rPr>
            </w:pPr>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40" w:type="dxa"/>
            <w:vAlign w:val="bottom"/>
            <w:gridSpan w:val="36"/>
          </w:tcPr>
          <w:p>
            <w:pPr>
              <w:spacing w:after="0" w:line="148" w:lineRule="exact"/>
              <w:rPr>
                <w:rFonts w:ascii="Arial" w:cs="Arial" w:eastAsia="Arial" w:hAnsi="Arial"/>
                <w:sz w:val="17"/>
                <w:szCs w:val="17"/>
                <w:color w:val="0000FF"/>
              </w:rPr>
            </w:pPr>
            <w:hyperlink r:id="rId143">
              <w:r>
                <w:rPr>
                  <w:rFonts w:ascii="Arial" w:cs="Arial" w:eastAsia="Arial" w:hAnsi="Arial"/>
                  <w:sz w:val="17"/>
                  <w:szCs w:val="17"/>
                  <w:color w:val="0000FF"/>
                </w:rPr>
                <w:t>agreements.</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0" w:type="dxa"/>
            <w:vAlign w:val="bottom"/>
          </w:tcPr>
          <w:p>
            <w:pPr>
              <w:spacing w:after="0"/>
              <w:rPr>
                <w:sz w:val="20"/>
                <w:szCs w:val="20"/>
                <w:color w:val="auto"/>
              </w:rPr>
            </w:pPr>
            <w:r>
              <w:rPr>
                <w:rFonts w:ascii="Arial" w:cs="Arial" w:eastAsia="Arial" w:hAnsi="Arial"/>
                <w:sz w:val="17"/>
                <w:szCs w:val="17"/>
                <w:color w:val="auto"/>
              </w:rPr>
              <w:t>10.3#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20" w:type="dxa"/>
            <w:vAlign w:val="bottom"/>
            <w:tcBorders>
              <w:bottom w:val="single" w:sz="8" w:color="0000FF"/>
            </w:tcBorders>
            <w:gridSpan w:val="33"/>
          </w:tcPr>
          <w:p>
            <w:pPr>
              <w:spacing w:after="0"/>
              <w:rPr>
                <w:rFonts w:ascii="Arial" w:cs="Arial" w:eastAsia="Arial" w:hAnsi="Arial"/>
                <w:sz w:val="17"/>
                <w:szCs w:val="17"/>
                <w:color w:val="0000FF"/>
              </w:rPr>
            </w:pPr>
            <w:hyperlink r:id="rId144">
              <w:r>
                <w:rPr>
                  <w:rFonts w:ascii="Arial" w:cs="Arial" w:eastAsia="Arial" w:hAnsi="Arial"/>
                  <w:sz w:val="17"/>
                  <w:szCs w:val="17"/>
                  <w:color w:val="0000FF"/>
                </w:rPr>
                <w:t>2020 Stock Incentive Plan and forms of award</w:t>
              </w:r>
            </w:hyperlink>
          </w:p>
        </w:tc>
        <w:tc>
          <w:tcPr>
            <w:tcW w:w="260" w:type="dxa"/>
            <w:vAlign w:val="bottom"/>
            <w:gridSpan w:val="5"/>
          </w:tcPr>
          <w:p>
            <w:pPr>
              <w:spacing w:after="0"/>
              <w:rPr>
                <w:sz w:val="17"/>
                <w:szCs w:val="17"/>
                <w:color w:val="auto"/>
              </w:rPr>
            </w:pPr>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40" w:type="dxa"/>
            <w:vAlign w:val="bottom"/>
            <w:gridSpan w:val="36"/>
          </w:tcPr>
          <w:p>
            <w:pPr>
              <w:spacing w:after="0" w:line="148" w:lineRule="exact"/>
              <w:rPr>
                <w:rFonts w:ascii="Arial" w:cs="Arial" w:eastAsia="Arial" w:hAnsi="Arial"/>
                <w:sz w:val="17"/>
                <w:szCs w:val="17"/>
                <w:color w:val="0000FF"/>
              </w:rPr>
            </w:pPr>
            <w:hyperlink r:id="rId144">
              <w:r>
                <w:rPr>
                  <w:rFonts w:ascii="Arial" w:cs="Arial" w:eastAsia="Arial" w:hAnsi="Arial"/>
                  <w:sz w:val="17"/>
                  <w:szCs w:val="17"/>
                  <w:color w:val="0000FF"/>
                </w:rPr>
                <w:t>agreements.</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0" w:type="dxa"/>
            <w:vAlign w:val="bottom"/>
          </w:tcPr>
          <w:p>
            <w:pPr>
              <w:spacing w:after="0"/>
              <w:rPr>
                <w:sz w:val="20"/>
                <w:szCs w:val="20"/>
                <w:color w:val="auto"/>
              </w:rPr>
            </w:pPr>
            <w:r>
              <w:rPr>
                <w:rFonts w:ascii="Arial" w:cs="Arial" w:eastAsia="Arial" w:hAnsi="Arial"/>
                <w:sz w:val="17"/>
                <w:szCs w:val="17"/>
                <w:color w:val="auto"/>
              </w:rPr>
              <w:t>10.4#</w:t>
            </w:r>
          </w:p>
        </w:tc>
        <w:tc>
          <w:tcPr>
            <w:tcW w:w="220" w:type="dxa"/>
            <w:vAlign w:val="bottom"/>
          </w:tcPr>
          <w:p>
            <w:pPr>
              <w:spacing w:after="0"/>
              <w:rPr>
                <w:sz w:val="17"/>
                <w:szCs w:val="17"/>
                <w:color w:val="auto"/>
              </w:rPr>
            </w:pPr>
          </w:p>
        </w:tc>
        <w:tc>
          <w:tcPr>
            <w:tcW w:w="620" w:type="dxa"/>
            <w:vAlign w:val="bottom"/>
            <w:gridSpan w:val="3"/>
            <w:vMerge w:val="restart"/>
          </w:tcPr>
          <w:p>
            <w:pPr>
              <w:spacing w:after="0"/>
              <w:rPr>
                <w:rFonts w:ascii="Arial" w:cs="Arial" w:eastAsia="Arial" w:hAnsi="Arial"/>
                <w:sz w:val="17"/>
                <w:szCs w:val="17"/>
                <w:color w:val="0000FF"/>
                <w:w w:val="97"/>
              </w:rPr>
            </w:pPr>
            <w:hyperlink r:id="rId145">
              <w:r>
                <w:rPr>
                  <w:rFonts w:ascii="Arial" w:cs="Arial" w:eastAsia="Arial" w:hAnsi="Arial"/>
                  <w:sz w:val="17"/>
                  <w:szCs w:val="17"/>
                  <w:color w:val="0000FF"/>
                  <w:w w:val="97"/>
                </w:rPr>
                <w:t>forms of</w:t>
              </w:r>
            </w:hyperlink>
          </w:p>
        </w:tc>
        <w:tc>
          <w:tcPr>
            <w:tcW w:w="3780" w:type="dxa"/>
            <w:vAlign w:val="bottom"/>
            <w:gridSpan w:val="38"/>
          </w:tcPr>
          <w:p>
            <w:pPr>
              <w:spacing w:after="0"/>
              <w:rPr>
                <w:rFonts w:ascii="Arial" w:cs="Arial" w:eastAsia="Arial" w:hAnsi="Arial"/>
                <w:sz w:val="17"/>
                <w:szCs w:val="17"/>
                <w:color w:val="0000FF"/>
              </w:rPr>
            </w:pPr>
            <w:hyperlink r:id="rId145">
              <w:r>
                <w:rPr>
                  <w:rFonts w:ascii="Arial" w:cs="Arial" w:eastAsia="Arial" w:hAnsi="Arial"/>
                  <w:sz w:val="17"/>
                  <w:szCs w:val="17"/>
                  <w:color w:val="0000FF"/>
                </w:rPr>
                <w:t>2020 Employee Stock Purchase Plan and</w:t>
              </w:r>
            </w:hyperlink>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180" w:type="dxa"/>
            <w:vAlign w:val="bottom"/>
            <w:tcBorders>
              <w:top w:val="single" w:sz="8" w:color="0000FF"/>
            </w:tcBorders>
            <w:gridSpan w:val="20"/>
          </w:tcPr>
          <w:p>
            <w:pPr>
              <w:ind w:left="40"/>
              <w:spacing w:after="0" w:line="148" w:lineRule="exact"/>
              <w:rPr>
                <w:rFonts w:ascii="Arial" w:cs="Arial" w:eastAsia="Arial" w:hAnsi="Arial"/>
                <w:sz w:val="17"/>
                <w:szCs w:val="17"/>
                <w:color w:val="0000FF"/>
              </w:rPr>
            </w:pPr>
            <w:hyperlink r:id="rId145">
              <w:r>
                <w:rPr>
                  <w:rFonts w:ascii="Arial" w:cs="Arial" w:eastAsia="Arial" w:hAnsi="Arial"/>
                  <w:sz w:val="17"/>
                  <w:szCs w:val="17"/>
                  <w:color w:val="0000FF"/>
                </w:rPr>
                <w:t>award agreements.</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0" w:type="dxa"/>
            <w:vAlign w:val="bottom"/>
          </w:tcPr>
          <w:p>
            <w:pPr>
              <w:spacing w:after="0"/>
              <w:rPr>
                <w:sz w:val="20"/>
                <w:szCs w:val="20"/>
                <w:color w:val="auto"/>
              </w:rPr>
            </w:pPr>
            <w:r>
              <w:rPr>
                <w:rFonts w:ascii="Arial" w:cs="Arial" w:eastAsia="Arial" w:hAnsi="Arial"/>
                <w:sz w:val="17"/>
                <w:szCs w:val="17"/>
                <w:color w:val="auto"/>
              </w:rPr>
              <w:t>10.5#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80" w:type="dxa"/>
            <w:vAlign w:val="bottom"/>
            <w:gridSpan w:val="38"/>
          </w:tcPr>
          <w:p>
            <w:pPr>
              <w:spacing w:after="0"/>
              <w:rPr>
                <w:rFonts w:ascii="Arial" w:cs="Arial" w:eastAsia="Arial" w:hAnsi="Arial"/>
                <w:sz w:val="17"/>
                <w:szCs w:val="17"/>
                <w:color w:val="0000FF"/>
              </w:rPr>
            </w:pPr>
            <w:hyperlink w:anchor="page144">
              <w:r>
                <w:rPr>
                  <w:rFonts w:ascii="Arial" w:cs="Arial" w:eastAsia="Arial" w:hAnsi="Arial"/>
                  <w:sz w:val="17"/>
                  <w:szCs w:val="17"/>
                  <w:color w:val="0000FF"/>
                </w:rPr>
                <w:t>2022 Employment Inducement Incentive Plan</w:t>
              </w:r>
            </w:hyperlink>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80" w:type="dxa"/>
            <w:vAlign w:val="bottom"/>
            <w:gridSpan w:val="33"/>
          </w:tcPr>
          <w:p>
            <w:pPr>
              <w:spacing w:after="0" w:line="148" w:lineRule="exact"/>
              <w:rPr>
                <w:rFonts w:ascii="Arial" w:cs="Arial" w:eastAsia="Arial" w:hAnsi="Arial"/>
                <w:sz w:val="17"/>
                <w:szCs w:val="17"/>
                <w:color w:val="0000FF"/>
              </w:rPr>
            </w:pPr>
            <w:hyperlink w:anchor="page144">
              <w:r>
                <w:rPr>
                  <w:rFonts w:ascii="Arial" w:cs="Arial" w:eastAsia="Arial" w:hAnsi="Arial"/>
                  <w:sz w:val="17"/>
                  <w:szCs w:val="17"/>
                  <w:color w:val="0000FF"/>
                </w:rPr>
                <w:t>and forms of award agreements.</w:t>
              </w:r>
            </w:hyperlink>
          </w:p>
        </w:tc>
        <w:tc>
          <w:tcPr>
            <w:tcW w:w="20" w:type="dxa"/>
            <w:vAlign w:val="bottom"/>
            <w:vMerge w:val="continue"/>
          </w:tcPr>
          <w:p>
            <w:pPr>
              <w:spacing w:after="0"/>
              <w:rPr>
                <w:sz w:val="12"/>
                <w:szCs w:val="12"/>
                <w:color w:val="auto"/>
              </w:rPr>
            </w:pPr>
          </w:p>
        </w:tc>
        <w:tc>
          <w:tcPr>
            <w:tcW w:w="10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0" w:type="dxa"/>
            <w:vAlign w:val="bottom"/>
          </w:tcPr>
          <w:p>
            <w:pPr>
              <w:spacing w:after="0"/>
              <w:rPr>
                <w:sz w:val="20"/>
                <w:szCs w:val="20"/>
                <w:color w:val="auto"/>
              </w:rPr>
            </w:pPr>
            <w:r>
              <w:rPr>
                <w:rFonts w:ascii="Arial" w:cs="Arial" w:eastAsia="Arial" w:hAnsi="Arial"/>
                <w:sz w:val="17"/>
                <w:szCs w:val="17"/>
                <w:color w:val="auto"/>
              </w:rPr>
              <w:t>10.6#</w:t>
            </w:r>
          </w:p>
        </w:tc>
        <w:tc>
          <w:tcPr>
            <w:tcW w:w="220" w:type="dxa"/>
            <w:vAlign w:val="bottom"/>
          </w:tcPr>
          <w:p>
            <w:pPr>
              <w:spacing w:after="0"/>
              <w:rPr>
                <w:sz w:val="17"/>
                <w:szCs w:val="17"/>
                <w:color w:val="auto"/>
              </w:rPr>
            </w:pPr>
          </w:p>
        </w:tc>
        <w:tc>
          <w:tcPr>
            <w:tcW w:w="620" w:type="dxa"/>
            <w:vAlign w:val="bottom"/>
            <w:gridSpan w:val="3"/>
            <w:vMerge w:val="restart"/>
          </w:tcPr>
          <w:p>
            <w:pPr>
              <w:spacing w:after="0"/>
              <w:rPr>
                <w:rFonts w:ascii="Arial" w:cs="Arial" w:eastAsia="Arial" w:hAnsi="Arial"/>
                <w:sz w:val="17"/>
                <w:szCs w:val="17"/>
                <w:color w:val="0000FF"/>
                <w:w w:val="93"/>
              </w:rPr>
            </w:pPr>
            <w:hyperlink r:id="rId146">
              <w:r>
                <w:rPr>
                  <w:rFonts w:ascii="Arial" w:cs="Arial" w:eastAsia="Arial" w:hAnsi="Arial"/>
                  <w:sz w:val="17"/>
                  <w:szCs w:val="17"/>
                  <w:color w:val="0000FF"/>
                  <w:w w:val="93"/>
                </w:rPr>
                <w:t>between</w:t>
              </w:r>
            </w:hyperlink>
          </w:p>
        </w:tc>
        <w:tc>
          <w:tcPr>
            <w:tcW w:w="3780" w:type="dxa"/>
            <w:vAlign w:val="bottom"/>
            <w:gridSpan w:val="38"/>
          </w:tcPr>
          <w:p>
            <w:pPr>
              <w:spacing w:after="0"/>
              <w:rPr>
                <w:rFonts w:ascii="Arial" w:cs="Arial" w:eastAsia="Arial" w:hAnsi="Arial"/>
                <w:sz w:val="17"/>
                <w:szCs w:val="17"/>
                <w:color w:val="0000FF"/>
              </w:rPr>
            </w:pPr>
            <w:hyperlink r:id="rId146">
              <w:r>
                <w:rPr>
                  <w:rFonts w:ascii="Arial" w:cs="Arial" w:eastAsia="Arial" w:hAnsi="Arial"/>
                  <w:sz w:val="17"/>
                  <w:szCs w:val="17"/>
                  <w:color w:val="0000FF"/>
                </w:rPr>
                <w:t>Offer Letter, dated January 9, 2020, by and</w:t>
              </w:r>
            </w:hyperlink>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300" w:type="dxa"/>
            <w:vAlign w:val="bottom"/>
            <w:tcBorders>
              <w:top w:val="single" w:sz="8" w:color="0000FF"/>
            </w:tcBorders>
            <w:gridSpan w:val="23"/>
          </w:tcPr>
          <w:p>
            <w:pPr>
              <w:ind w:left="80"/>
              <w:spacing w:after="0" w:line="148" w:lineRule="exact"/>
              <w:rPr>
                <w:rFonts w:ascii="Arial" w:cs="Arial" w:eastAsia="Arial" w:hAnsi="Arial"/>
                <w:sz w:val="17"/>
                <w:szCs w:val="17"/>
                <w:color w:val="0000FF"/>
                <w:w w:val="95"/>
              </w:rPr>
            </w:pPr>
            <w:hyperlink r:id="rId146">
              <w:r>
                <w:rPr>
                  <w:rFonts w:ascii="Arial" w:cs="Arial" w:eastAsia="Arial" w:hAnsi="Arial"/>
                  <w:sz w:val="17"/>
                  <w:szCs w:val="17"/>
                  <w:color w:val="0000FF"/>
                  <w:w w:val="95"/>
                </w:rPr>
                <w:t>the Registrant and Todd Franklin Watanabe.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0" w:type="dxa"/>
            <w:vAlign w:val="bottom"/>
          </w:tcPr>
          <w:p>
            <w:pPr>
              <w:spacing w:after="0"/>
              <w:rPr>
                <w:sz w:val="20"/>
                <w:szCs w:val="20"/>
                <w:color w:val="auto"/>
              </w:rPr>
            </w:pPr>
            <w:r>
              <w:rPr>
                <w:rFonts w:ascii="Arial" w:cs="Arial" w:eastAsia="Arial" w:hAnsi="Arial"/>
                <w:sz w:val="17"/>
                <w:szCs w:val="17"/>
                <w:color w:val="auto"/>
              </w:rPr>
              <w:t>10.7#</w:t>
            </w:r>
          </w:p>
        </w:tc>
        <w:tc>
          <w:tcPr>
            <w:tcW w:w="220" w:type="dxa"/>
            <w:vAlign w:val="bottom"/>
          </w:tcPr>
          <w:p>
            <w:pPr>
              <w:spacing w:after="0"/>
              <w:rPr>
                <w:sz w:val="17"/>
                <w:szCs w:val="17"/>
                <w:color w:val="auto"/>
              </w:rPr>
            </w:pPr>
          </w:p>
        </w:tc>
        <w:tc>
          <w:tcPr>
            <w:tcW w:w="620" w:type="dxa"/>
            <w:vAlign w:val="bottom"/>
            <w:gridSpan w:val="3"/>
            <w:vMerge w:val="restart"/>
          </w:tcPr>
          <w:p>
            <w:pPr>
              <w:spacing w:after="0"/>
              <w:rPr>
                <w:rFonts w:ascii="Arial" w:cs="Arial" w:eastAsia="Arial" w:hAnsi="Arial"/>
                <w:sz w:val="17"/>
                <w:szCs w:val="17"/>
                <w:color w:val="0000FF"/>
                <w:w w:val="93"/>
              </w:rPr>
            </w:pPr>
            <w:hyperlink r:id="rId147">
              <w:r>
                <w:rPr>
                  <w:rFonts w:ascii="Arial" w:cs="Arial" w:eastAsia="Arial" w:hAnsi="Arial"/>
                  <w:sz w:val="17"/>
                  <w:szCs w:val="17"/>
                  <w:color w:val="0000FF"/>
                  <w:w w:val="93"/>
                </w:rPr>
                <w:t>between</w:t>
              </w:r>
            </w:hyperlink>
          </w:p>
        </w:tc>
        <w:tc>
          <w:tcPr>
            <w:tcW w:w="3780" w:type="dxa"/>
            <w:vAlign w:val="bottom"/>
            <w:gridSpan w:val="38"/>
          </w:tcPr>
          <w:p>
            <w:pPr>
              <w:spacing w:after="0"/>
              <w:rPr>
                <w:rFonts w:ascii="Arial" w:cs="Arial" w:eastAsia="Arial" w:hAnsi="Arial"/>
                <w:sz w:val="17"/>
                <w:szCs w:val="17"/>
                <w:color w:val="0000FF"/>
              </w:rPr>
            </w:pPr>
            <w:hyperlink r:id="rId147">
              <w:r>
                <w:rPr>
                  <w:rFonts w:ascii="Arial" w:cs="Arial" w:eastAsia="Arial" w:hAnsi="Arial"/>
                  <w:sz w:val="17"/>
                  <w:szCs w:val="17"/>
                  <w:color w:val="0000FF"/>
                </w:rPr>
                <w:t>Offer Letter, dated January 9, 2020, by and</w:t>
              </w:r>
            </w:hyperlink>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280" w:type="dxa"/>
            <w:vAlign w:val="bottom"/>
            <w:tcBorders>
              <w:top w:val="single" w:sz="8" w:color="0000FF"/>
            </w:tcBorders>
            <w:gridSpan w:val="22"/>
          </w:tcPr>
          <w:p>
            <w:pPr>
              <w:ind w:left="80"/>
              <w:spacing w:after="0" w:line="148" w:lineRule="exact"/>
              <w:rPr>
                <w:rFonts w:ascii="Arial" w:cs="Arial" w:eastAsia="Arial" w:hAnsi="Arial"/>
                <w:sz w:val="17"/>
                <w:szCs w:val="17"/>
                <w:color w:val="0000FF"/>
              </w:rPr>
            </w:pPr>
            <w:hyperlink r:id="rId147">
              <w:r>
                <w:rPr>
                  <w:rFonts w:ascii="Arial" w:cs="Arial" w:eastAsia="Arial" w:hAnsi="Arial"/>
                  <w:sz w:val="17"/>
                  <w:szCs w:val="17"/>
                  <w:color w:val="0000FF"/>
                </w:rPr>
                <w:t>the Registrant and David W. Osborne.</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0" w:type="dxa"/>
            <w:vAlign w:val="bottom"/>
          </w:tcPr>
          <w:p>
            <w:pPr>
              <w:spacing w:after="0"/>
              <w:rPr>
                <w:sz w:val="20"/>
                <w:szCs w:val="20"/>
                <w:color w:val="auto"/>
              </w:rPr>
            </w:pPr>
            <w:r>
              <w:rPr>
                <w:rFonts w:ascii="Arial" w:cs="Arial" w:eastAsia="Arial" w:hAnsi="Arial"/>
                <w:sz w:val="17"/>
                <w:szCs w:val="17"/>
                <w:color w:val="auto"/>
              </w:rPr>
              <w:t>10.8#</w:t>
            </w:r>
          </w:p>
        </w:tc>
        <w:tc>
          <w:tcPr>
            <w:tcW w:w="220" w:type="dxa"/>
            <w:vAlign w:val="bottom"/>
          </w:tcPr>
          <w:p>
            <w:pPr>
              <w:spacing w:after="0"/>
              <w:rPr>
                <w:sz w:val="17"/>
                <w:szCs w:val="17"/>
                <w:color w:val="auto"/>
              </w:rPr>
            </w:pPr>
          </w:p>
        </w:tc>
        <w:tc>
          <w:tcPr>
            <w:tcW w:w="620" w:type="dxa"/>
            <w:vAlign w:val="bottom"/>
            <w:gridSpan w:val="3"/>
            <w:vMerge w:val="restart"/>
          </w:tcPr>
          <w:p>
            <w:pPr>
              <w:spacing w:after="0"/>
              <w:rPr>
                <w:rFonts w:ascii="Arial" w:cs="Arial" w:eastAsia="Arial" w:hAnsi="Arial"/>
                <w:sz w:val="17"/>
                <w:szCs w:val="17"/>
                <w:color w:val="0000FF"/>
                <w:w w:val="93"/>
              </w:rPr>
            </w:pPr>
            <w:hyperlink r:id="rId148">
              <w:r>
                <w:rPr>
                  <w:rFonts w:ascii="Arial" w:cs="Arial" w:eastAsia="Arial" w:hAnsi="Arial"/>
                  <w:sz w:val="17"/>
                  <w:szCs w:val="17"/>
                  <w:color w:val="0000FF"/>
                  <w:w w:val="93"/>
                </w:rPr>
                <w:t>between</w:t>
              </w:r>
            </w:hyperlink>
          </w:p>
        </w:tc>
        <w:tc>
          <w:tcPr>
            <w:tcW w:w="3300" w:type="dxa"/>
            <w:vAlign w:val="bottom"/>
            <w:tcBorders>
              <w:bottom w:val="single" w:sz="8" w:color="0000FF"/>
            </w:tcBorders>
            <w:gridSpan w:val="23"/>
          </w:tcPr>
          <w:p>
            <w:pPr>
              <w:spacing w:after="0"/>
              <w:rPr>
                <w:rFonts w:ascii="Arial" w:cs="Arial" w:eastAsia="Arial" w:hAnsi="Arial"/>
                <w:sz w:val="17"/>
                <w:szCs w:val="17"/>
                <w:color w:val="0000FF"/>
              </w:rPr>
            </w:pPr>
            <w:hyperlink r:id="rId148">
              <w:r>
                <w:rPr>
                  <w:rFonts w:ascii="Arial" w:cs="Arial" w:eastAsia="Arial" w:hAnsi="Arial"/>
                  <w:sz w:val="17"/>
                  <w:szCs w:val="17"/>
                  <w:color w:val="0000FF"/>
                </w:rPr>
                <w:t>Offer Letter, dated January 9, 2020, by and</w:t>
              </w:r>
            </w:hyperlink>
          </w:p>
        </w:tc>
        <w:tc>
          <w:tcPr>
            <w:tcW w:w="480" w:type="dxa"/>
            <w:vAlign w:val="bottom"/>
            <w:gridSpan w:val="15"/>
          </w:tcPr>
          <w:p>
            <w:pPr>
              <w:spacing w:after="0"/>
              <w:rPr>
                <w:sz w:val="17"/>
                <w:szCs w:val="17"/>
                <w:color w:val="auto"/>
              </w:rPr>
            </w:pPr>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780" w:type="dxa"/>
            <w:vAlign w:val="bottom"/>
            <w:gridSpan w:val="38"/>
          </w:tcPr>
          <w:p>
            <w:pPr>
              <w:ind w:left="80"/>
              <w:spacing w:after="0" w:line="148" w:lineRule="exact"/>
              <w:rPr>
                <w:rFonts w:ascii="Arial" w:cs="Arial" w:eastAsia="Arial" w:hAnsi="Arial"/>
                <w:sz w:val="17"/>
                <w:szCs w:val="17"/>
                <w:color w:val="0000FF"/>
              </w:rPr>
            </w:pPr>
            <w:hyperlink r:id="rId148">
              <w:r>
                <w:rPr>
                  <w:rFonts w:ascii="Arial" w:cs="Arial" w:eastAsia="Arial" w:hAnsi="Arial"/>
                  <w:sz w:val="17"/>
                  <w:szCs w:val="17"/>
                  <w:color w:val="0000FF"/>
                </w:rPr>
                <w:t>the Registrant and Howard G. Welgus, M.D.</w:t>
              </w:r>
            </w:hyperlink>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0" w:type="dxa"/>
            <w:vAlign w:val="bottom"/>
          </w:tcPr>
          <w:p>
            <w:pPr>
              <w:spacing w:after="0"/>
              <w:rPr>
                <w:sz w:val="20"/>
                <w:szCs w:val="20"/>
                <w:color w:val="auto"/>
              </w:rPr>
            </w:pPr>
            <w:r>
              <w:rPr>
                <w:rFonts w:ascii="Arial" w:cs="Arial" w:eastAsia="Arial" w:hAnsi="Arial"/>
                <w:sz w:val="17"/>
                <w:szCs w:val="17"/>
                <w:color w:val="auto"/>
              </w:rPr>
              <w:t>10.9#</w:t>
            </w:r>
          </w:p>
        </w:tc>
        <w:tc>
          <w:tcPr>
            <w:tcW w:w="220" w:type="dxa"/>
            <w:vAlign w:val="bottom"/>
          </w:tcPr>
          <w:p>
            <w:pPr>
              <w:spacing w:after="0"/>
              <w:rPr>
                <w:sz w:val="17"/>
                <w:szCs w:val="17"/>
                <w:color w:val="auto"/>
              </w:rPr>
            </w:pPr>
          </w:p>
        </w:tc>
        <w:tc>
          <w:tcPr>
            <w:tcW w:w="620" w:type="dxa"/>
            <w:vAlign w:val="bottom"/>
            <w:gridSpan w:val="3"/>
            <w:vMerge w:val="restart"/>
          </w:tcPr>
          <w:p>
            <w:pPr>
              <w:spacing w:after="0"/>
              <w:rPr>
                <w:rFonts w:ascii="Arial" w:cs="Arial" w:eastAsia="Arial" w:hAnsi="Arial"/>
                <w:sz w:val="17"/>
                <w:szCs w:val="17"/>
                <w:color w:val="0000FF"/>
                <w:w w:val="93"/>
              </w:rPr>
            </w:pPr>
            <w:hyperlink r:id="rId149">
              <w:r>
                <w:rPr>
                  <w:rFonts w:ascii="Arial" w:cs="Arial" w:eastAsia="Arial" w:hAnsi="Arial"/>
                  <w:sz w:val="17"/>
                  <w:szCs w:val="17"/>
                  <w:color w:val="0000FF"/>
                  <w:w w:val="93"/>
                </w:rPr>
                <w:t>between</w:t>
              </w:r>
            </w:hyperlink>
          </w:p>
        </w:tc>
        <w:tc>
          <w:tcPr>
            <w:tcW w:w="3780" w:type="dxa"/>
            <w:vAlign w:val="bottom"/>
            <w:gridSpan w:val="38"/>
          </w:tcPr>
          <w:p>
            <w:pPr>
              <w:spacing w:after="0"/>
              <w:rPr>
                <w:rFonts w:ascii="Arial" w:cs="Arial" w:eastAsia="Arial" w:hAnsi="Arial"/>
                <w:sz w:val="17"/>
                <w:szCs w:val="17"/>
                <w:color w:val="0000FF"/>
              </w:rPr>
            </w:pPr>
            <w:hyperlink r:id="rId149">
              <w:r>
                <w:rPr>
                  <w:rFonts w:ascii="Arial" w:cs="Arial" w:eastAsia="Arial" w:hAnsi="Arial"/>
                  <w:sz w:val="17"/>
                  <w:szCs w:val="17"/>
                  <w:color w:val="0000FF"/>
                </w:rPr>
                <w:t>Offer Letter, dated January 9, 2020, by and</w:t>
              </w:r>
            </w:hyperlink>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280" w:type="dxa"/>
            <w:vAlign w:val="bottom"/>
            <w:tcBorders>
              <w:top w:val="single" w:sz="8" w:color="0000FF"/>
            </w:tcBorders>
            <w:gridSpan w:val="22"/>
          </w:tcPr>
          <w:p>
            <w:pPr>
              <w:ind w:left="80"/>
              <w:spacing w:after="0" w:line="148" w:lineRule="exact"/>
              <w:rPr>
                <w:rFonts w:ascii="Arial" w:cs="Arial" w:eastAsia="Arial" w:hAnsi="Arial"/>
                <w:sz w:val="17"/>
                <w:szCs w:val="17"/>
                <w:color w:val="0000FF"/>
              </w:rPr>
            </w:pPr>
            <w:hyperlink r:id="rId149">
              <w:r>
                <w:rPr>
                  <w:rFonts w:ascii="Arial" w:cs="Arial" w:eastAsia="Arial" w:hAnsi="Arial"/>
                  <w:sz w:val="17"/>
                  <w:szCs w:val="17"/>
                  <w:color w:val="0000FF"/>
                </w:rPr>
                <w:t>the Registrant and John W. Smither.</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gridSpan w:val="2"/>
          </w:tcPr>
          <w:p>
            <w:pPr>
              <w:spacing w:after="0"/>
              <w:rPr>
                <w:sz w:val="20"/>
                <w:szCs w:val="20"/>
                <w:color w:val="auto"/>
              </w:rPr>
            </w:pPr>
            <w:r>
              <w:rPr>
                <w:rFonts w:ascii="Arial" w:cs="Arial" w:eastAsia="Arial" w:hAnsi="Arial"/>
                <w:sz w:val="17"/>
                <w:szCs w:val="17"/>
                <w:color w:val="auto"/>
              </w:rPr>
              <w:t>10.10#</w:t>
            </w:r>
          </w:p>
        </w:tc>
        <w:tc>
          <w:tcPr>
            <w:tcW w:w="620" w:type="dxa"/>
            <w:vAlign w:val="bottom"/>
            <w:gridSpan w:val="3"/>
            <w:vMerge w:val="restart"/>
          </w:tcPr>
          <w:p>
            <w:pPr>
              <w:spacing w:after="0"/>
              <w:rPr>
                <w:rFonts w:ascii="Arial" w:cs="Arial" w:eastAsia="Arial" w:hAnsi="Arial"/>
                <w:sz w:val="17"/>
                <w:szCs w:val="17"/>
                <w:color w:val="0000FF"/>
                <w:w w:val="93"/>
              </w:rPr>
            </w:pPr>
            <w:hyperlink r:id="rId150">
              <w:r>
                <w:rPr>
                  <w:rFonts w:ascii="Arial" w:cs="Arial" w:eastAsia="Arial" w:hAnsi="Arial"/>
                  <w:sz w:val="17"/>
                  <w:szCs w:val="17"/>
                  <w:color w:val="0000FF"/>
                  <w:w w:val="93"/>
                </w:rPr>
                <w:t>between</w:t>
              </w:r>
            </w:hyperlink>
          </w:p>
        </w:tc>
        <w:tc>
          <w:tcPr>
            <w:tcW w:w="3780" w:type="dxa"/>
            <w:vAlign w:val="bottom"/>
            <w:gridSpan w:val="38"/>
          </w:tcPr>
          <w:p>
            <w:pPr>
              <w:spacing w:after="0"/>
              <w:rPr>
                <w:rFonts w:ascii="Arial" w:cs="Arial" w:eastAsia="Arial" w:hAnsi="Arial"/>
                <w:sz w:val="17"/>
                <w:szCs w:val="17"/>
                <w:color w:val="0000FF"/>
              </w:rPr>
            </w:pPr>
            <w:hyperlink r:id="rId150">
              <w:r>
                <w:rPr>
                  <w:rFonts w:ascii="Arial" w:cs="Arial" w:eastAsia="Arial" w:hAnsi="Arial"/>
                  <w:sz w:val="17"/>
                  <w:szCs w:val="17"/>
                  <w:color w:val="0000FF"/>
                </w:rPr>
                <w:t>Offer Letter, dated January 9, 2020, by and</w:t>
              </w:r>
            </w:hyperlink>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280" w:type="dxa"/>
            <w:vAlign w:val="bottom"/>
            <w:tcBorders>
              <w:top w:val="single" w:sz="8" w:color="0000FF"/>
            </w:tcBorders>
            <w:gridSpan w:val="22"/>
          </w:tcPr>
          <w:p>
            <w:pPr>
              <w:ind w:left="80"/>
              <w:spacing w:after="0" w:line="148" w:lineRule="exact"/>
              <w:rPr>
                <w:rFonts w:ascii="Arial" w:cs="Arial" w:eastAsia="Arial" w:hAnsi="Arial"/>
                <w:sz w:val="17"/>
                <w:szCs w:val="17"/>
                <w:color w:val="0000FF"/>
              </w:rPr>
            </w:pPr>
            <w:hyperlink r:id="rId150">
              <w:r>
                <w:rPr>
                  <w:rFonts w:ascii="Arial" w:cs="Arial" w:eastAsia="Arial" w:hAnsi="Arial"/>
                  <w:sz w:val="17"/>
                  <w:szCs w:val="17"/>
                  <w:color w:val="0000FF"/>
                </w:rPr>
                <w:t>the Registrant and Kenneth A. Lock.</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gridSpan w:val="2"/>
          </w:tcPr>
          <w:p>
            <w:pPr>
              <w:spacing w:after="0"/>
              <w:rPr>
                <w:sz w:val="20"/>
                <w:szCs w:val="20"/>
                <w:color w:val="auto"/>
              </w:rPr>
            </w:pPr>
            <w:r>
              <w:rPr>
                <w:rFonts w:ascii="Arial" w:cs="Arial" w:eastAsia="Arial" w:hAnsi="Arial"/>
                <w:sz w:val="17"/>
                <w:szCs w:val="17"/>
                <w:color w:val="auto"/>
              </w:rPr>
              <w:t>10.11#</w:t>
            </w:r>
          </w:p>
        </w:tc>
        <w:tc>
          <w:tcPr>
            <w:tcW w:w="620" w:type="dxa"/>
            <w:vAlign w:val="bottom"/>
            <w:gridSpan w:val="3"/>
            <w:vMerge w:val="restart"/>
          </w:tcPr>
          <w:p>
            <w:pPr>
              <w:spacing w:after="0"/>
              <w:rPr>
                <w:rFonts w:ascii="Arial" w:cs="Arial" w:eastAsia="Arial" w:hAnsi="Arial"/>
                <w:sz w:val="17"/>
                <w:szCs w:val="17"/>
                <w:color w:val="0000FF"/>
                <w:w w:val="93"/>
              </w:rPr>
            </w:pPr>
            <w:hyperlink r:id="rId151">
              <w:r>
                <w:rPr>
                  <w:rFonts w:ascii="Arial" w:cs="Arial" w:eastAsia="Arial" w:hAnsi="Arial"/>
                  <w:sz w:val="17"/>
                  <w:szCs w:val="17"/>
                  <w:color w:val="0000FF"/>
                  <w:w w:val="93"/>
                </w:rPr>
                <w:t>between</w:t>
              </w:r>
            </w:hyperlink>
          </w:p>
        </w:tc>
        <w:tc>
          <w:tcPr>
            <w:tcW w:w="3780" w:type="dxa"/>
            <w:vAlign w:val="bottom"/>
            <w:gridSpan w:val="38"/>
          </w:tcPr>
          <w:p>
            <w:pPr>
              <w:spacing w:after="0"/>
              <w:rPr>
                <w:rFonts w:ascii="Arial" w:cs="Arial" w:eastAsia="Arial" w:hAnsi="Arial"/>
                <w:sz w:val="17"/>
                <w:szCs w:val="17"/>
                <w:color w:val="0000FF"/>
              </w:rPr>
            </w:pPr>
            <w:hyperlink r:id="rId151">
              <w:r>
                <w:rPr>
                  <w:rFonts w:ascii="Arial" w:cs="Arial" w:eastAsia="Arial" w:hAnsi="Arial"/>
                  <w:sz w:val="17"/>
                  <w:szCs w:val="17"/>
                  <w:color w:val="0000FF"/>
                </w:rPr>
                <w:t>Offer Letter, dated January 9, 2020, by and</w:t>
              </w:r>
            </w:hyperlink>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280" w:type="dxa"/>
            <w:vAlign w:val="bottom"/>
            <w:tcBorders>
              <w:top w:val="single" w:sz="8" w:color="0000FF"/>
            </w:tcBorders>
            <w:gridSpan w:val="22"/>
          </w:tcPr>
          <w:p>
            <w:pPr>
              <w:ind w:left="80"/>
              <w:spacing w:after="0" w:line="148" w:lineRule="exact"/>
              <w:rPr>
                <w:rFonts w:ascii="Arial" w:cs="Arial" w:eastAsia="Arial" w:hAnsi="Arial"/>
                <w:sz w:val="17"/>
                <w:szCs w:val="17"/>
                <w:color w:val="0000FF"/>
              </w:rPr>
            </w:pPr>
            <w:hyperlink r:id="rId151">
              <w:r>
                <w:rPr>
                  <w:rFonts w:ascii="Arial" w:cs="Arial" w:eastAsia="Arial" w:hAnsi="Arial"/>
                  <w:sz w:val="17"/>
                  <w:szCs w:val="17"/>
                  <w:color w:val="0000FF"/>
                </w:rPr>
                <w:t>the Registrant and Patricia A. Turney.</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gridSpan w:val="2"/>
          </w:tcPr>
          <w:p>
            <w:pPr>
              <w:spacing w:after="0"/>
              <w:rPr>
                <w:sz w:val="20"/>
                <w:szCs w:val="20"/>
                <w:color w:val="auto"/>
              </w:rPr>
            </w:pPr>
            <w:r>
              <w:rPr>
                <w:rFonts w:ascii="Arial" w:cs="Arial" w:eastAsia="Arial" w:hAnsi="Arial"/>
                <w:sz w:val="17"/>
                <w:szCs w:val="17"/>
                <w:color w:val="auto"/>
              </w:rPr>
              <w:t>10.12#</w:t>
            </w:r>
          </w:p>
        </w:tc>
        <w:tc>
          <w:tcPr>
            <w:tcW w:w="620" w:type="dxa"/>
            <w:vAlign w:val="bottom"/>
            <w:gridSpan w:val="3"/>
            <w:vMerge w:val="restart"/>
          </w:tcPr>
          <w:p>
            <w:pPr>
              <w:spacing w:after="0"/>
              <w:rPr>
                <w:rFonts w:ascii="Arial" w:cs="Arial" w:eastAsia="Arial" w:hAnsi="Arial"/>
                <w:sz w:val="17"/>
                <w:szCs w:val="17"/>
                <w:color w:val="0000FF"/>
              </w:rPr>
            </w:pPr>
            <w:hyperlink r:id="rId152">
              <w:r>
                <w:rPr>
                  <w:rFonts w:ascii="Arial" w:cs="Arial" w:eastAsia="Arial" w:hAnsi="Arial"/>
                  <w:sz w:val="17"/>
                  <w:szCs w:val="17"/>
                  <w:color w:val="0000FF"/>
                </w:rPr>
                <w:t>by and</w:t>
              </w:r>
            </w:hyperlink>
          </w:p>
        </w:tc>
        <w:tc>
          <w:tcPr>
            <w:tcW w:w="3780" w:type="dxa"/>
            <w:vAlign w:val="bottom"/>
            <w:gridSpan w:val="38"/>
          </w:tcPr>
          <w:p>
            <w:pPr>
              <w:spacing w:after="0"/>
              <w:rPr>
                <w:rFonts w:ascii="Arial" w:cs="Arial" w:eastAsia="Arial" w:hAnsi="Arial"/>
                <w:sz w:val="17"/>
                <w:szCs w:val="17"/>
                <w:color w:val="0000FF"/>
              </w:rPr>
            </w:pPr>
            <w:hyperlink r:id="rId152">
              <w:r>
                <w:rPr>
                  <w:rFonts w:ascii="Arial" w:cs="Arial" w:eastAsia="Arial" w:hAnsi="Arial"/>
                  <w:sz w:val="17"/>
                  <w:szCs w:val="17"/>
                  <w:color w:val="0000FF"/>
                </w:rPr>
                <w:t>Consulting Agreement, dated August 16, 2016,</w:t>
              </w:r>
            </w:hyperlink>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580" w:type="dxa"/>
            <w:vAlign w:val="bottom"/>
            <w:tcBorders>
              <w:top w:val="single" w:sz="8" w:color="0000FF"/>
            </w:tcBorders>
            <w:gridSpan w:val="34"/>
          </w:tcPr>
          <w:p>
            <w:pPr>
              <w:spacing w:after="0" w:line="148" w:lineRule="exact"/>
              <w:rPr>
                <w:rFonts w:ascii="Arial" w:cs="Arial" w:eastAsia="Arial" w:hAnsi="Arial"/>
                <w:sz w:val="17"/>
                <w:szCs w:val="17"/>
                <w:color w:val="0000FF"/>
                <w:w w:val="98"/>
              </w:rPr>
            </w:pPr>
            <w:hyperlink r:id="rId152">
              <w:r>
                <w:rPr>
                  <w:rFonts w:ascii="Arial" w:cs="Arial" w:eastAsia="Arial" w:hAnsi="Arial"/>
                  <w:sz w:val="17"/>
                  <w:szCs w:val="17"/>
                  <w:color w:val="0000FF"/>
                  <w:w w:val="98"/>
                </w:rPr>
                <w:t>between Bhaskar Chaudhuri and the Registrant.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740" w:type="dxa"/>
            <w:vAlign w:val="bottom"/>
            <w:gridSpan w:val="2"/>
          </w:tcPr>
          <w:p>
            <w:pPr>
              <w:spacing w:after="0"/>
              <w:rPr>
                <w:sz w:val="20"/>
                <w:szCs w:val="20"/>
                <w:color w:val="auto"/>
              </w:rPr>
            </w:pPr>
            <w:r>
              <w:rPr>
                <w:rFonts w:ascii="Arial" w:cs="Arial" w:eastAsia="Arial" w:hAnsi="Arial"/>
                <w:sz w:val="17"/>
                <w:szCs w:val="17"/>
                <w:color w:val="auto"/>
              </w:rPr>
              <w:t>10.13†^</w:t>
            </w:r>
          </w:p>
        </w:tc>
        <w:tc>
          <w:tcPr>
            <w:tcW w:w="20" w:type="dxa"/>
            <w:vAlign w:val="bottom"/>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380" w:type="dxa"/>
            <w:vAlign w:val="bottom"/>
            <w:tcBorders>
              <w:top w:val="single" w:sz="8" w:color="0000FF"/>
              <w:bottom w:val="single" w:sz="8" w:color="0000FF"/>
            </w:tcBorders>
            <w:gridSpan w:val="27"/>
          </w:tcPr>
          <w:p>
            <w:pPr>
              <w:spacing w:after="0"/>
              <w:rPr>
                <w:rFonts w:ascii="Arial" w:cs="Arial" w:eastAsia="Arial" w:hAnsi="Arial"/>
                <w:sz w:val="17"/>
                <w:szCs w:val="17"/>
                <w:color w:val="0000FF"/>
              </w:rPr>
            </w:pPr>
            <w:hyperlink r:id="rId153">
              <w:r>
                <w:rPr>
                  <w:rFonts w:ascii="Arial" w:cs="Arial" w:eastAsia="Arial" w:hAnsi="Arial"/>
                  <w:sz w:val="17"/>
                  <w:szCs w:val="17"/>
                  <w:color w:val="0000FF"/>
                </w:rPr>
                <w:t>License Agreement, dated July 23, 2018, by</w:t>
              </w:r>
            </w:hyperlink>
          </w:p>
        </w:tc>
        <w:tc>
          <w:tcPr>
            <w:tcW w:w="260" w:type="dxa"/>
            <w:vAlign w:val="bottom"/>
            <w:tcBorders>
              <w:top w:val="single" w:sz="8" w:color="0000FF"/>
            </w:tcBorders>
            <w:gridSpan w:val="10"/>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0" w:type="dxa"/>
            <w:vAlign w:val="bottom"/>
            <w:gridSpan w:val="30"/>
          </w:tcPr>
          <w:p>
            <w:pPr>
              <w:spacing w:after="0" w:line="148" w:lineRule="exact"/>
              <w:rPr>
                <w:rFonts w:ascii="Arial" w:cs="Arial" w:eastAsia="Arial" w:hAnsi="Arial"/>
                <w:sz w:val="17"/>
                <w:szCs w:val="17"/>
                <w:color w:val="0000FF"/>
              </w:rPr>
            </w:pPr>
            <w:hyperlink r:id="rId153">
              <w:r>
                <w:rPr>
                  <w:rFonts w:ascii="Arial" w:cs="Arial" w:eastAsia="Arial" w:hAnsi="Arial"/>
                  <w:sz w:val="17"/>
                  <w:szCs w:val="17"/>
                  <w:color w:val="0000FF"/>
                </w:rPr>
                <w:t>and between AstraZeneca AB and the Registrant.</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gridSpan w:val="2"/>
          </w:tcPr>
          <w:p>
            <w:pPr>
              <w:spacing w:after="0"/>
              <w:rPr>
                <w:sz w:val="20"/>
                <w:szCs w:val="20"/>
                <w:color w:val="auto"/>
              </w:rPr>
            </w:pPr>
            <w:r>
              <w:rPr>
                <w:rFonts w:ascii="Arial" w:cs="Arial" w:eastAsia="Arial" w:hAnsi="Arial"/>
                <w:sz w:val="17"/>
                <w:szCs w:val="17"/>
                <w:color w:val="auto"/>
              </w:rPr>
              <w:t>10.14†^</w:t>
            </w:r>
          </w:p>
        </w:tc>
        <w:tc>
          <w:tcPr>
            <w:tcW w:w="620" w:type="dxa"/>
            <w:vAlign w:val="bottom"/>
            <w:gridSpan w:val="3"/>
            <w:vMerge w:val="restart"/>
          </w:tcPr>
          <w:p>
            <w:pPr>
              <w:spacing w:after="0"/>
              <w:rPr>
                <w:rFonts w:ascii="Arial" w:cs="Arial" w:eastAsia="Arial" w:hAnsi="Arial"/>
                <w:sz w:val="17"/>
                <w:szCs w:val="17"/>
                <w:color w:val="0000FF"/>
              </w:rPr>
            </w:pPr>
            <w:hyperlink r:id="rId154">
              <w:r>
                <w:rPr>
                  <w:rFonts w:ascii="Arial" w:cs="Arial" w:eastAsia="Arial" w:hAnsi="Arial"/>
                  <w:sz w:val="17"/>
                  <w:szCs w:val="17"/>
                  <w:color w:val="0000FF"/>
                </w:rPr>
                <w:t>dated</w:t>
              </w:r>
            </w:hyperlink>
          </w:p>
        </w:tc>
        <w:tc>
          <w:tcPr>
            <w:tcW w:w="3780" w:type="dxa"/>
            <w:vAlign w:val="bottom"/>
            <w:gridSpan w:val="38"/>
          </w:tcPr>
          <w:p>
            <w:pPr>
              <w:spacing w:after="0"/>
              <w:rPr>
                <w:rFonts w:ascii="Arial" w:cs="Arial" w:eastAsia="Arial" w:hAnsi="Arial"/>
                <w:sz w:val="17"/>
                <w:szCs w:val="17"/>
                <w:color w:val="0000FF"/>
              </w:rPr>
            </w:pPr>
            <w:hyperlink r:id="rId154">
              <w:r>
                <w:rPr>
                  <w:rFonts w:ascii="Arial" w:cs="Arial" w:eastAsia="Arial" w:hAnsi="Arial"/>
                  <w:sz w:val="17"/>
                  <w:szCs w:val="17"/>
                  <w:color w:val="0000FF"/>
                </w:rPr>
                <w:t>Exclusive Option and License Agreement,</w:t>
              </w:r>
            </w:hyperlink>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200" w:type="dxa"/>
            <w:vAlign w:val="bottom"/>
            <w:tcBorders>
              <w:top w:val="single" w:sz="8" w:color="0000FF"/>
            </w:tcBorders>
            <w:gridSpan w:val="21"/>
          </w:tcPr>
          <w:p>
            <w:pPr>
              <w:spacing w:after="0" w:line="148" w:lineRule="exact"/>
              <w:rPr>
                <w:rFonts w:ascii="Arial" w:cs="Arial" w:eastAsia="Arial" w:hAnsi="Arial"/>
                <w:sz w:val="17"/>
                <w:szCs w:val="17"/>
                <w:color w:val="0000FF"/>
              </w:rPr>
            </w:pPr>
            <w:hyperlink r:id="rId154">
              <w:r>
                <w:rPr>
                  <w:rFonts w:ascii="Arial" w:cs="Arial" w:eastAsia="Arial" w:hAnsi="Arial"/>
                  <w:sz w:val="17"/>
                  <w:szCs w:val="17"/>
                  <w:color w:val="0000FF"/>
                </w:rPr>
                <w:t>January 4, 2018, by and between Jiangsu</w:t>
              </w:r>
            </w:hyperlink>
          </w:p>
        </w:tc>
        <w:tc>
          <w:tcPr>
            <w:tcW w:w="1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tcBorders>
              <w:top w:val="single" w:sz="8" w:color="0000FF"/>
              <w:bottom w:val="single" w:sz="8" w:color="0000FF"/>
            </w:tcBorders>
            <w:gridSpan w:val="17"/>
          </w:tcPr>
          <w:p>
            <w:pPr>
              <w:spacing w:after="0" w:line="148" w:lineRule="exact"/>
              <w:rPr>
                <w:rFonts w:ascii="Arial" w:cs="Arial" w:eastAsia="Arial" w:hAnsi="Arial"/>
                <w:sz w:val="17"/>
                <w:szCs w:val="17"/>
                <w:color w:val="0000FF"/>
              </w:rPr>
            </w:pPr>
            <w:hyperlink r:id="rId154">
              <w:r>
                <w:rPr>
                  <w:rFonts w:ascii="Arial" w:cs="Arial" w:eastAsia="Arial" w:hAnsi="Arial"/>
                  <w:sz w:val="17"/>
                  <w:szCs w:val="17"/>
                  <w:color w:val="0000FF"/>
                </w:rPr>
                <w:t>Hengrui Medicine Co., Ltd. and the Registrant.</w:t>
              </w:r>
            </w:hyperlink>
          </w:p>
        </w:tc>
        <w:tc>
          <w:tcPr>
            <w:tcW w:w="10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740" w:type="dxa"/>
            <w:vAlign w:val="bottom"/>
            <w:gridSpan w:val="2"/>
          </w:tcPr>
          <w:p>
            <w:pPr>
              <w:spacing w:after="0"/>
              <w:rPr>
                <w:sz w:val="20"/>
                <w:szCs w:val="20"/>
                <w:color w:val="auto"/>
              </w:rPr>
            </w:pPr>
            <w:r>
              <w:rPr>
                <w:rFonts w:ascii="Arial" w:cs="Arial" w:eastAsia="Arial" w:hAnsi="Arial"/>
                <w:sz w:val="17"/>
                <w:szCs w:val="17"/>
                <w:color w:val="auto"/>
              </w:rPr>
              <w:t>10.15†^</w:t>
            </w:r>
          </w:p>
        </w:tc>
        <w:tc>
          <w:tcPr>
            <w:tcW w:w="620" w:type="dxa"/>
            <w:vAlign w:val="bottom"/>
            <w:gridSpan w:val="3"/>
            <w:vMerge w:val="restart"/>
          </w:tcPr>
          <w:p>
            <w:pPr>
              <w:spacing w:after="0"/>
              <w:rPr>
                <w:rFonts w:ascii="Arial" w:cs="Arial" w:eastAsia="Arial" w:hAnsi="Arial"/>
                <w:sz w:val="17"/>
                <w:szCs w:val="17"/>
                <w:color w:val="0000FF"/>
              </w:rPr>
            </w:pPr>
            <w:hyperlink r:id="rId155">
              <w:r>
                <w:rPr>
                  <w:rFonts w:ascii="Arial" w:cs="Arial" w:eastAsia="Arial" w:hAnsi="Arial"/>
                  <w:sz w:val="17"/>
                  <w:szCs w:val="17"/>
                  <w:color w:val="0000FF"/>
                </w:rPr>
                <w:t>by and</w:t>
              </w:r>
            </w:hyperlink>
          </w:p>
        </w:tc>
        <w:tc>
          <w:tcPr>
            <w:tcW w:w="3780" w:type="dxa"/>
            <w:vAlign w:val="bottom"/>
            <w:gridSpan w:val="38"/>
          </w:tcPr>
          <w:p>
            <w:pPr>
              <w:spacing w:after="0"/>
              <w:rPr>
                <w:rFonts w:ascii="Arial" w:cs="Arial" w:eastAsia="Arial" w:hAnsi="Arial"/>
                <w:sz w:val="17"/>
                <w:szCs w:val="17"/>
                <w:color w:val="0000FF"/>
              </w:rPr>
            </w:pPr>
            <w:hyperlink r:id="rId155">
              <w:r>
                <w:rPr>
                  <w:rFonts w:ascii="Arial" w:cs="Arial" w:eastAsia="Arial" w:hAnsi="Arial"/>
                  <w:sz w:val="17"/>
                  <w:szCs w:val="17"/>
                  <w:color w:val="0000FF"/>
                </w:rPr>
                <w:t>Collaboration Agreement, dated June 28, 2019,</w:t>
              </w:r>
            </w:hyperlink>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620" w:type="dxa"/>
            <w:vAlign w:val="bottom"/>
            <w:tcBorders>
              <w:top w:val="single" w:sz="8" w:color="0000FF"/>
            </w:tcBorders>
            <w:gridSpan w:val="36"/>
          </w:tcPr>
          <w:p>
            <w:pPr>
              <w:spacing w:after="0" w:line="148" w:lineRule="exact"/>
              <w:rPr>
                <w:rFonts w:ascii="Arial" w:cs="Arial" w:eastAsia="Arial" w:hAnsi="Arial"/>
                <w:sz w:val="17"/>
                <w:szCs w:val="17"/>
                <w:color w:val="0000FF"/>
              </w:rPr>
            </w:pPr>
            <w:hyperlink r:id="rId155">
              <w:r>
                <w:rPr>
                  <w:rFonts w:ascii="Arial" w:cs="Arial" w:eastAsia="Arial" w:hAnsi="Arial"/>
                  <w:sz w:val="17"/>
                  <w:szCs w:val="17"/>
                  <w:color w:val="0000FF"/>
                </w:rPr>
                <w:t>between Hawkeye Therapeutics, Inc. and the</w:t>
              </w:r>
            </w:hyperlink>
          </w:p>
        </w:tc>
        <w:tc>
          <w:tcPr>
            <w:tcW w:w="160" w:type="dxa"/>
            <w:vAlign w:val="bottom"/>
            <w:gridSpan w:val="2"/>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7"/>
              </w:rPr>
            </w:pPr>
            <w:hyperlink r:id="rId155">
              <w:r>
                <w:rPr>
                  <w:rFonts w:ascii="Arial" w:cs="Arial" w:eastAsia="Arial" w:hAnsi="Arial"/>
                  <w:sz w:val="17"/>
                  <w:szCs w:val="17"/>
                  <w:color w:val="0000FF"/>
                  <w:w w:val="97"/>
                </w:rPr>
                <w:t>Registrant.</w:t>
              </w:r>
            </w:hyperlink>
          </w:p>
        </w:tc>
        <w:tc>
          <w:tcPr>
            <w:tcW w:w="3180" w:type="dxa"/>
            <w:vAlign w:val="bottom"/>
            <w:tcBorders>
              <w:top w:val="single" w:sz="8" w:color="0000FF"/>
            </w:tcBorders>
            <w:gridSpan w:val="26"/>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180" w:type="dxa"/>
            <w:vAlign w:val="bottom"/>
            <w:gridSpan w:val="3"/>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740" w:type="dxa"/>
            <w:vAlign w:val="bottom"/>
            <w:gridSpan w:val="2"/>
          </w:tcPr>
          <w:p>
            <w:pPr>
              <w:spacing w:after="0"/>
              <w:rPr>
                <w:sz w:val="20"/>
                <w:szCs w:val="20"/>
                <w:color w:val="auto"/>
              </w:rPr>
            </w:pPr>
            <w:r>
              <w:rPr>
                <w:rFonts w:ascii="Arial" w:cs="Arial" w:eastAsia="Arial" w:hAnsi="Arial"/>
                <w:sz w:val="17"/>
                <w:szCs w:val="17"/>
                <w:color w:val="auto"/>
              </w:rPr>
              <w:t>10.16#</w:t>
            </w:r>
          </w:p>
        </w:tc>
        <w:tc>
          <w:tcPr>
            <w:tcW w:w="620" w:type="dxa"/>
            <w:vAlign w:val="bottom"/>
            <w:gridSpan w:val="3"/>
            <w:vMerge w:val="restart"/>
          </w:tcPr>
          <w:p>
            <w:pPr>
              <w:spacing w:after="0"/>
              <w:rPr>
                <w:rFonts w:ascii="Arial" w:cs="Arial" w:eastAsia="Arial" w:hAnsi="Arial"/>
                <w:sz w:val="17"/>
                <w:szCs w:val="17"/>
                <w:color w:val="0000FF"/>
                <w:w w:val="76"/>
              </w:rPr>
            </w:pPr>
            <w:hyperlink r:id="rId156">
              <w:r>
                <w:rPr>
                  <w:rFonts w:ascii="Arial" w:cs="Arial" w:eastAsia="Arial" w:hAnsi="Arial"/>
                  <w:sz w:val="17"/>
                  <w:szCs w:val="17"/>
                  <w:color w:val="0000FF"/>
                  <w:w w:val="76"/>
                </w:rPr>
                <w:t>December</w:t>
              </w:r>
            </w:hyperlink>
          </w:p>
        </w:tc>
        <w:tc>
          <w:tcPr>
            <w:tcW w:w="3780" w:type="dxa"/>
            <w:vAlign w:val="bottom"/>
            <w:gridSpan w:val="38"/>
          </w:tcPr>
          <w:p>
            <w:pPr>
              <w:spacing w:after="0"/>
              <w:rPr>
                <w:rFonts w:ascii="Arial" w:cs="Arial" w:eastAsia="Arial" w:hAnsi="Arial"/>
                <w:sz w:val="17"/>
                <w:szCs w:val="17"/>
                <w:color w:val="0000FF"/>
              </w:rPr>
            </w:pPr>
            <w:hyperlink r:id="rId156">
              <w:r>
                <w:rPr>
                  <w:rFonts w:ascii="Arial" w:cs="Arial" w:eastAsia="Arial" w:hAnsi="Arial"/>
                  <w:sz w:val="17"/>
                  <w:szCs w:val="17"/>
                  <w:color w:val="0000FF"/>
                </w:rPr>
                <w:t>Transition and Amendment Agreement, dated</w:t>
              </w:r>
            </w:hyperlink>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3280" w:type="dxa"/>
            <w:vAlign w:val="bottom"/>
            <w:tcBorders>
              <w:top w:val="single" w:sz="8" w:color="0000FF"/>
            </w:tcBorders>
            <w:gridSpan w:val="30"/>
          </w:tcPr>
          <w:p>
            <w:pPr>
              <w:ind w:left="20"/>
              <w:spacing w:after="0" w:line="148" w:lineRule="exact"/>
              <w:rPr>
                <w:rFonts w:ascii="Arial" w:cs="Arial" w:eastAsia="Arial" w:hAnsi="Arial"/>
                <w:sz w:val="17"/>
                <w:szCs w:val="17"/>
                <w:color w:val="0000FF"/>
              </w:rPr>
            </w:pPr>
            <w:hyperlink r:id="rId156">
              <w:r>
                <w:rPr>
                  <w:rFonts w:ascii="Arial" w:cs="Arial" w:eastAsia="Arial" w:hAnsi="Arial"/>
                  <w:sz w:val="17"/>
                  <w:szCs w:val="17"/>
                  <w:color w:val="0000FF"/>
                </w:rPr>
                <w:t>13, 2019 by and between Bhaskar</w:t>
              </w:r>
            </w:hyperlink>
          </w:p>
        </w:tc>
        <w:tc>
          <w:tcPr>
            <w:tcW w:w="120" w:type="dxa"/>
            <w:vAlign w:val="bottom"/>
            <w:gridSpan w:val="4"/>
          </w:tcPr>
          <w:p>
            <w:pPr>
              <w:spacing w:after="0"/>
              <w:rPr>
                <w:sz w:val="12"/>
                <w:szCs w:val="12"/>
                <w:color w:val="auto"/>
              </w:rPr>
            </w:pPr>
          </w:p>
        </w:tc>
        <w:tc>
          <w:tcPr>
            <w:tcW w:w="180" w:type="dxa"/>
            <w:vAlign w:val="bottom"/>
            <w:gridSpan w:val="3"/>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Borders>
              <w:top w:val="single" w:sz="8" w:color="0000FF"/>
              <w:bottom w:val="single" w:sz="8" w:color="0000FF"/>
            </w:tcBorders>
            <w:gridSpan w:val="8"/>
          </w:tcPr>
          <w:p>
            <w:pPr>
              <w:spacing w:after="0" w:line="148" w:lineRule="exact"/>
              <w:rPr>
                <w:rFonts w:ascii="Arial" w:cs="Arial" w:eastAsia="Arial" w:hAnsi="Arial"/>
                <w:sz w:val="17"/>
                <w:szCs w:val="17"/>
                <w:color w:val="0000FF"/>
                <w:w w:val="99"/>
              </w:rPr>
            </w:pPr>
            <w:hyperlink r:id="rId156">
              <w:r>
                <w:rPr>
                  <w:rFonts w:ascii="Arial" w:cs="Arial" w:eastAsia="Arial" w:hAnsi="Arial"/>
                  <w:sz w:val="17"/>
                  <w:szCs w:val="17"/>
                  <w:color w:val="0000FF"/>
                  <w:w w:val="99"/>
                </w:rPr>
                <w:t>Chaudhuri and the Registrant.</w:t>
              </w:r>
            </w:hyperlink>
          </w:p>
        </w:tc>
        <w:tc>
          <w:tcPr>
            <w:tcW w:w="1160" w:type="dxa"/>
            <w:vAlign w:val="bottom"/>
            <w:tcBorders>
              <w:top w:val="single" w:sz="8" w:color="0000FF"/>
            </w:tcBorders>
            <w:gridSpan w:val="7"/>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1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60" w:type="dxa"/>
            <w:vAlign w:val="bottom"/>
            <w:gridSpan w:val="6"/>
          </w:tcPr>
          <w:p>
            <w:pPr>
              <w:spacing w:after="0"/>
              <w:rPr>
                <w:sz w:val="12"/>
                <w:szCs w:val="12"/>
                <w:color w:val="auto"/>
              </w:rPr>
            </w:pPr>
          </w:p>
        </w:tc>
        <w:tc>
          <w:tcPr>
            <w:tcW w:w="180" w:type="dxa"/>
            <w:vAlign w:val="bottom"/>
            <w:gridSpan w:val="3"/>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20" w:type="dxa"/>
            <w:vAlign w:val="bottom"/>
          </w:tcPr>
          <w:p>
            <w:pPr>
              <w:spacing w:after="0"/>
              <w:rPr>
                <w:sz w:val="20"/>
                <w:szCs w:val="20"/>
                <w:color w:val="auto"/>
              </w:rPr>
            </w:pPr>
            <w:r>
              <w:rPr>
                <w:rFonts w:ascii="Arial" w:cs="Arial" w:eastAsia="Arial" w:hAnsi="Arial"/>
                <w:sz w:val="17"/>
                <w:szCs w:val="17"/>
                <w:color w:val="auto"/>
              </w:rPr>
              <w:t>10.17</w:t>
            </w:r>
          </w:p>
        </w:tc>
        <w:tc>
          <w:tcPr>
            <w:tcW w:w="220" w:type="dxa"/>
            <w:vAlign w:val="bottom"/>
          </w:tcPr>
          <w:p>
            <w:pPr>
              <w:spacing w:after="0"/>
              <w:rPr>
                <w:sz w:val="17"/>
                <w:szCs w:val="17"/>
                <w:color w:val="auto"/>
              </w:rPr>
            </w:pPr>
          </w:p>
        </w:tc>
        <w:tc>
          <w:tcPr>
            <w:tcW w:w="620" w:type="dxa"/>
            <w:vAlign w:val="bottom"/>
            <w:gridSpan w:val="3"/>
            <w:vMerge w:val="restart"/>
          </w:tcPr>
          <w:p>
            <w:pPr>
              <w:spacing w:after="0"/>
              <w:rPr>
                <w:rFonts w:ascii="Arial" w:cs="Arial" w:eastAsia="Arial" w:hAnsi="Arial"/>
                <w:sz w:val="17"/>
                <w:szCs w:val="17"/>
                <w:color w:val="0000FF"/>
                <w:w w:val="83"/>
              </w:rPr>
            </w:pPr>
            <w:hyperlink r:id="rId157">
              <w:r>
                <w:rPr>
                  <w:rFonts w:ascii="Arial" w:cs="Arial" w:eastAsia="Arial" w:hAnsi="Arial"/>
                  <w:sz w:val="17"/>
                  <w:szCs w:val="17"/>
                  <w:color w:val="0000FF"/>
                  <w:w w:val="83"/>
                </w:rPr>
                <w:t>Exclusive</w:t>
              </w:r>
            </w:hyperlink>
          </w:p>
        </w:tc>
        <w:tc>
          <w:tcPr>
            <w:tcW w:w="3780" w:type="dxa"/>
            <w:vAlign w:val="bottom"/>
            <w:gridSpan w:val="38"/>
          </w:tcPr>
          <w:p>
            <w:pPr>
              <w:spacing w:after="0"/>
              <w:rPr>
                <w:rFonts w:ascii="Arial" w:cs="Arial" w:eastAsia="Arial" w:hAnsi="Arial"/>
                <w:sz w:val="17"/>
                <w:szCs w:val="17"/>
                <w:color w:val="0000FF"/>
              </w:rPr>
            </w:pPr>
            <w:hyperlink r:id="rId157">
              <w:r>
                <w:rPr>
                  <w:rFonts w:ascii="Arial" w:cs="Arial" w:eastAsia="Arial" w:hAnsi="Arial"/>
                  <w:sz w:val="17"/>
                  <w:szCs w:val="17"/>
                  <w:color w:val="0000FF"/>
                </w:rPr>
                <w:t>Option Notice and Amendment No. 2 to</w:t>
              </w:r>
            </w:hyperlink>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000" w:type="dxa"/>
            <w:vAlign w:val="bottom"/>
            <w:tcBorders>
              <w:top w:val="single" w:sz="8" w:color="0000FF"/>
            </w:tcBorders>
            <w:gridSpan w:val="16"/>
          </w:tcPr>
          <w:p>
            <w:pPr>
              <w:ind w:left="160"/>
              <w:spacing w:after="0" w:line="148" w:lineRule="exact"/>
              <w:rPr>
                <w:rFonts w:ascii="Arial" w:cs="Arial" w:eastAsia="Arial" w:hAnsi="Arial"/>
                <w:sz w:val="17"/>
                <w:szCs w:val="17"/>
                <w:color w:val="0000FF"/>
                <w:w w:val="98"/>
              </w:rPr>
            </w:pPr>
            <w:hyperlink r:id="rId157">
              <w:r>
                <w:rPr>
                  <w:rFonts w:ascii="Arial" w:cs="Arial" w:eastAsia="Arial" w:hAnsi="Arial"/>
                  <w:sz w:val="17"/>
                  <w:szCs w:val="17"/>
                  <w:color w:val="0000FF"/>
                  <w:w w:val="98"/>
                </w:rPr>
                <w:t>Option and License Agreement, dated</w:t>
              </w:r>
            </w:hyperlink>
          </w:p>
        </w:tc>
        <w:tc>
          <w:tcPr>
            <w:tcW w:w="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1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60" w:type="dxa"/>
            <w:vAlign w:val="bottom"/>
            <w:gridSpan w:val="6"/>
          </w:tcPr>
          <w:p>
            <w:pPr>
              <w:spacing w:after="0"/>
              <w:rPr>
                <w:sz w:val="12"/>
                <w:szCs w:val="12"/>
                <w:color w:val="auto"/>
              </w:rPr>
            </w:pPr>
          </w:p>
        </w:tc>
        <w:tc>
          <w:tcPr>
            <w:tcW w:w="180" w:type="dxa"/>
            <w:vAlign w:val="bottom"/>
            <w:gridSpan w:val="3"/>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60" w:type="dxa"/>
            <w:vAlign w:val="bottom"/>
            <w:gridSpan w:val="8"/>
            <w:shd w:val="clear" w:color="auto" w:fill="0000FF"/>
          </w:tcPr>
          <w:p>
            <w:pPr>
              <w:spacing w:after="0" w:line="20" w:lineRule="exact"/>
              <w:rPr>
                <w:sz w:val="1"/>
                <w:szCs w:val="1"/>
                <w:color w:val="auto"/>
              </w:rPr>
            </w:pPr>
          </w:p>
        </w:tc>
        <w:tc>
          <w:tcPr>
            <w:tcW w:w="64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4380" w:type="dxa"/>
            <w:vAlign w:val="bottom"/>
            <w:gridSpan w:val="40"/>
          </w:tcPr>
          <w:p>
            <w:pPr>
              <w:spacing w:after="0" w:line="148" w:lineRule="exact"/>
              <w:rPr>
                <w:rFonts w:ascii="Arial" w:cs="Arial" w:eastAsia="Arial" w:hAnsi="Arial"/>
                <w:sz w:val="17"/>
                <w:szCs w:val="17"/>
                <w:color w:val="0000FF"/>
              </w:rPr>
            </w:pPr>
            <w:hyperlink r:id="rId157">
              <w:r>
                <w:rPr>
                  <w:rFonts w:ascii="Arial" w:cs="Arial" w:eastAsia="Arial" w:hAnsi="Arial"/>
                  <w:sz w:val="17"/>
                  <w:szCs w:val="17"/>
                  <w:color w:val="0000FF"/>
                </w:rPr>
                <w:t>December 5, 2019, by and between Jiangsu Hengrui</w:t>
              </w:r>
            </w:hyperlink>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60" w:type="dxa"/>
            <w:vAlign w:val="bottom"/>
            <w:tcBorders>
              <w:top w:val="single" w:sz="8" w:color="0000FF"/>
            </w:tcBorders>
            <w:gridSpan w:val="32"/>
          </w:tcPr>
          <w:p>
            <w:pPr>
              <w:spacing w:after="0" w:line="148" w:lineRule="exact"/>
              <w:rPr>
                <w:rFonts w:ascii="Arial" w:cs="Arial" w:eastAsia="Arial" w:hAnsi="Arial"/>
                <w:sz w:val="17"/>
                <w:szCs w:val="17"/>
                <w:color w:val="0000FF"/>
              </w:rPr>
            </w:pPr>
            <w:hyperlink r:id="rId157">
              <w:r>
                <w:rPr>
                  <w:rFonts w:ascii="Arial" w:cs="Arial" w:eastAsia="Arial" w:hAnsi="Arial"/>
                  <w:sz w:val="17"/>
                  <w:szCs w:val="17"/>
                  <w:color w:val="0000FF"/>
                </w:rPr>
                <w:t>Medicine Co., Ltd. and the Registrant.</w:t>
              </w:r>
            </w:hyperlink>
          </w:p>
        </w:tc>
        <w:tc>
          <w:tcPr>
            <w:tcW w:w="160" w:type="dxa"/>
            <w:vAlign w:val="bottom"/>
            <w:gridSpan w:val="6"/>
          </w:tcPr>
          <w:p>
            <w:pPr>
              <w:spacing w:after="0"/>
              <w:rPr>
                <w:sz w:val="12"/>
                <w:szCs w:val="12"/>
                <w:color w:val="auto"/>
              </w:rPr>
            </w:pPr>
          </w:p>
        </w:tc>
        <w:tc>
          <w:tcPr>
            <w:tcW w:w="180" w:type="dxa"/>
            <w:vAlign w:val="bottom"/>
            <w:gridSpan w:val="3"/>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60" w:type="dxa"/>
            <w:vAlign w:val="bottom"/>
            <w:gridSpan w:val="8"/>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gridSpan w:val="2"/>
          </w:tcPr>
          <w:p>
            <w:pPr>
              <w:spacing w:after="0"/>
              <w:rPr>
                <w:sz w:val="20"/>
                <w:szCs w:val="20"/>
                <w:color w:val="auto"/>
              </w:rPr>
            </w:pPr>
            <w:r>
              <w:rPr>
                <w:rFonts w:ascii="Arial" w:cs="Arial" w:eastAsia="Arial" w:hAnsi="Arial"/>
                <w:sz w:val="17"/>
                <w:szCs w:val="17"/>
                <w:color w:val="auto"/>
              </w:rPr>
              <w:t>10.18#</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0" w:type="dxa"/>
            <w:vAlign w:val="bottom"/>
            <w:tcBorders>
              <w:bottom w:val="single" w:sz="8" w:color="0000FF"/>
            </w:tcBorders>
            <w:gridSpan w:val="35"/>
          </w:tcPr>
          <w:p>
            <w:pPr>
              <w:spacing w:after="0"/>
              <w:rPr>
                <w:rFonts w:ascii="Arial" w:cs="Arial" w:eastAsia="Arial" w:hAnsi="Arial"/>
                <w:sz w:val="17"/>
                <w:szCs w:val="17"/>
                <w:color w:val="0000FF"/>
              </w:rPr>
            </w:pPr>
            <w:hyperlink r:id="rId158">
              <w:r>
                <w:rPr>
                  <w:rFonts w:ascii="Arial" w:cs="Arial" w:eastAsia="Arial" w:hAnsi="Arial"/>
                  <w:sz w:val="17"/>
                  <w:szCs w:val="17"/>
                  <w:color w:val="0000FF"/>
                </w:rPr>
                <w:t>Severance &amp; Change in Control Agreement, by</w:t>
              </w:r>
            </w:hyperlink>
          </w:p>
        </w:tc>
        <w:tc>
          <w:tcPr>
            <w:tcW w:w="180" w:type="dxa"/>
            <w:vAlign w:val="bottom"/>
            <w:gridSpan w:val="3"/>
          </w:tcPr>
          <w:p>
            <w:pPr>
              <w:spacing w:after="0"/>
              <w:rPr>
                <w:sz w:val="17"/>
                <w:szCs w:val="17"/>
                <w:color w:val="auto"/>
              </w:rPr>
            </w:pPr>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20" w:type="dxa"/>
            <w:vAlign w:val="bottom"/>
            <w:gridSpan w:val="38"/>
          </w:tcPr>
          <w:p>
            <w:pPr>
              <w:spacing w:after="0" w:line="148" w:lineRule="exact"/>
              <w:rPr>
                <w:rFonts w:ascii="Arial" w:cs="Arial" w:eastAsia="Arial" w:hAnsi="Arial"/>
                <w:sz w:val="17"/>
                <w:szCs w:val="17"/>
                <w:color w:val="0000FF"/>
              </w:rPr>
            </w:pPr>
            <w:hyperlink r:id="rId158">
              <w:r>
                <w:rPr>
                  <w:rFonts w:ascii="Arial" w:cs="Arial" w:eastAsia="Arial" w:hAnsi="Arial"/>
                  <w:sz w:val="17"/>
                  <w:szCs w:val="17"/>
                  <w:color w:val="0000FF"/>
                </w:rPr>
                <w:t>and between the Registrant and Todd Franklin</w:t>
              </w:r>
            </w:hyperlink>
          </w:p>
        </w:tc>
        <w:tc>
          <w:tcPr>
            <w:tcW w:w="180" w:type="dxa"/>
            <w:vAlign w:val="bottom"/>
            <w:gridSpan w:val="3"/>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520" w:type="dxa"/>
            <w:vAlign w:val="bottom"/>
            <w:tcBorders>
              <w:top w:val="single" w:sz="8" w:color="0000FF"/>
            </w:tcBorders>
            <w:gridSpan w:val="17"/>
          </w:tcPr>
          <w:p>
            <w:pPr>
              <w:spacing w:after="0" w:line="148" w:lineRule="exact"/>
              <w:rPr>
                <w:rFonts w:ascii="Arial" w:cs="Arial" w:eastAsia="Arial" w:hAnsi="Arial"/>
                <w:sz w:val="17"/>
                <w:szCs w:val="17"/>
                <w:color w:val="0000FF"/>
              </w:rPr>
            </w:pPr>
            <w:hyperlink r:id="rId158">
              <w:r>
                <w:rPr>
                  <w:rFonts w:ascii="Arial" w:cs="Arial" w:eastAsia="Arial" w:hAnsi="Arial"/>
                  <w:sz w:val="17"/>
                  <w:szCs w:val="17"/>
                  <w:color w:val="0000FF"/>
                </w:rPr>
                <w:t>Watanabe.</w:t>
              </w:r>
            </w:hyperlink>
          </w:p>
        </w:tc>
        <w:tc>
          <w:tcPr>
            <w:tcW w:w="280" w:type="dxa"/>
            <w:vAlign w:val="bottom"/>
            <w:gridSpan w:val="6"/>
          </w:tcPr>
          <w:p>
            <w:pPr>
              <w:spacing w:after="0"/>
              <w:rPr>
                <w:sz w:val="12"/>
                <w:szCs w:val="12"/>
                <w:color w:val="auto"/>
              </w:rPr>
            </w:pPr>
          </w:p>
        </w:tc>
        <w:tc>
          <w:tcPr>
            <w:tcW w:w="1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12"/>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80" w:type="dxa"/>
            <w:vAlign w:val="bottom"/>
            <w:gridSpan w:val="19"/>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gridSpan w:val="2"/>
          </w:tcPr>
          <w:p>
            <w:pPr>
              <w:spacing w:after="0"/>
              <w:rPr>
                <w:sz w:val="20"/>
                <w:szCs w:val="20"/>
                <w:color w:val="auto"/>
              </w:rPr>
            </w:pPr>
            <w:r>
              <w:rPr>
                <w:rFonts w:ascii="Arial" w:cs="Arial" w:eastAsia="Arial" w:hAnsi="Arial"/>
                <w:sz w:val="17"/>
                <w:szCs w:val="17"/>
                <w:color w:val="auto"/>
              </w:rPr>
              <w:t>10.19#</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0" w:type="dxa"/>
            <w:vAlign w:val="bottom"/>
            <w:tcBorders>
              <w:bottom w:val="single" w:sz="8" w:color="0000FF"/>
            </w:tcBorders>
            <w:gridSpan w:val="35"/>
          </w:tcPr>
          <w:p>
            <w:pPr>
              <w:spacing w:after="0"/>
              <w:rPr>
                <w:rFonts w:ascii="Arial" w:cs="Arial" w:eastAsia="Arial" w:hAnsi="Arial"/>
                <w:sz w:val="17"/>
                <w:szCs w:val="17"/>
                <w:color w:val="0000FF"/>
              </w:rPr>
            </w:pPr>
            <w:hyperlink r:id="rId159">
              <w:r>
                <w:rPr>
                  <w:rFonts w:ascii="Arial" w:cs="Arial" w:eastAsia="Arial" w:hAnsi="Arial"/>
                  <w:sz w:val="17"/>
                  <w:szCs w:val="17"/>
                  <w:color w:val="0000FF"/>
                </w:rPr>
                <w:t>Severance &amp; Change in Control Agreement, by</w:t>
              </w:r>
            </w:hyperlink>
          </w:p>
        </w:tc>
        <w:tc>
          <w:tcPr>
            <w:tcW w:w="180" w:type="dxa"/>
            <w:vAlign w:val="bottom"/>
            <w:gridSpan w:val="3"/>
          </w:tcPr>
          <w:p>
            <w:pPr>
              <w:spacing w:after="0"/>
              <w:rPr>
                <w:sz w:val="17"/>
                <w:szCs w:val="17"/>
                <w:color w:val="auto"/>
              </w:rPr>
            </w:pPr>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20" w:type="dxa"/>
            <w:vAlign w:val="bottom"/>
            <w:gridSpan w:val="38"/>
          </w:tcPr>
          <w:p>
            <w:pPr>
              <w:spacing w:after="0" w:line="148" w:lineRule="exact"/>
              <w:rPr>
                <w:rFonts w:ascii="Arial" w:cs="Arial" w:eastAsia="Arial" w:hAnsi="Arial"/>
                <w:sz w:val="17"/>
                <w:szCs w:val="17"/>
                <w:color w:val="0000FF"/>
              </w:rPr>
            </w:pPr>
            <w:hyperlink r:id="rId159">
              <w:r>
                <w:rPr>
                  <w:rFonts w:ascii="Arial" w:cs="Arial" w:eastAsia="Arial" w:hAnsi="Arial"/>
                  <w:sz w:val="17"/>
                  <w:szCs w:val="17"/>
                  <w:color w:val="0000FF"/>
                </w:rPr>
                <w:t>and between the Registrant and David W. Osborne.</w:t>
              </w:r>
            </w:hyperlink>
          </w:p>
        </w:tc>
        <w:tc>
          <w:tcPr>
            <w:tcW w:w="180" w:type="dxa"/>
            <w:vAlign w:val="bottom"/>
            <w:gridSpan w:val="3"/>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80" w:type="dxa"/>
            <w:vAlign w:val="bottom"/>
            <w:tcBorders>
              <w:right w:val="single" w:sz="8" w:color="0000FF"/>
            </w:tcBorders>
            <w:gridSpan w:val="20"/>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gridSpan w:val="2"/>
          </w:tcPr>
          <w:p>
            <w:pPr>
              <w:spacing w:after="0"/>
              <w:rPr>
                <w:sz w:val="20"/>
                <w:szCs w:val="20"/>
                <w:color w:val="auto"/>
              </w:rPr>
            </w:pPr>
            <w:r>
              <w:rPr>
                <w:rFonts w:ascii="Arial" w:cs="Arial" w:eastAsia="Arial" w:hAnsi="Arial"/>
                <w:sz w:val="17"/>
                <w:szCs w:val="17"/>
                <w:color w:val="auto"/>
              </w:rPr>
              <w:t>10.20#</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0" w:type="dxa"/>
            <w:vAlign w:val="bottom"/>
            <w:tcBorders>
              <w:bottom w:val="single" w:sz="8" w:color="0000FF"/>
            </w:tcBorders>
            <w:gridSpan w:val="35"/>
          </w:tcPr>
          <w:p>
            <w:pPr>
              <w:spacing w:after="0"/>
              <w:rPr>
                <w:rFonts w:ascii="Arial" w:cs="Arial" w:eastAsia="Arial" w:hAnsi="Arial"/>
                <w:sz w:val="17"/>
                <w:szCs w:val="17"/>
                <w:color w:val="0000FF"/>
              </w:rPr>
            </w:pPr>
            <w:hyperlink r:id="rId160">
              <w:r>
                <w:rPr>
                  <w:rFonts w:ascii="Arial" w:cs="Arial" w:eastAsia="Arial" w:hAnsi="Arial"/>
                  <w:sz w:val="17"/>
                  <w:szCs w:val="17"/>
                  <w:color w:val="0000FF"/>
                </w:rPr>
                <w:t>Severance &amp; Change in Control Agreement, by</w:t>
              </w:r>
            </w:hyperlink>
          </w:p>
        </w:tc>
        <w:tc>
          <w:tcPr>
            <w:tcW w:w="180" w:type="dxa"/>
            <w:vAlign w:val="bottom"/>
            <w:gridSpan w:val="3"/>
          </w:tcPr>
          <w:p>
            <w:pPr>
              <w:spacing w:after="0"/>
              <w:rPr>
                <w:sz w:val="17"/>
                <w:szCs w:val="17"/>
                <w:color w:val="auto"/>
              </w:rPr>
            </w:pPr>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20" w:type="dxa"/>
            <w:vAlign w:val="bottom"/>
            <w:gridSpan w:val="38"/>
          </w:tcPr>
          <w:p>
            <w:pPr>
              <w:spacing w:after="0" w:line="148" w:lineRule="exact"/>
              <w:rPr>
                <w:rFonts w:ascii="Arial" w:cs="Arial" w:eastAsia="Arial" w:hAnsi="Arial"/>
                <w:sz w:val="17"/>
                <w:szCs w:val="17"/>
                <w:color w:val="0000FF"/>
              </w:rPr>
            </w:pPr>
            <w:hyperlink r:id="rId160">
              <w:r>
                <w:rPr>
                  <w:rFonts w:ascii="Arial" w:cs="Arial" w:eastAsia="Arial" w:hAnsi="Arial"/>
                  <w:sz w:val="17"/>
                  <w:szCs w:val="17"/>
                  <w:color w:val="0000FF"/>
                </w:rPr>
                <w:t>and between the Registrant and Howard G. Welgus,</w:t>
              </w:r>
            </w:hyperlink>
          </w:p>
        </w:tc>
        <w:tc>
          <w:tcPr>
            <w:tcW w:w="180" w:type="dxa"/>
            <w:vAlign w:val="bottom"/>
            <w:gridSpan w:val="3"/>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980" w:type="dxa"/>
            <w:vAlign w:val="bottom"/>
            <w:tcBorders>
              <w:top w:val="single" w:sz="8" w:color="0000FF"/>
            </w:tcBorders>
            <w:gridSpan w:val="29"/>
          </w:tcPr>
          <w:p>
            <w:pPr>
              <w:spacing w:after="0" w:line="148" w:lineRule="exact"/>
              <w:rPr>
                <w:rFonts w:ascii="Arial" w:cs="Arial" w:eastAsia="Arial" w:hAnsi="Arial"/>
                <w:sz w:val="17"/>
                <w:szCs w:val="17"/>
                <w:color w:val="0000FF"/>
              </w:rPr>
            </w:pPr>
            <w:hyperlink r:id="rId160">
              <w:r>
                <w:rPr>
                  <w:rFonts w:ascii="Arial" w:cs="Arial" w:eastAsia="Arial" w:hAnsi="Arial"/>
                  <w:sz w:val="17"/>
                  <w:szCs w:val="17"/>
                  <w:color w:val="0000FF"/>
                </w:rPr>
                <w:t>M.D.</w:t>
              </w:r>
            </w:hyperlink>
          </w:p>
        </w:tc>
        <w:tc>
          <w:tcPr>
            <w:tcW w:w="420" w:type="dxa"/>
            <w:vAlign w:val="bottom"/>
            <w:gridSpan w:val="12"/>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740" w:type="dxa"/>
            <w:vAlign w:val="bottom"/>
            <w:gridSpan w:val="2"/>
          </w:tcPr>
          <w:p>
            <w:pPr>
              <w:spacing w:after="0"/>
              <w:rPr>
                <w:sz w:val="20"/>
                <w:szCs w:val="20"/>
                <w:color w:val="auto"/>
              </w:rPr>
            </w:pPr>
            <w:r>
              <w:rPr>
                <w:rFonts w:ascii="Arial" w:cs="Arial" w:eastAsia="Arial" w:hAnsi="Arial"/>
                <w:sz w:val="17"/>
                <w:szCs w:val="17"/>
                <w:color w:val="auto"/>
              </w:rPr>
              <w:t>10.21#</w:t>
            </w:r>
          </w:p>
        </w:tc>
        <w:tc>
          <w:tcPr>
            <w:tcW w:w="20" w:type="dxa"/>
            <w:vAlign w:val="bottom"/>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3600" w:type="dxa"/>
            <w:vAlign w:val="bottom"/>
            <w:tcBorders>
              <w:bottom w:val="single" w:sz="8" w:color="0000FF"/>
            </w:tcBorders>
            <w:gridSpan w:val="35"/>
          </w:tcPr>
          <w:p>
            <w:pPr>
              <w:spacing w:after="0"/>
              <w:rPr>
                <w:rFonts w:ascii="Arial" w:cs="Arial" w:eastAsia="Arial" w:hAnsi="Arial"/>
                <w:sz w:val="17"/>
                <w:szCs w:val="17"/>
                <w:color w:val="0000FF"/>
              </w:rPr>
            </w:pPr>
            <w:hyperlink r:id="rId161">
              <w:r>
                <w:rPr>
                  <w:rFonts w:ascii="Arial" w:cs="Arial" w:eastAsia="Arial" w:hAnsi="Arial"/>
                  <w:sz w:val="17"/>
                  <w:szCs w:val="17"/>
                  <w:color w:val="0000FF"/>
                </w:rPr>
                <w:t>Severance &amp; Change in Control Agreement, by</w:t>
              </w:r>
            </w:hyperlink>
          </w:p>
        </w:tc>
        <w:tc>
          <w:tcPr>
            <w:tcW w:w="180" w:type="dxa"/>
            <w:vAlign w:val="bottom"/>
            <w:gridSpan w:val="3"/>
          </w:tcPr>
          <w:p>
            <w:pPr>
              <w:spacing w:after="0"/>
              <w:rPr>
                <w:sz w:val="17"/>
                <w:szCs w:val="17"/>
                <w:color w:val="auto"/>
              </w:rPr>
            </w:pPr>
          </w:p>
        </w:tc>
        <w:tc>
          <w:tcPr>
            <w:tcW w:w="1360" w:type="dxa"/>
            <w:vAlign w:val="bottom"/>
          </w:tcPr>
          <w:p>
            <w:pPr>
              <w:jc w:val="center"/>
              <w:ind w:left="415"/>
              <w:spacing w:after="0"/>
              <w:rPr>
                <w:sz w:val="20"/>
                <w:szCs w:val="20"/>
                <w:color w:val="auto"/>
              </w:rPr>
            </w:pPr>
            <w:r>
              <w:rPr>
                <w:rFonts w:ascii="Arial" w:cs="Arial" w:eastAsia="Arial" w:hAnsi="Arial"/>
                <w:sz w:val="17"/>
                <w:szCs w:val="17"/>
                <w:color w:val="auto"/>
                <w:w w:val="98"/>
              </w:rPr>
              <w:t>S-1/A</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20" w:type="dxa"/>
            <w:vAlign w:val="bottom"/>
            <w:gridSpan w:val="38"/>
          </w:tcPr>
          <w:p>
            <w:pPr>
              <w:spacing w:after="0" w:line="148" w:lineRule="exact"/>
              <w:rPr>
                <w:rFonts w:ascii="Arial" w:cs="Arial" w:eastAsia="Arial" w:hAnsi="Arial"/>
                <w:sz w:val="17"/>
                <w:szCs w:val="17"/>
                <w:color w:val="0000FF"/>
              </w:rPr>
            </w:pPr>
            <w:hyperlink r:id="rId161">
              <w:r>
                <w:rPr>
                  <w:rFonts w:ascii="Arial" w:cs="Arial" w:eastAsia="Arial" w:hAnsi="Arial"/>
                  <w:sz w:val="17"/>
                  <w:szCs w:val="17"/>
                  <w:color w:val="0000FF"/>
                </w:rPr>
                <w:t>and between the Registrant and John W. Smither.</w:t>
              </w:r>
            </w:hyperlink>
          </w:p>
        </w:tc>
        <w:tc>
          <w:tcPr>
            <w:tcW w:w="180" w:type="dxa"/>
            <w:vAlign w:val="bottom"/>
            <w:gridSpan w:val="3"/>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2"/>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top w:val="single" w:sz="8" w:color="0000FF"/>
            </w:tcBorders>
            <w:gridSpan w:val="22"/>
          </w:tcPr>
          <w:p>
            <w:pPr>
              <w:spacing w:after="0"/>
              <w:rPr>
                <w:sz w:val="24"/>
                <w:szCs w:val="24"/>
                <w:color w:val="auto"/>
              </w:rPr>
            </w:pPr>
          </w:p>
        </w:tc>
        <w:tc>
          <w:tcPr>
            <w:tcW w:w="600" w:type="dxa"/>
            <w:vAlign w:val="bottom"/>
            <w:gridSpan w:val="18"/>
          </w:tcPr>
          <w:p>
            <w:pPr>
              <w:jc w:val="right"/>
              <w:ind w:right="20"/>
              <w:spacing w:after="0"/>
              <w:rPr>
                <w:sz w:val="20"/>
                <w:szCs w:val="20"/>
                <w:color w:val="auto"/>
              </w:rPr>
            </w:pPr>
            <w:r>
              <w:rPr>
                <w:rFonts w:ascii="Arial" w:cs="Arial" w:eastAsia="Arial" w:hAnsi="Arial"/>
                <w:sz w:val="17"/>
                <w:szCs w:val="17"/>
                <w:color w:val="auto"/>
              </w:rPr>
              <w:t>110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12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1400" w:type="dxa"/>
            <w:vAlign w:val="bottom"/>
          </w:tcPr>
          <w:p>
            <w:pPr>
              <w:ind w:left="360"/>
              <w:spacing w:after="0"/>
              <w:rPr>
                <w:sz w:val="20"/>
                <w:szCs w:val="20"/>
                <w:color w:val="auto"/>
              </w:rPr>
            </w:pPr>
            <w:r>
              <w:rPr>
                <w:rFonts w:ascii="Arial" w:cs="Arial" w:eastAsia="Arial" w:hAnsi="Arial"/>
                <w:sz w:val="14"/>
                <w:szCs w:val="14"/>
                <w:b w:val="1"/>
                <w:bCs w:val="1"/>
                <w:color w:val="auto"/>
                <w:w w:val="97"/>
              </w:rPr>
              <w:t>Filed/Furnished</w:t>
            </w:r>
          </w:p>
        </w:tc>
        <w:tc>
          <w:tcPr>
            <w:tcW w:w="0" w:type="dxa"/>
            <w:vAlign w:val="bottom"/>
          </w:tcPr>
          <w:p>
            <w:pPr>
              <w:spacing w:after="0"/>
              <w:rPr>
                <w:sz w:val="1"/>
                <w:szCs w:val="1"/>
                <w:color w:val="auto"/>
              </w:rPr>
            </w:pPr>
          </w:p>
        </w:tc>
      </w:tr>
      <w:tr>
        <w:trPr>
          <w:trHeight w:val="180"/>
        </w:trPr>
        <w:tc>
          <w:tcPr>
            <w:tcW w:w="7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400" w:type="dxa"/>
            <w:vAlign w:val="bottom"/>
          </w:tcPr>
          <w:p>
            <w:pPr>
              <w:ind w:left="28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bl>
    <w:p>
      <w:pPr>
        <w:spacing w:after="0"/>
        <w:tabs>
          <w:tab w:leader="none" w:pos="136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3.2</w:t>
      </w:r>
    </w:p>
    <w:p>
      <w:pPr>
        <w:spacing w:after="0" w:line="24"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3.4</w:t>
      </w:r>
    </w:p>
    <w:p>
      <w:pPr>
        <w:spacing w:after="0" w:line="24"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4.1</w:t>
      </w:r>
    </w:p>
    <w:p>
      <w:pPr>
        <w:spacing w:after="0" w:line="24"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4.2</w:t>
      </w:r>
    </w:p>
    <w:p>
      <w:pPr>
        <w:spacing w:after="0" w:line="360"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color w:val="auto"/>
        </w:rPr>
        <w:t>3/19/20</w:t>
      </w:r>
      <w:r>
        <w:rPr>
          <w:sz w:val="20"/>
          <w:szCs w:val="20"/>
          <w:color w:val="auto"/>
        </w:rPr>
        <w:tab/>
      </w:r>
      <w:r>
        <w:rPr>
          <w:rFonts w:ascii="Arial" w:cs="Arial" w:eastAsia="Arial" w:hAnsi="Arial"/>
          <w:sz w:val="17"/>
          <w:szCs w:val="17"/>
          <w:color w:val="auto"/>
        </w:rPr>
        <w:t>4.3</w:t>
      </w:r>
    </w:p>
    <w:p>
      <w:pPr>
        <w:spacing w:after="0" w:line="360" w:lineRule="exact"/>
        <w:rPr>
          <w:sz w:val="20"/>
          <w:szCs w:val="20"/>
          <w:color w:val="auto"/>
        </w:rPr>
      </w:pPr>
    </w:p>
    <w:p>
      <w:pPr>
        <w:ind w:left="60"/>
        <w:spacing w:after="0"/>
        <w:tabs>
          <w:tab w:leader="none" w:pos="1300" w:val="left"/>
        </w:tabs>
        <w:rPr>
          <w:sz w:val="20"/>
          <w:szCs w:val="20"/>
          <w:color w:val="auto"/>
        </w:rPr>
      </w:pPr>
      <w:r>
        <w:rPr>
          <w:rFonts w:ascii="Arial" w:cs="Arial" w:eastAsia="Arial" w:hAnsi="Arial"/>
          <w:sz w:val="17"/>
          <w:szCs w:val="17"/>
          <w:color w:val="auto"/>
        </w:rPr>
        <w:t>1/6/20</w:t>
      </w:r>
      <w:r>
        <w:rPr>
          <w:sz w:val="20"/>
          <w:szCs w:val="20"/>
          <w:color w:val="auto"/>
        </w:rPr>
        <w:tab/>
      </w:r>
      <w:r>
        <w:rPr>
          <w:rFonts w:ascii="Arial" w:cs="Arial" w:eastAsia="Arial" w:hAnsi="Arial"/>
          <w:sz w:val="17"/>
          <w:szCs w:val="17"/>
          <w:color w:val="auto"/>
        </w:rPr>
        <w:t>10.1</w:t>
      </w:r>
    </w:p>
    <w:p>
      <w:pPr>
        <w:spacing w:after="0" w:line="24" w:lineRule="exact"/>
        <w:rPr>
          <w:sz w:val="20"/>
          <w:szCs w:val="20"/>
          <w:color w:val="auto"/>
        </w:rPr>
      </w:pPr>
    </w:p>
    <w:p>
      <w:pPr>
        <w:ind w:left="60"/>
        <w:spacing w:after="0"/>
        <w:tabs>
          <w:tab w:leader="none" w:pos="1300" w:val="left"/>
        </w:tabs>
        <w:rPr>
          <w:sz w:val="20"/>
          <w:szCs w:val="20"/>
          <w:color w:val="auto"/>
        </w:rPr>
      </w:pPr>
      <w:r>
        <w:rPr>
          <w:rFonts w:ascii="Arial" w:cs="Arial" w:eastAsia="Arial" w:hAnsi="Arial"/>
          <w:sz w:val="17"/>
          <w:szCs w:val="17"/>
          <w:color w:val="auto"/>
        </w:rPr>
        <w:t>1/6/20</w:t>
      </w:r>
      <w:r>
        <w:rPr>
          <w:sz w:val="20"/>
          <w:szCs w:val="20"/>
          <w:color w:val="auto"/>
        </w:rPr>
        <w:tab/>
      </w:r>
      <w:r>
        <w:rPr>
          <w:rFonts w:ascii="Arial" w:cs="Arial" w:eastAsia="Arial" w:hAnsi="Arial"/>
          <w:sz w:val="17"/>
          <w:szCs w:val="17"/>
          <w:color w:val="auto"/>
        </w:rPr>
        <w:t>10.2</w:t>
      </w:r>
    </w:p>
    <w:p>
      <w:pPr>
        <w:spacing w:after="0" w:line="192"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10.3</w:t>
      </w:r>
    </w:p>
    <w:p>
      <w:pPr>
        <w:spacing w:after="0" w:line="192"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10.4</w:t>
      </w:r>
    </w:p>
    <w:p>
      <w:pPr>
        <w:spacing w:after="0" w:line="192" w:lineRule="exact"/>
        <w:rPr>
          <w:sz w:val="20"/>
          <w:szCs w:val="20"/>
          <w:color w:val="auto"/>
        </w:rPr>
      </w:pPr>
    </w:p>
    <w:p>
      <w:pPr>
        <w:jc w:val="right"/>
        <w:ind w:right="500"/>
        <w:spacing w:after="0"/>
        <w:rPr>
          <w:sz w:val="20"/>
          <w:szCs w:val="20"/>
          <w:color w:val="auto"/>
        </w:rPr>
      </w:pPr>
      <w:r>
        <w:rPr>
          <w:rFonts w:ascii="Arial" w:cs="Arial" w:eastAsia="Arial" w:hAnsi="Arial"/>
          <w:sz w:val="17"/>
          <w:szCs w:val="17"/>
          <w:color w:val="auto"/>
        </w:rPr>
        <w:t>*</w:t>
      </w:r>
    </w:p>
    <w:p>
      <w:pPr>
        <w:spacing w:after="0" w:line="192"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10.5</w:t>
      </w:r>
    </w:p>
    <w:p>
      <w:pPr>
        <w:spacing w:after="0" w:line="192"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10.6</w:t>
      </w:r>
    </w:p>
    <w:p>
      <w:pPr>
        <w:spacing w:after="0" w:line="192"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10.7</w:t>
      </w:r>
    </w:p>
    <w:p>
      <w:pPr>
        <w:spacing w:after="0" w:line="192"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10.8</w:t>
      </w:r>
    </w:p>
    <w:p>
      <w:pPr>
        <w:spacing w:after="0" w:line="192"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10.9</w:t>
      </w:r>
    </w:p>
    <w:p>
      <w:pPr>
        <w:spacing w:after="0" w:line="192"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10.10</w:t>
      </w:r>
    </w:p>
    <w:p>
      <w:pPr>
        <w:spacing w:after="0" w:line="192"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7"/>
          <w:szCs w:val="17"/>
          <w:color w:val="auto"/>
        </w:rPr>
        <w:t>1/6/20</w:t>
      </w:r>
      <w:r>
        <w:rPr>
          <w:sz w:val="20"/>
          <w:szCs w:val="20"/>
          <w:color w:val="auto"/>
        </w:rPr>
        <w:tab/>
      </w:r>
      <w:r>
        <w:rPr>
          <w:rFonts w:ascii="Arial" w:cs="Arial" w:eastAsia="Arial" w:hAnsi="Arial"/>
          <w:sz w:val="17"/>
          <w:szCs w:val="17"/>
          <w:color w:val="auto"/>
        </w:rPr>
        <w:t>10.11</w:t>
      </w:r>
    </w:p>
    <w:p>
      <w:pPr>
        <w:spacing w:after="0" w:line="192"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7"/>
          <w:szCs w:val="17"/>
          <w:color w:val="auto"/>
        </w:rPr>
        <w:t>1/6/20</w:t>
      </w:r>
      <w:r>
        <w:rPr>
          <w:sz w:val="20"/>
          <w:szCs w:val="20"/>
          <w:color w:val="auto"/>
        </w:rPr>
        <w:tab/>
      </w:r>
      <w:r>
        <w:rPr>
          <w:rFonts w:ascii="Arial" w:cs="Arial" w:eastAsia="Arial" w:hAnsi="Arial"/>
          <w:sz w:val="17"/>
          <w:szCs w:val="17"/>
          <w:color w:val="auto"/>
        </w:rPr>
        <w:t>10.12</w:t>
      </w:r>
    </w:p>
    <w:p>
      <w:pPr>
        <w:spacing w:after="0" w:line="192"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7"/>
          <w:szCs w:val="17"/>
          <w:color w:val="auto"/>
        </w:rPr>
        <w:t>1/6/20</w:t>
      </w:r>
      <w:r>
        <w:rPr>
          <w:sz w:val="20"/>
          <w:szCs w:val="20"/>
          <w:color w:val="auto"/>
        </w:rPr>
        <w:tab/>
      </w:r>
      <w:r>
        <w:rPr>
          <w:rFonts w:ascii="Arial" w:cs="Arial" w:eastAsia="Arial" w:hAnsi="Arial"/>
          <w:sz w:val="17"/>
          <w:szCs w:val="17"/>
          <w:color w:val="auto"/>
        </w:rPr>
        <w:t>10.13</w:t>
      </w:r>
    </w:p>
    <w:p>
      <w:pPr>
        <w:spacing w:after="0" w:line="360"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7"/>
          <w:szCs w:val="17"/>
          <w:color w:val="auto"/>
        </w:rPr>
        <w:t>1/6/20</w:t>
      </w:r>
      <w:r>
        <w:rPr>
          <w:sz w:val="20"/>
          <w:szCs w:val="20"/>
          <w:color w:val="auto"/>
        </w:rPr>
        <w:tab/>
      </w:r>
      <w:r>
        <w:rPr>
          <w:rFonts w:ascii="Arial" w:cs="Arial" w:eastAsia="Arial" w:hAnsi="Arial"/>
          <w:sz w:val="17"/>
          <w:szCs w:val="17"/>
          <w:color w:val="auto"/>
        </w:rPr>
        <w:t>10.14</w:t>
      </w:r>
    </w:p>
    <w:p>
      <w:pPr>
        <w:spacing w:after="0" w:line="360"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7"/>
          <w:szCs w:val="17"/>
          <w:color w:val="auto"/>
        </w:rPr>
        <w:t>1/6/20</w:t>
      </w:r>
      <w:r>
        <w:rPr>
          <w:sz w:val="20"/>
          <w:szCs w:val="20"/>
          <w:color w:val="auto"/>
        </w:rPr>
        <w:tab/>
      </w:r>
      <w:r>
        <w:rPr>
          <w:rFonts w:ascii="Arial" w:cs="Arial" w:eastAsia="Arial" w:hAnsi="Arial"/>
          <w:sz w:val="17"/>
          <w:szCs w:val="17"/>
          <w:color w:val="auto"/>
        </w:rPr>
        <w:t>10.15</w:t>
      </w:r>
    </w:p>
    <w:p>
      <w:pPr>
        <w:spacing w:after="0" w:line="360"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7"/>
          <w:szCs w:val="17"/>
          <w:color w:val="auto"/>
        </w:rPr>
        <w:t>1/6/20</w:t>
      </w:r>
      <w:r>
        <w:rPr>
          <w:sz w:val="20"/>
          <w:szCs w:val="20"/>
          <w:color w:val="auto"/>
        </w:rPr>
        <w:tab/>
      </w:r>
      <w:r>
        <w:rPr>
          <w:rFonts w:ascii="Arial" w:cs="Arial" w:eastAsia="Arial" w:hAnsi="Arial"/>
          <w:sz w:val="17"/>
          <w:szCs w:val="17"/>
          <w:color w:val="auto"/>
        </w:rPr>
        <w:t>10.16</w:t>
      </w:r>
    </w:p>
    <w:p>
      <w:pPr>
        <w:spacing w:after="0" w:line="200" w:lineRule="exact"/>
        <w:rPr>
          <w:sz w:val="20"/>
          <w:szCs w:val="20"/>
          <w:color w:val="auto"/>
        </w:rPr>
      </w:pPr>
    </w:p>
    <w:p>
      <w:pPr>
        <w:spacing w:after="0" w:line="328"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10.17</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10.18</w:t>
      </w:r>
    </w:p>
    <w:p>
      <w:pPr>
        <w:spacing w:after="0" w:line="192"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10.19</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1/21/20</w:t>
      </w:r>
      <w:r>
        <w:rPr>
          <w:sz w:val="20"/>
          <w:szCs w:val="20"/>
          <w:color w:val="auto"/>
        </w:rPr>
        <w:tab/>
      </w:r>
      <w:r>
        <w:rPr>
          <w:rFonts w:ascii="Arial" w:cs="Arial" w:eastAsia="Arial" w:hAnsi="Arial"/>
          <w:sz w:val="17"/>
          <w:szCs w:val="17"/>
          <w:color w:val="auto"/>
        </w:rPr>
        <w:t>10.20</w:t>
      </w:r>
    </w:p>
    <w:p>
      <w:pPr>
        <w:sectPr>
          <w:pgSz w:w="11900" w:h="16838" w:orient="portrait"/>
          <w:cols w:equalWidth="0" w:num="2">
            <w:col w:w="7140" w:space="640"/>
            <w:col w:w="3440"/>
          </w:cols>
          <w:pgMar w:left="320" w:top="127" w:right="359" w:bottom="1440" w:gutter="0" w:footer="0" w:header="0"/>
        </w:sectPr>
      </w:pPr>
    </w:p>
    <w:bookmarkStart w:id="112" w:name="page113"/>
    <w:bookmarkEnd w:id="1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820" w:type="dxa"/>
            <w:vAlign w:val="bottom"/>
          </w:tcPr>
          <w:p>
            <w:pPr>
              <w:spacing w:after="0"/>
              <w:rPr>
                <w:sz w:val="20"/>
                <w:szCs w:val="20"/>
                <w:color w:val="auto"/>
              </w:rPr>
            </w:pPr>
            <w:r>
              <w:rPr>
                <w:rFonts w:ascii="Arial" w:cs="Arial" w:eastAsia="Arial" w:hAnsi="Arial"/>
                <w:sz w:val="17"/>
                <w:szCs w:val="17"/>
                <w:color w:val="auto"/>
              </w:rPr>
              <w:t>10.22#</w:t>
            </w:r>
          </w:p>
        </w:tc>
        <w:tc>
          <w:tcPr>
            <w:tcW w:w="640" w:type="dxa"/>
            <w:vAlign w:val="bottom"/>
            <w:gridSpan w:val="3"/>
            <w:vMerge w:val="restart"/>
          </w:tcPr>
          <w:p>
            <w:pPr>
              <w:spacing w:after="0"/>
              <w:rPr>
                <w:rFonts w:ascii="Arial" w:cs="Arial" w:eastAsia="Arial" w:hAnsi="Arial"/>
                <w:sz w:val="17"/>
                <w:szCs w:val="17"/>
                <w:color w:val="0000FF"/>
                <w:w w:val="93"/>
              </w:rPr>
            </w:pPr>
            <w:hyperlink r:id="rId163">
              <w:r>
                <w:rPr>
                  <w:rFonts w:ascii="Arial" w:cs="Arial" w:eastAsia="Arial" w:hAnsi="Arial"/>
                  <w:sz w:val="17"/>
                  <w:szCs w:val="17"/>
                  <w:color w:val="0000FF"/>
                  <w:w w:val="93"/>
                </w:rPr>
                <w:t>between</w:t>
              </w:r>
            </w:hyperlink>
          </w:p>
        </w:tc>
        <w:tc>
          <w:tcPr>
            <w:tcW w:w="4480" w:type="dxa"/>
            <w:vAlign w:val="bottom"/>
            <w:gridSpan w:val="27"/>
          </w:tcPr>
          <w:p>
            <w:pPr>
              <w:spacing w:after="0"/>
              <w:rPr>
                <w:rFonts w:ascii="Arial" w:cs="Arial" w:eastAsia="Arial" w:hAnsi="Arial"/>
                <w:sz w:val="17"/>
                <w:szCs w:val="17"/>
                <w:color w:val="0000FF"/>
              </w:rPr>
            </w:pPr>
            <w:hyperlink r:id="rId163">
              <w:r>
                <w:rPr>
                  <w:rFonts w:ascii="Arial" w:cs="Arial" w:eastAsia="Arial" w:hAnsi="Arial"/>
                  <w:sz w:val="17"/>
                  <w:szCs w:val="17"/>
                  <w:color w:val="0000FF"/>
                </w:rPr>
                <w:t>Severance &amp; Change in Control Agreement, by and</w:t>
              </w:r>
            </w:hyperlink>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3920" w:type="dxa"/>
            <w:vAlign w:val="bottom"/>
            <w:tcBorders>
              <w:top w:val="single" w:sz="8" w:color="0000FF"/>
            </w:tcBorders>
            <w:gridSpan w:val="11"/>
          </w:tcPr>
          <w:p>
            <w:pPr>
              <w:ind w:left="60"/>
              <w:spacing w:after="0" w:line="148" w:lineRule="exact"/>
              <w:rPr>
                <w:rFonts w:ascii="Arial" w:cs="Arial" w:eastAsia="Arial" w:hAnsi="Arial"/>
                <w:sz w:val="17"/>
                <w:szCs w:val="17"/>
                <w:color w:val="0000FF"/>
              </w:rPr>
            </w:pPr>
            <w:hyperlink r:id="rId163">
              <w:r>
                <w:rPr>
                  <w:rFonts w:ascii="Arial" w:cs="Arial" w:eastAsia="Arial" w:hAnsi="Arial"/>
                  <w:sz w:val="17"/>
                  <w:szCs w:val="17"/>
                  <w:color w:val="0000FF"/>
                </w:rPr>
                <w:t>the Registrant and Kenneth A. Lock.</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0" w:type="dxa"/>
            <w:vAlign w:val="bottom"/>
          </w:tcPr>
          <w:p>
            <w:pPr>
              <w:spacing w:after="0"/>
              <w:rPr>
                <w:sz w:val="20"/>
                <w:szCs w:val="20"/>
                <w:color w:val="auto"/>
              </w:rPr>
            </w:pPr>
            <w:r>
              <w:rPr>
                <w:rFonts w:ascii="Arial" w:cs="Arial" w:eastAsia="Arial" w:hAnsi="Arial"/>
                <w:sz w:val="17"/>
                <w:szCs w:val="17"/>
                <w:color w:val="auto"/>
              </w:rPr>
              <w:t>10.23#</w:t>
            </w:r>
          </w:p>
        </w:tc>
        <w:tc>
          <w:tcPr>
            <w:tcW w:w="640" w:type="dxa"/>
            <w:vAlign w:val="bottom"/>
            <w:gridSpan w:val="3"/>
            <w:vMerge w:val="restart"/>
          </w:tcPr>
          <w:p>
            <w:pPr>
              <w:spacing w:after="0"/>
              <w:rPr>
                <w:rFonts w:ascii="Arial" w:cs="Arial" w:eastAsia="Arial" w:hAnsi="Arial"/>
                <w:sz w:val="17"/>
                <w:szCs w:val="17"/>
                <w:color w:val="0000FF"/>
                <w:w w:val="93"/>
              </w:rPr>
            </w:pPr>
            <w:hyperlink r:id="rId164">
              <w:r>
                <w:rPr>
                  <w:rFonts w:ascii="Arial" w:cs="Arial" w:eastAsia="Arial" w:hAnsi="Arial"/>
                  <w:sz w:val="17"/>
                  <w:szCs w:val="17"/>
                  <w:color w:val="0000FF"/>
                  <w:w w:val="93"/>
                </w:rPr>
                <w:t>between</w:t>
              </w:r>
            </w:hyperlink>
          </w:p>
        </w:tc>
        <w:tc>
          <w:tcPr>
            <w:tcW w:w="4480" w:type="dxa"/>
            <w:vAlign w:val="bottom"/>
            <w:gridSpan w:val="27"/>
          </w:tcPr>
          <w:p>
            <w:pPr>
              <w:spacing w:after="0"/>
              <w:rPr>
                <w:rFonts w:ascii="Arial" w:cs="Arial" w:eastAsia="Arial" w:hAnsi="Arial"/>
                <w:sz w:val="17"/>
                <w:szCs w:val="17"/>
                <w:color w:val="0000FF"/>
              </w:rPr>
            </w:pPr>
            <w:hyperlink r:id="rId164">
              <w:r>
                <w:rPr>
                  <w:rFonts w:ascii="Arial" w:cs="Arial" w:eastAsia="Arial" w:hAnsi="Arial"/>
                  <w:sz w:val="17"/>
                  <w:szCs w:val="17"/>
                  <w:color w:val="0000FF"/>
                </w:rPr>
                <w:t>Severance &amp; Change in Control Agreement, by and</w:t>
              </w:r>
            </w:hyperlink>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3920" w:type="dxa"/>
            <w:vAlign w:val="bottom"/>
            <w:tcBorders>
              <w:top w:val="single" w:sz="8" w:color="0000FF"/>
            </w:tcBorders>
            <w:gridSpan w:val="11"/>
          </w:tcPr>
          <w:p>
            <w:pPr>
              <w:ind w:left="60"/>
              <w:spacing w:after="0" w:line="148" w:lineRule="exact"/>
              <w:rPr>
                <w:rFonts w:ascii="Arial" w:cs="Arial" w:eastAsia="Arial" w:hAnsi="Arial"/>
                <w:sz w:val="17"/>
                <w:szCs w:val="17"/>
                <w:color w:val="0000FF"/>
              </w:rPr>
            </w:pPr>
            <w:hyperlink r:id="rId164">
              <w:r>
                <w:rPr>
                  <w:rFonts w:ascii="Arial" w:cs="Arial" w:eastAsia="Arial" w:hAnsi="Arial"/>
                  <w:sz w:val="17"/>
                  <w:szCs w:val="17"/>
                  <w:color w:val="0000FF"/>
                </w:rPr>
                <w:t>the Registrant and Patricia A. Turney.</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0" w:type="dxa"/>
            <w:vAlign w:val="bottom"/>
          </w:tcPr>
          <w:p>
            <w:pPr>
              <w:spacing w:after="0"/>
              <w:rPr>
                <w:sz w:val="20"/>
                <w:szCs w:val="20"/>
                <w:color w:val="auto"/>
              </w:rPr>
            </w:pPr>
            <w:r>
              <w:rPr>
                <w:rFonts w:ascii="Arial" w:cs="Arial" w:eastAsia="Arial" w:hAnsi="Arial"/>
                <w:sz w:val="17"/>
                <w:szCs w:val="17"/>
                <w:color w:val="auto"/>
              </w:rPr>
              <w:t>10.24#</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80" w:type="dxa"/>
            <w:vAlign w:val="bottom"/>
            <w:gridSpan w:val="27"/>
          </w:tcPr>
          <w:p>
            <w:pPr>
              <w:spacing w:after="0"/>
              <w:rPr>
                <w:rFonts w:ascii="Arial" w:cs="Arial" w:eastAsia="Arial" w:hAnsi="Arial"/>
                <w:sz w:val="17"/>
                <w:szCs w:val="17"/>
                <w:color w:val="0000FF"/>
              </w:rPr>
            </w:pPr>
            <w:hyperlink r:id="rId165">
              <w:r>
                <w:rPr>
                  <w:rFonts w:ascii="Arial" w:cs="Arial" w:eastAsia="Arial" w:hAnsi="Arial"/>
                  <w:sz w:val="17"/>
                  <w:szCs w:val="17"/>
                  <w:color w:val="0000FF"/>
                </w:rPr>
                <w:t>Offer Letter, dated December 18, 2020, by and between</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0" w:type="dxa"/>
            <w:vAlign w:val="bottom"/>
          </w:tcPr>
          <w:p>
            <w:pPr>
              <w:spacing w:after="0"/>
              <w:rPr>
                <w:sz w:val="12"/>
                <w:szCs w:val="12"/>
                <w:color w:val="auto"/>
              </w:rPr>
            </w:pPr>
          </w:p>
        </w:tc>
        <w:tc>
          <w:tcPr>
            <w:tcW w:w="4880" w:type="dxa"/>
            <w:vAlign w:val="bottom"/>
            <w:gridSpan w:val="22"/>
          </w:tcPr>
          <w:p>
            <w:pPr>
              <w:spacing w:after="0" w:line="148" w:lineRule="exact"/>
              <w:rPr>
                <w:rFonts w:ascii="Arial" w:cs="Arial" w:eastAsia="Arial" w:hAnsi="Arial"/>
                <w:sz w:val="17"/>
                <w:szCs w:val="17"/>
                <w:color w:val="0000FF"/>
              </w:rPr>
            </w:pPr>
            <w:hyperlink r:id="rId165">
              <w:r>
                <w:rPr>
                  <w:rFonts w:ascii="Arial" w:cs="Arial" w:eastAsia="Arial" w:hAnsi="Arial"/>
                  <w:sz w:val="17"/>
                  <w:szCs w:val="17"/>
                  <w:color w:val="0000FF"/>
                </w:rPr>
                <w:t>the Registrant and Matthew R. Moore.</w:t>
              </w:r>
            </w:hyperlink>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0" w:type="dxa"/>
            <w:vAlign w:val="bottom"/>
          </w:tcPr>
          <w:p>
            <w:pPr>
              <w:spacing w:after="0"/>
              <w:rPr>
                <w:sz w:val="20"/>
                <w:szCs w:val="20"/>
                <w:color w:val="auto"/>
              </w:rPr>
            </w:pPr>
            <w:r>
              <w:rPr>
                <w:rFonts w:ascii="Arial" w:cs="Arial" w:eastAsia="Arial" w:hAnsi="Arial"/>
                <w:sz w:val="17"/>
                <w:szCs w:val="17"/>
                <w:color w:val="auto"/>
              </w:rPr>
              <w:t>10.25#</w:t>
            </w:r>
          </w:p>
        </w:tc>
        <w:tc>
          <w:tcPr>
            <w:tcW w:w="640" w:type="dxa"/>
            <w:vAlign w:val="bottom"/>
            <w:gridSpan w:val="3"/>
            <w:vMerge w:val="restart"/>
          </w:tcPr>
          <w:p>
            <w:pPr>
              <w:spacing w:after="0"/>
              <w:rPr>
                <w:rFonts w:ascii="Arial" w:cs="Arial" w:eastAsia="Arial" w:hAnsi="Arial"/>
                <w:sz w:val="17"/>
                <w:szCs w:val="17"/>
                <w:color w:val="0000FF"/>
                <w:w w:val="93"/>
              </w:rPr>
            </w:pPr>
            <w:hyperlink r:id="rId166">
              <w:r>
                <w:rPr>
                  <w:rFonts w:ascii="Arial" w:cs="Arial" w:eastAsia="Arial" w:hAnsi="Arial"/>
                  <w:sz w:val="17"/>
                  <w:szCs w:val="17"/>
                  <w:color w:val="0000FF"/>
                  <w:w w:val="93"/>
                </w:rPr>
                <w:t>between</w:t>
              </w:r>
            </w:hyperlink>
          </w:p>
        </w:tc>
        <w:tc>
          <w:tcPr>
            <w:tcW w:w="4480" w:type="dxa"/>
            <w:vAlign w:val="bottom"/>
            <w:gridSpan w:val="27"/>
          </w:tcPr>
          <w:p>
            <w:pPr>
              <w:spacing w:after="0"/>
              <w:rPr>
                <w:rFonts w:ascii="Arial" w:cs="Arial" w:eastAsia="Arial" w:hAnsi="Arial"/>
                <w:sz w:val="17"/>
                <w:szCs w:val="17"/>
                <w:color w:val="0000FF"/>
              </w:rPr>
            </w:pPr>
            <w:hyperlink r:id="rId166">
              <w:r>
                <w:rPr>
                  <w:rFonts w:ascii="Arial" w:cs="Arial" w:eastAsia="Arial" w:hAnsi="Arial"/>
                  <w:sz w:val="17"/>
                  <w:szCs w:val="17"/>
                  <w:color w:val="0000FF"/>
                </w:rPr>
                <w:t>Severance &amp; Change in Control Agreement, by and</w:t>
              </w:r>
            </w:hyperlink>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3920" w:type="dxa"/>
            <w:vAlign w:val="bottom"/>
            <w:tcBorders>
              <w:top w:val="single" w:sz="8" w:color="0000FF"/>
            </w:tcBorders>
            <w:gridSpan w:val="11"/>
          </w:tcPr>
          <w:p>
            <w:pPr>
              <w:ind w:left="60"/>
              <w:spacing w:after="0" w:line="148" w:lineRule="exact"/>
              <w:rPr>
                <w:rFonts w:ascii="Arial" w:cs="Arial" w:eastAsia="Arial" w:hAnsi="Arial"/>
                <w:sz w:val="17"/>
                <w:szCs w:val="17"/>
                <w:color w:val="0000FF"/>
              </w:rPr>
            </w:pPr>
            <w:hyperlink r:id="rId166">
              <w:r>
                <w:rPr>
                  <w:rFonts w:ascii="Arial" w:cs="Arial" w:eastAsia="Arial" w:hAnsi="Arial"/>
                  <w:sz w:val="17"/>
                  <w:szCs w:val="17"/>
                  <w:color w:val="0000FF"/>
                </w:rPr>
                <w:t>the Registrant and Matthew R. Moore.</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0" w:type="dxa"/>
            <w:vAlign w:val="bottom"/>
          </w:tcPr>
          <w:p>
            <w:pPr>
              <w:spacing w:after="0"/>
              <w:rPr>
                <w:sz w:val="20"/>
                <w:szCs w:val="20"/>
                <w:color w:val="auto"/>
              </w:rPr>
            </w:pPr>
            <w:r>
              <w:rPr>
                <w:rFonts w:ascii="Arial" w:cs="Arial" w:eastAsia="Arial" w:hAnsi="Arial"/>
                <w:sz w:val="17"/>
                <w:szCs w:val="17"/>
                <w:color w:val="auto"/>
              </w:rPr>
              <w:t>10.26†^</w:t>
            </w:r>
          </w:p>
        </w:tc>
        <w:tc>
          <w:tcPr>
            <w:tcW w:w="640" w:type="dxa"/>
            <w:vAlign w:val="bottom"/>
            <w:gridSpan w:val="3"/>
            <w:vMerge w:val="restart"/>
          </w:tcPr>
          <w:p>
            <w:pPr>
              <w:spacing w:after="0"/>
              <w:rPr>
                <w:rFonts w:ascii="Arial" w:cs="Arial" w:eastAsia="Arial" w:hAnsi="Arial"/>
                <w:sz w:val="17"/>
                <w:szCs w:val="17"/>
                <w:color w:val="0000FF"/>
                <w:w w:val="93"/>
              </w:rPr>
            </w:pPr>
            <w:hyperlink r:id="rId167">
              <w:r>
                <w:rPr>
                  <w:rFonts w:ascii="Arial" w:cs="Arial" w:eastAsia="Arial" w:hAnsi="Arial"/>
                  <w:sz w:val="17"/>
                  <w:szCs w:val="17"/>
                  <w:color w:val="0000FF"/>
                  <w:w w:val="93"/>
                </w:rPr>
                <w:t>between</w:t>
              </w:r>
            </w:hyperlink>
          </w:p>
        </w:tc>
        <w:tc>
          <w:tcPr>
            <w:tcW w:w="4480" w:type="dxa"/>
            <w:vAlign w:val="bottom"/>
            <w:gridSpan w:val="27"/>
          </w:tcPr>
          <w:p>
            <w:pPr>
              <w:spacing w:after="0"/>
              <w:rPr>
                <w:rFonts w:ascii="Arial" w:cs="Arial" w:eastAsia="Arial" w:hAnsi="Arial"/>
                <w:sz w:val="17"/>
                <w:szCs w:val="17"/>
                <w:color w:val="0000FF"/>
              </w:rPr>
            </w:pPr>
            <w:hyperlink r:id="rId167">
              <w:r>
                <w:rPr>
                  <w:rFonts w:ascii="Arial" w:cs="Arial" w:eastAsia="Arial" w:hAnsi="Arial"/>
                  <w:sz w:val="17"/>
                  <w:szCs w:val="17"/>
                  <w:color w:val="0000FF"/>
                </w:rPr>
                <w:t>Supply Agreement, dated November 24, 2020, by and</w:t>
              </w:r>
            </w:hyperlink>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4100" w:type="dxa"/>
            <w:vAlign w:val="bottom"/>
            <w:tcBorders>
              <w:top w:val="single" w:sz="8" w:color="0000FF"/>
            </w:tcBorders>
            <w:gridSpan w:val="16"/>
          </w:tcPr>
          <w:p>
            <w:pPr>
              <w:ind w:left="60"/>
              <w:spacing w:after="0" w:line="148" w:lineRule="exact"/>
              <w:rPr>
                <w:rFonts w:ascii="Arial" w:cs="Arial" w:eastAsia="Arial" w:hAnsi="Arial"/>
                <w:sz w:val="17"/>
                <w:szCs w:val="17"/>
                <w:color w:val="0000FF"/>
              </w:rPr>
            </w:pPr>
            <w:hyperlink r:id="rId167">
              <w:r>
                <w:rPr>
                  <w:rFonts w:ascii="Arial" w:cs="Arial" w:eastAsia="Arial" w:hAnsi="Arial"/>
                  <w:sz w:val="17"/>
                  <w:szCs w:val="17"/>
                  <w:color w:val="0000FF"/>
                </w:rPr>
                <w:t>Registrant and Interquim, S.A.</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0" w:type="dxa"/>
            <w:vAlign w:val="bottom"/>
          </w:tcPr>
          <w:p>
            <w:pPr>
              <w:spacing w:after="0"/>
              <w:rPr>
                <w:sz w:val="20"/>
                <w:szCs w:val="20"/>
                <w:color w:val="auto"/>
              </w:rPr>
            </w:pPr>
            <w:r>
              <w:rPr>
                <w:rFonts w:ascii="Arial" w:cs="Arial" w:eastAsia="Arial" w:hAnsi="Arial"/>
                <w:sz w:val="17"/>
                <w:szCs w:val="17"/>
                <w:color w:val="auto"/>
              </w:rPr>
              <w:t>10.27†^</w:t>
            </w:r>
          </w:p>
        </w:tc>
        <w:tc>
          <w:tcPr>
            <w:tcW w:w="640" w:type="dxa"/>
            <w:vAlign w:val="bottom"/>
            <w:gridSpan w:val="3"/>
            <w:vMerge w:val="restart"/>
          </w:tcPr>
          <w:p>
            <w:pPr>
              <w:spacing w:after="0"/>
              <w:rPr>
                <w:rFonts w:ascii="Arial" w:cs="Arial" w:eastAsia="Arial" w:hAnsi="Arial"/>
                <w:sz w:val="17"/>
                <w:szCs w:val="17"/>
                <w:color w:val="0000FF"/>
              </w:rPr>
            </w:pPr>
            <w:hyperlink r:id="rId168">
              <w:r>
                <w:rPr>
                  <w:rFonts w:ascii="Arial" w:cs="Arial" w:eastAsia="Arial" w:hAnsi="Arial"/>
                  <w:sz w:val="17"/>
                  <w:szCs w:val="17"/>
                  <w:color w:val="0000FF"/>
                </w:rPr>
                <w:t>by and</w:t>
              </w:r>
            </w:hyperlink>
          </w:p>
        </w:tc>
        <w:tc>
          <w:tcPr>
            <w:tcW w:w="4480" w:type="dxa"/>
            <w:vAlign w:val="bottom"/>
            <w:gridSpan w:val="27"/>
          </w:tcPr>
          <w:p>
            <w:pPr>
              <w:spacing w:after="0"/>
              <w:rPr>
                <w:rFonts w:ascii="Arial" w:cs="Arial" w:eastAsia="Arial" w:hAnsi="Arial"/>
                <w:sz w:val="17"/>
                <w:szCs w:val="17"/>
                <w:color w:val="0000FF"/>
              </w:rPr>
            </w:pPr>
            <w:hyperlink r:id="rId168">
              <w:r>
                <w:rPr>
                  <w:rFonts w:ascii="Arial" w:cs="Arial" w:eastAsia="Arial" w:hAnsi="Arial"/>
                  <w:sz w:val="17"/>
                  <w:szCs w:val="17"/>
                  <w:color w:val="0000FF"/>
                </w:rPr>
                <w:t>Exclusive Distribution Agreement, dated February 8, 2021,</w:t>
              </w:r>
            </w:hyperlink>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4460" w:type="dxa"/>
            <w:vAlign w:val="bottom"/>
            <w:tcBorders>
              <w:top w:val="single" w:sz="8" w:color="0000FF"/>
            </w:tcBorders>
            <w:gridSpan w:val="26"/>
          </w:tcPr>
          <w:p>
            <w:pPr>
              <w:spacing w:after="0" w:line="148" w:lineRule="exact"/>
              <w:rPr>
                <w:rFonts w:ascii="Arial" w:cs="Arial" w:eastAsia="Arial" w:hAnsi="Arial"/>
                <w:sz w:val="17"/>
                <w:szCs w:val="17"/>
                <w:color w:val="0000FF"/>
              </w:rPr>
            </w:pPr>
            <w:hyperlink r:id="rId168">
              <w:r>
                <w:rPr>
                  <w:rFonts w:ascii="Arial" w:cs="Arial" w:eastAsia="Arial" w:hAnsi="Arial"/>
                  <w:sz w:val="17"/>
                  <w:szCs w:val="17"/>
                  <w:color w:val="0000FF"/>
                </w:rPr>
                <w:t>between the Registrant and Cardinal Health 105, Inc.</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0" w:type="dxa"/>
            <w:vAlign w:val="bottom"/>
          </w:tcPr>
          <w:p>
            <w:pPr>
              <w:spacing w:after="0"/>
              <w:rPr>
                <w:sz w:val="20"/>
                <w:szCs w:val="20"/>
                <w:color w:val="auto"/>
              </w:rPr>
            </w:pPr>
            <w:r>
              <w:rPr>
                <w:rFonts w:ascii="Arial" w:cs="Arial" w:eastAsia="Arial" w:hAnsi="Arial"/>
                <w:sz w:val="17"/>
                <w:szCs w:val="17"/>
                <w:color w:val="auto"/>
              </w:rPr>
              <w:t>10.28#</w:t>
            </w:r>
          </w:p>
        </w:tc>
        <w:tc>
          <w:tcPr>
            <w:tcW w:w="640" w:type="dxa"/>
            <w:vAlign w:val="bottom"/>
            <w:gridSpan w:val="3"/>
            <w:vMerge w:val="restart"/>
          </w:tcPr>
          <w:p>
            <w:pPr>
              <w:spacing w:after="0"/>
              <w:rPr>
                <w:rFonts w:ascii="Arial" w:cs="Arial" w:eastAsia="Arial" w:hAnsi="Arial"/>
                <w:sz w:val="17"/>
                <w:szCs w:val="17"/>
                <w:color w:val="0000FF"/>
                <w:w w:val="93"/>
              </w:rPr>
            </w:pPr>
            <w:hyperlink r:id="rId169">
              <w:r>
                <w:rPr>
                  <w:rFonts w:ascii="Arial" w:cs="Arial" w:eastAsia="Arial" w:hAnsi="Arial"/>
                  <w:sz w:val="17"/>
                  <w:szCs w:val="17"/>
                  <w:color w:val="0000FF"/>
                  <w:w w:val="93"/>
                </w:rPr>
                <w:t>between</w:t>
              </w:r>
            </w:hyperlink>
          </w:p>
        </w:tc>
        <w:tc>
          <w:tcPr>
            <w:tcW w:w="4480" w:type="dxa"/>
            <w:vAlign w:val="bottom"/>
            <w:gridSpan w:val="27"/>
          </w:tcPr>
          <w:p>
            <w:pPr>
              <w:spacing w:after="0"/>
              <w:rPr>
                <w:rFonts w:ascii="Arial" w:cs="Arial" w:eastAsia="Arial" w:hAnsi="Arial"/>
                <w:sz w:val="17"/>
                <w:szCs w:val="17"/>
                <w:color w:val="0000FF"/>
              </w:rPr>
            </w:pPr>
            <w:hyperlink r:id="rId169">
              <w:r>
                <w:rPr>
                  <w:rFonts w:ascii="Arial" w:cs="Arial" w:eastAsia="Arial" w:hAnsi="Arial"/>
                  <w:sz w:val="17"/>
                  <w:szCs w:val="17"/>
                  <w:color w:val="0000FF"/>
                </w:rPr>
                <w:t>Severance &amp; Change in Control Agreement, by and</w:t>
              </w:r>
            </w:hyperlink>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3920" w:type="dxa"/>
            <w:vAlign w:val="bottom"/>
            <w:tcBorders>
              <w:top w:val="single" w:sz="8" w:color="0000FF"/>
            </w:tcBorders>
            <w:gridSpan w:val="11"/>
          </w:tcPr>
          <w:p>
            <w:pPr>
              <w:ind w:left="60"/>
              <w:spacing w:after="0" w:line="148" w:lineRule="exact"/>
              <w:rPr>
                <w:rFonts w:ascii="Arial" w:cs="Arial" w:eastAsia="Arial" w:hAnsi="Arial"/>
                <w:sz w:val="17"/>
                <w:szCs w:val="17"/>
                <w:color w:val="0000FF"/>
              </w:rPr>
            </w:pPr>
            <w:hyperlink r:id="rId169">
              <w:r>
                <w:rPr>
                  <w:rFonts w:ascii="Arial" w:cs="Arial" w:eastAsia="Arial" w:hAnsi="Arial"/>
                  <w:sz w:val="17"/>
                  <w:szCs w:val="17"/>
                  <w:color w:val="0000FF"/>
                </w:rPr>
                <w:t>the Registrant and Scott L. Burrows.</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0" w:type="dxa"/>
            <w:vAlign w:val="bottom"/>
          </w:tcPr>
          <w:p>
            <w:pPr>
              <w:spacing w:after="0"/>
              <w:rPr>
                <w:sz w:val="20"/>
                <w:szCs w:val="20"/>
                <w:color w:val="auto"/>
              </w:rPr>
            </w:pPr>
            <w:r>
              <w:rPr>
                <w:rFonts w:ascii="Arial" w:cs="Arial" w:eastAsia="Arial" w:hAnsi="Arial"/>
                <w:sz w:val="17"/>
                <w:szCs w:val="17"/>
                <w:color w:val="auto"/>
              </w:rPr>
              <w:t>10.29</w:t>
            </w:r>
          </w:p>
        </w:tc>
        <w:tc>
          <w:tcPr>
            <w:tcW w:w="640" w:type="dxa"/>
            <w:vAlign w:val="bottom"/>
            <w:gridSpan w:val="3"/>
            <w:vMerge w:val="restart"/>
          </w:tcPr>
          <w:p>
            <w:pPr>
              <w:spacing w:after="0"/>
              <w:rPr>
                <w:rFonts w:ascii="Arial" w:cs="Arial" w:eastAsia="Arial" w:hAnsi="Arial"/>
                <w:sz w:val="17"/>
                <w:szCs w:val="17"/>
                <w:color w:val="0000FF"/>
                <w:w w:val="77"/>
              </w:rPr>
            </w:pPr>
            <w:hyperlink r:id="rId170">
              <w:r>
                <w:rPr>
                  <w:rFonts w:ascii="Arial" w:cs="Arial" w:eastAsia="Arial" w:hAnsi="Arial"/>
                  <w:sz w:val="17"/>
                  <w:szCs w:val="17"/>
                  <w:color w:val="0000FF"/>
                  <w:w w:val="77"/>
                </w:rPr>
                <w:t>Registrant</w:t>
              </w:r>
            </w:hyperlink>
          </w:p>
        </w:tc>
        <w:tc>
          <w:tcPr>
            <w:tcW w:w="4480" w:type="dxa"/>
            <w:vAlign w:val="bottom"/>
            <w:gridSpan w:val="27"/>
          </w:tcPr>
          <w:p>
            <w:pPr>
              <w:spacing w:after="0"/>
              <w:rPr>
                <w:rFonts w:ascii="Arial" w:cs="Arial" w:eastAsia="Arial" w:hAnsi="Arial"/>
                <w:sz w:val="17"/>
                <w:szCs w:val="17"/>
                <w:color w:val="0000FF"/>
              </w:rPr>
            </w:pPr>
            <w:hyperlink r:id="rId170">
              <w:r>
                <w:rPr>
                  <w:rFonts w:ascii="Arial" w:cs="Arial" w:eastAsia="Arial" w:hAnsi="Arial"/>
                  <w:sz w:val="17"/>
                  <w:szCs w:val="17"/>
                  <w:color w:val="0000FF"/>
                </w:rPr>
                <w:t>Sales Agreement, dated May 6, 2021, by and between the</w:t>
              </w:r>
            </w:hyperlink>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4440" w:type="dxa"/>
            <w:vAlign w:val="bottom"/>
            <w:tcBorders>
              <w:top w:val="single" w:sz="8" w:color="0000FF"/>
            </w:tcBorders>
            <w:gridSpan w:val="25"/>
          </w:tcPr>
          <w:p>
            <w:pPr>
              <w:ind w:left="200"/>
              <w:spacing w:after="0" w:line="148" w:lineRule="exact"/>
              <w:rPr>
                <w:rFonts w:ascii="Arial" w:cs="Arial" w:eastAsia="Arial" w:hAnsi="Arial"/>
                <w:sz w:val="17"/>
                <w:szCs w:val="17"/>
                <w:color w:val="0000FF"/>
              </w:rPr>
            </w:pPr>
            <w:hyperlink r:id="rId170">
              <w:r>
                <w:rPr>
                  <w:rFonts w:ascii="Arial" w:cs="Arial" w:eastAsia="Arial" w:hAnsi="Arial"/>
                  <w:sz w:val="17"/>
                  <w:szCs w:val="17"/>
                  <w:color w:val="0000FF"/>
                </w:rPr>
                <w:t>and Cowen and Company, LLC.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40" w:type="dxa"/>
            <w:vAlign w:val="bottom"/>
            <w:tcBorders>
              <w:left w:val="single" w:sz="8" w:color="0000FF"/>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0" w:type="dxa"/>
            <w:vAlign w:val="bottom"/>
          </w:tcPr>
          <w:p>
            <w:pPr>
              <w:spacing w:after="0"/>
              <w:rPr>
                <w:sz w:val="20"/>
                <w:szCs w:val="20"/>
                <w:color w:val="auto"/>
              </w:rPr>
            </w:pPr>
            <w:r>
              <w:rPr>
                <w:rFonts w:ascii="Arial" w:cs="Arial" w:eastAsia="Arial" w:hAnsi="Arial"/>
                <w:sz w:val="17"/>
                <w:szCs w:val="17"/>
                <w:color w:val="auto"/>
              </w:rPr>
              <w:t>10.30†</w:t>
            </w:r>
          </w:p>
        </w:tc>
        <w:tc>
          <w:tcPr>
            <w:tcW w:w="640" w:type="dxa"/>
            <w:vAlign w:val="bottom"/>
            <w:gridSpan w:val="3"/>
            <w:vMerge w:val="restart"/>
          </w:tcPr>
          <w:p>
            <w:pPr>
              <w:spacing w:after="0"/>
              <w:rPr>
                <w:rFonts w:ascii="Arial" w:cs="Arial" w:eastAsia="Arial" w:hAnsi="Arial"/>
                <w:sz w:val="17"/>
                <w:szCs w:val="17"/>
                <w:color w:val="0000FF"/>
                <w:w w:val="84"/>
              </w:rPr>
            </w:pPr>
            <w:hyperlink r:id="rId171">
              <w:r>
                <w:rPr>
                  <w:rFonts w:ascii="Arial" w:cs="Arial" w:eastAsia="Arial" w:hAnsi="Arial"/>
                  <w:sz w:val="17"/>
                  <w:szCs w:val="17"/>
                  <w:color w:val="0000FF"/>
                  <w:w w:val="84"/>
                </w:rPr>
                <w:t>15, 2021,</w:t>
              </w:r>
            </w:hyperlink>
          </w:p>
        </w:tc>
        <w:tc>
          <w:tcPr>
            <w:tcW w:w="4480" w:type="dxa"/>
            <w:vAlign w:val="bottom"/>
            <w:gridSpan w:val="27"/>
          </w:tcPr>
          <w:p>
            <w:pPr>
              <w:spacing w:after="0"/>
              <w:rPr>
                <w:rFonts w:ascii="Arial" w:cs="Arial" w:eastAsia="Arial" w:hAnsi="Arial"/>
                <w:sz w:val="17"/>
                <w:szCs w:val="17"/>
                <w:color w:val="0000FF"/>
              </w:rPr>
            </w:pPr>
            <w:hyperlink r:id="rId171">
              <w:r>
                <w:rPr>
                  <w:rFonts w:ascii="Arial" w:cs="Arial" w:eastAsia="Arial" w:hAnsi="Arial"/>
                  <w:sz w:val="17"/>
                  <w:szCs w:val="17"/>
                  <w:color w:val="0000FF"/>
                </w:rPr>
                <w:t>Supply and Manufacturing Agreement, dated September</w:t>
              </w:r>
            </w:hyperlink>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4300" w:type="dxa"/>
            <w:vAlign w:val="bottom"/>
            <w:tcBorders>
              <w:top w:val="single" w:sz="8" w:color="0000FF"/>
            </w:tcBorders>
            <w:gridSpan w:val="21"/>
          </w:tcPr>
          <w:p>
            <w:pPr>
              <w:ind w:left="140"/>
              <w:spacing w:after="0" w:line="148" w:lineRule="exact"/>
              <w:rPr>
                <w:rFonts w:ascii="Arial" w:cs="Arial" w:eastAsia="Arial" w:hAnsi="Arial"/>
                <w:sz w:val="17"/>
                <w:szCs w:val="17"/>
                <w:color w:val="0000FF"/>
              </w:rPr>
            </w:pPr>
            <w:hyperlink r:id="rId171">
              <w:r>
                <w:rPr>
                  <w:rFonts w:ascii="Arial" w:cs="Arial" w:eastAsia="Arial" w:hAnsi="Arial"/>
                  <w:sz w:val="17"/>
                  <w:szCs w:val="17"/>
                  <w:color w:val="0000FF"/>
                </w:rPr>
                <w:t>between DPT Laboratories, Ltd. and the Registrant.</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40" w:type="dxa"/>
            <w:vAlign w:val="bottom"/>
            <w:tcBorders>
              <w:left w:val="single" w:sz="8" w:color="0000FF"/>
            </w:tcBorders>
            <w:gridSpan w:val="5"/>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0" w:type="dxa"/>
            <w:vAlign w:val="bottom"/>
          </w:tcPr>
          <w:p>
            <w:pPr>
              <w:spacing w:after="0"/>
              <w:rPr>
                <w:sz w:val="20"/>
                <w:szCs w:val="20"/>
                <w:color w:val="auto"/>
              </w:rPr>
            </w:pPr>
            <w:r>
              <w:rPr>
                <w:rFonts w:ascii="Arial" w:cs="Arial" w:eastAsia="Arial" w:hAnsi="Arial"/>
                <w:sz w:val="17"/>
                <w:szCs w:val="17"/>
                <w:color w:val="auto"/>
              </w:rPr>
              <w:t>10.31#</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80" w:type="dxa"/>
            <w:vAlign w:val="bottom"/>
            <w:gridSpan w:val="27"/>
          </w:tcPr>
          <w:p>
            <w:pPr>
              <w:spacing w:after="0"/>
              <w:rPr>
                <w:rFonts w:ascii="Arial" w:cs="Arial" w:eastAsia="Arial" w:hAnsi="Arial"/>
                <w:sz w:val="17"/>
                <w:szCs w:val="17"/>
                <w:color w:val="0000FF"/>
              </w:rPr>
            </w:pPr>
            <w:hyperlink w:anchor="page183">
              <w:r>
                <w:rPr>
                  <w:rFonts w:ascii="Arial" w:cs="Arial" w:eastAsia="Arial" w:hAnsi="Arial"/>
                  <w:sz w:val="17"/>
                  <w:szCs w:val="17"/>
                  <w:color w:val="0000FF"/>
                </w:rPr>
                <w:t>Offer Letter, dated December 13, 2021, by and between</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40" w:type="dxa"/>
            <w:vAlign w:val="bottom"/>
            <w:tcBorders>
              <w:left w:val="single" w:sz="8" w:color="0000FF"/>
            </w:tcBorders>
            <w:gridSpan w:val="5"/>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0" w:type="dxa"/>
            <w:vAlign w:val="bottom"/>
          </w:tcPr>
          <w:p>
            <w:pPr>
              <w:spacing w:after="0"/>
              <w:rPr>
                <w:sz w:val="12"/>
                <w:szCs w:val="12"/>
                <w:color w:val="auto"/>
              </w:rPr>
            </w:pPr>
          </w:p>
        </w:tc>
        <w:tc>
          <w:tcPr>
            <w:tcW w:w="4880" w:type="dxa"/>
            <w:vAlign w:val="bottom"/>
            <w:gridSpan w:val="22"/>
          </w:tcPr>
          <w:p>
            <w:pPr>
              <w:spacing w:after="0" w:line="148" w:lineRule="exact"/>
              <w:rPr>
                <w:rFonts w:ascii="Arial" w:cs="Arial" w:eastAsia="Arial" w:hAnsi="Arial"/>
                <w:sz w:val="17"/>
                <w:szCs w:val="17"/>
                <w:color w:val="0000FF"/>
              </w:rPr>
            </w:pPr>
            <w:hyperlink w:anchor="page183">
              <w:r>
                <w:rPr>
                  <w:rFonts w:ascii="Arial" w:cs="Arial" w:eastAsia="Arial" w:hAnsi="Arial"/>
                  <w:sz w:val="17"/>
                  <w:szCs w:val="17"/>
                  <w:color w:val="0000FF"/>
                </w:rPr>
                <w:t>the Registrant and Mas Matsuda.</w:t>
              </w:r>
            </w:hyperlink>
          </w:p>
        </w:tc>
        <w:tc>
          <w:tcPr>
            <w:tcW w:w="20" w:type="dxa"/>
            <w:vAlign w:val="bottom"/>
            <w:vMerge w:val="continue"/>
          </w:tcPr>
          <w:p>
            <w:pPr>
              <w:spacing w:after="0"/>
              <w:rPr>
                <w:sz w:val="12"/>
                <w:szCs w:val="12"/>
                <w:color w:val="auto"/>
              </w:rPr>
            </w:pPr>
          </w:p>
        </w:tc>
        <w:tc>
          <w:tcPr>
            <w:tcW w:w="8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0" w:type="dxa"/>
            <w:vAlign w:val="bottom"/>
          </w:tcPr>
          <w:p>
            <w:pPr>
              <w:spacing w:after="0"/>
              <w:rPr>
                <w:sz w:val="20"/>
                <w:szCs w:val="20"/>
                <w:color w:val="auto"/>
              </w:rPr>
            </w:pPr>
            <w:r>
              <w:rPr>
                <w:rFonts w:ascii="Arial" w:cs="Arial" w:eastAsia="Arial" w:hAnsi="Arial"/>
                <w:sz w:val="17"/>
                <w:szCs w:val="17"/>
                <w:color w:val="auto"/>
              </w:rPr>
              <w:t>10.32#</w:t>
            </w:r>
          </w:p>
        </w:tc>
        <w:tc>
          <w:tcPr>
            <w:tcW w:w="640" w:type="dxa"/>
            <w:vAlign w:val="bottom"/>
            <w:gridSpan w:val="3"/>
            <w:vMerge w:val="restart"/>
          </w:tcPr>
          <w:p>
            <w:pPr>
              <w:spacing w:after="0"/>
              <w:rPr>
                <w:rFonts w:ascii="Arial" w:cs="Arial" w:eastAsia="Arial" w:hAnsi="Arial"/>
                <w:sz w:val="17"/>
                <w:szCs w:val="17"/>
                <w:color w:val="0000FF"/>
                <w:w w:val="93"/>
              </w:rPr>
            </w:pPr>
            <w:hyperlink w:anchor="page189">
              <w:r>
                <w:rPr>
                  <w:rFonts w:ascii="Arial" w:cs="Arial" w:eastAsia="Arial" w:hAnsi="Arial"/>
                  <w:sz w:val="17"/>
                  <w:szCs w:val="17"/>
                  <w:color w:val="0000FF"/>
                  <w:w w:val="93"/>
                </w:rPr>
                <w:t>between</w:t>
              </w:r>
            </w:hyperlink>
          </w:p>
        </w:tc>
        <w:tc>
          <w:tcPr>
            <w:tcW w:w="4480" w:type="dxa"/>
            <w:vAlign w:val="bottom"/>
            <w:gridSpan w:val="27"/>
          </w:tcPr>
          <w:p>
            <w:pPr>
              <w:spacing w:after="0"/>
              <w:rPr>
                <w:rFonts w:ascii="Arial" w:cs="Arial" w:eastAsia="Arial" w:hAnsi="Arial"/>
                <w:sz w:val="17"/>
                <w:szCs w:val="17"/>
                <w:color w:val="0000FF"/>
              </w:rPr>
            </w:pPr>
            <w:hyperlink w:anchor="page189">
              <w:r>
                <w:rPr>
                  <w:rFonts w:ascii="Arial" w:cs="Arial" w:eastAsia="Arial" w:hAnsi="Arial"/>
                  <w:sz w:val="17"/>
                  <w:szCs w:val="17"/>
                  <w:color w:val="0000FF"/>
                </w:rPr>
                <w:t>Severance &amp; Change in Control Agreement, by and</w:t>
              </w:r>
            </w:hyperlink>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3920" w:type="dxa"/>
            <w:vAlign w:val="bottom"/>
            <w:tcBorders>
              <w:top w:val="single" w:sz="8" w:color="0000FF"/>
            </w:tcBorders>
            <w:gridSpan w:val="11"/>
          </w:tcPr>
          <w:p>
            <w:pPr>
              <w:ind w:left="60"/>
              <w:spacing w:after="0" w:line="148" w:lineRule="exact"/>
              <w:rPr>
                <w:rFonts w:ascii="Arial" w:cs="Arial" w:eastAsia="Arial" w:hAnsi="Arial"/>
                <w:sz w:val="17"/>
                <w:szCs w:val="17"/>
                <w:color w:val="0000FF"/>
              </w:rPr>
            </w:pPr>
            <w:hyperlink w:anchor="page189">
              <w:r>
                <w:rPr>
                  <w:rFonts w:ascii="Arial" w:cs="Arial" w:eastAsia="Arial" w:hAnsi="Arial"/>
                  <w:sz w:val="17"/>
                  <w:szCs w:val="17"/>
                  <w:color w:val="0000FF"/>
                </w:rPr>
                <w:t>the Registrant and Mas Matsuda.</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0" w:type="dxa"/>
            <w:vAlign w:val="bottom"/>
          </w:tcPr>
          <w:p>
            <w:pPr>
              <w:spacing w:after="0"/>
              <w:rPr>
                <w:sz w:val="20"/>
                <w:szCs w:val="20"/>
                <w:color w:val="auto"/>
              </w:rPr>
            </w:pPr>
            <w:r>
              <w:rPr>
                <w:rFonts w:ascii="Arial" w:cs="Arial" w:eastAsia="Arial" w:hAnsi="Arial"/>
                <w:sz w:val="17"/>
                <w:szCs w:val="17"/>
                <w:color w:val="auto"/>
              </w:rPr>
              <w:t>10.33^</w:t>
            </w:r>
          </w:p>
        </w:tc>
        <w:tc>
          <w:tcPr>
            <w:tcW w:w="640" w:type="dxa"/>
            <w:vAlign w:val="bottom"/>
            <w:gridSpan w:val="3"/>
            <w:vMerge w:val="restart"/>
          </w:tcPr>
          <w:p>
            <w:pPr>
              <w:spacing w:after="0"/>
              <w:rPr>
                <w:rFonts w:ascii="Arial" w:cs="Arial" w:eastAsia="Arial" w:hAnsi="Arial"/>
                <w:sz w:val="17"/>
                <w:szCs w:val="17"/>
                <w:color w:val="0000FF"/>
              </w:rPr>
            </w:pPr>
            <w:hyperlink w:anchor="page197">
              <w:r>
                <w:rPr>
                  <w:rFonts w:ascii="Arial" w:cs="Arial" w:eastAsia="Arial" w:hAnsi="Arial"/>
                  <w:sz w:val="17"/>
                  <w:szCs w:val="17"/>
                  <w:color w:val="0000FF"/>
                </w:rPr>
                <w:t>by and</w:t>
              </w:r>
            </w:hyperlink>
          </w:p>
        </w:tc>
        <w:tc>
          <w:tcPr>
            <w:tcW w:w="4480" w:type="dxa"/>
            <w:vAlign w:val="bottom"/>
            <w:gridSpan w:val="27"/>
          </w:tcPr>
          <w:p>
            <w:pPr>
              <w:spacing w:after="0"/>
              <w:rPr>
                <w:rFonts w:ascii="Arial" w:cs="Arial" w:eastAsia="Arial" w:hAnsi="Arial"/>
                <w:sz w:val="17"/>
                <w:szCs w:val="17"/>
                <w:color w:val="0000FF"/>
              </w:rPr>
            </w:pPr>
            <w:hyperlink w:anchor="page197">
              <w:r>
                <w:rPr>
                  <w:rFonts w:ascii="Arial" w:cs="Arial" w:eastAsia="Arial" w:hAnsi="Arial"/>
                  <w:sz w:val="17"/>
                  <w:szCs w:val="17"/>
                  <w:color w:val="0000FF"/>
                </w:rPr>
                <w:t>Loan and Security Agreement, dated December 22, 2021,</w:t>
              </w:r>
            </w:hyperlink>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4400" w:type="dxa"/>
            <w:vAlign w:val="bottom"/>
            <w:tcBorders>
              <w:top w:val="single" w:sz="8" w:color="0000FF"/>
            </w:tcBorders>
            <w:gridSpan w:val="24"/>
          </w:tcPr>
          <w:p>
            <w:pPr>
              <w:spacing w:after="0" w:line="148" w:lineRule="exact"/>
              <w:rPr>
                <w:rFonts w:ascii="Arial" w:cs="Arial" w:eastAsia="Arial" w:hAnsi="Arial"/>
                <w:sz w:val="17"/>
                <w:szCs w:val="17"/>
                <w:color w:val="0000FF"/>
              </w:rPr>
            </w:pPr>
            <w:hyperlink w:anchor="page197">
              <w:r>
                <w:rPr>
                  <w:rFonts w:ascii="Arial" w:cs="Arial" w:eastAsia="Arial" w:hAnsi="Arial"/>
                  <w:sz w:val="17"/>
                  <w:szCs w:val="17"/>
                  <w:color w:val="0000FF"/>
                </w:rPr>
                <w:t>among the Registrant, SLR Investment Corp. and the</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9"/>
              </w:rPr>
            </w:pPr>
            <w:hyperlink w:anchor="page197">
              <w:r>
                <w:rPr>
                  <w:rFonts w:ascii="Arial" w:cs="Arial" w:eastAsia="Arial" w:hAnsi="Arial"/>
                  <w:sz w:val="17"/>
                  <w:szCs w:val="17"/>
                  <w:color w:val="0000FF"/>
                  <w:w w:val="99"/>
                </w:rPr>
                <w:t>lenders party thereto.</w:t>
              </w:r>
            </w:hyperlink>
          </w:p>
        </w:tc>
        <w:tc>
          <w:tcPr>
            <w:tcW w:w="3000" w:type="dxa"/>
            <w:vAlign w:val="bottom"/>
            <w:tcBorders>
              <w:top w:val="single" w:sz="8" w:color="0000FF"/>
            </w:tcBorders>
            <w:gridSpan w:val="11"/>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20" w:type="dxa"/>
            <w:vAlign w:val="bottom"/>
          </w:tcPr>
          <w:p>
            <w:pPr>
              <w:spacing w:after="0"/>
              <w:rPr>
                <w:sz w:val="20"/>
                <w:szCs w:val="20"/>
                <w:color w:val="auto"/>
              </w:rPr>
            </w:pPr>
            <w:r>
              <w:rPr>
                <w:rFonts w:ascii="Arial" w:cs="Arial" w:eastAsia="Arial" w:hAnsi="Arial"/>
                <w:sz w:val="17"/>
                <w:szCs w:val="17"/>
                <w:color w:val="auto"/>
              </w:rPr>
              <w:t>23.1</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80" w:type="dxa"/>
            <w:vAlign w:val="bottom"/>
            <w:gridSpan w:val="27"/>
          </w:tcPr>
          <w:p>
            <w:pPr>
              <w:spacing w:after="0"/>
              <w:rPr>
                <w:rFonts w:ascii="Arial" w:cs="Arial" w:eastAsia="Arial" w:hAnsi="Arial"/>
                <w:sz w:val="17"/>
                <w:szCs w:val="17"/>
                <w:color w:val="0000FF"/>
              </w:rPr>
            </w:pPr>
            <w:hyperlink w:anchor="page275">
              <w:r>
                <w:rPr>
                  <w:rFonts w:ascii="Arial" w:cs="Arial" w:eastAsia="Arial" w:hAnsi="Arial"/>
                  <w:sz w:val="17"/>
                  <w:szCs w:val="17"/>
                  <w:color w:val="0000FF"/>
                </w:rPr>
                <w:t>Consent of Independent Registered Public Accounting</w:t>
              </w:r>
            </w:hyperlink>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40" w:type="dxa"/>
            <w:vAlign w:val="bottom"/>
            <w:gridSpan w:val="3"/>
          </w:tcPr>
          <w:p>
            <w:pPr>
              <w:spacing w:after="0" w:line="149" w:lineRule="exact"/>
              <w:rPr>
                <w:rFonts w:ascii="Arial" w:cs="Arial" w:eastAsia="Arial" w:hAnsi="Arial"/>
                <w:sz w:val="17"/>
                <w:szCs w:val="17"/>
                <w:color w:val="0000FF"/>
              </w:rPr>
            </w:pPr>
            <w:hyperlink w:anchor="page275">
              <w:r>
                <w:rPr>
                  <w:rFonts w:ascii="Arial" w:cs="Arial" w:eastAsia="Arial" w:hAnsi="Arial"/>
                  <w:sz w:val="17"/>
                  <w:szCs w:val="17"/>
                  <w:color w:val="0000FF"/>
                </w:rPr>
                <w:t>Firm.</w:t>
              </w:r>
            </w:hyperlink>
          </w:p>
        </w:tc>
        <w:tc>
          <w:tcPr>
            <w:tcW w:w="78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gridSpan w:val="2"/>
          </w:tcPr>
          <w:p>
            <w:pPr>
              <w:spacing w:after="0"/>
              <w:rPr>
                <w:sz w:val="12"/>
                <w:szCs w:val="12"/>
                <w:color w:val="auto"/>
              </w:rPr>
            </w:pPr>
          </w:p>
        </w:tc>
        <w:tc>
          <w:tcPr>
            <w:tcW w:w="2260" w:type="dxa"/>
            <w:vAlign w:val="bottom"/>
            <w:tcBorders>
              <w:top w:val="single" w:sz="8" w:color="0000FF"/>
            </w:tcBorders>
            <w:gridSpan w:val="9"/>
          </w:tcPr>
          <w:p>
            <w:pPr>
              <w:spacing w:after="0"/>
              <w:rPr>
                <w:sz w:val="12"/>
                <w:szCs w:val="12"/>
                <w:color w:val="auto"/>
              </w:rPr>
            </w:pPr>
          </w:p>
        </w:tc>
        <w:tc>
          <w:tcPr>
            <w:tcW w:w="120" w:type="dxa"/>
            <w:vAlign w:val="bottom"/>
            <w:tcBorders>
              <w:top w:val="single" w:sz="8" w:color="0000FF"/>
            </w:tcBorders>
            <w:gridSpan w:val="2"/>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7"/>
                <w:szCs w:val="17"/>
                <w:color w:val="auto"/>
              </w:rPr>
              <w:t>24.1</w:t>
            </w: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80" w:type="dxa"/>
            <w:vAlign w:val="bottom"/>
            <w:gridSpan w:val="27"/>
            <w:vMerge w:val="restart"/>
          </w:tcPr>
          <w:p>
            <w:pPr>
              <w:spacing w:after="0"/>
              <w:rPr>
                <w:rFonts w:ascii="Arial" w:cs="Arial" w:eastAsia="Arial" w:hAnsi="Arial"/>
                <w:sz w:val="17"/>
                <w:szCs w:val="17"/>
                <w:color w:val="0000FF"/>
              </w:rPr>
            </w:pPr>
            <w:hyperlink w:anchor="page141">
              <w:r>
                <w:rPr>
                  <w:rFonts w:ascii="Arial" w:cs="Arial" w:eastAsia="Arial" w:hAnsi="Arial"/>
                  <w:sz w:val="17"/>
                  <w:szCs w:val="17"/>
                  <w:color w:val="0000FF"/>
                </w:rPr>
                <w:t>Power of Attorney (included in the signature page to this</w:t>
              </w:r>
            </w:hyperlink>
          </w:p>
        </w:tc>
        <w:tc>
          <w:tcPr>
            <w:tcW w:w="0" w:type="dxa"/>
            <w:vAlign w:val="bottom"/>
          </w:tcPr>
          <w:p>
            <w:pPr>
              <w:spacing w:after="0" w:line="20" w:lineRule="exact"/>
              <w:rPr>
                <w:sz w:val="1"/>
                <w:szCs w:val="1"/>
                <w:color w:val="auto"/>
              </w:rPr>
            </w:pPr>
          </w:p>
        </w:tc>
      </w:tr>
      <w:tr>
        <w:trPr>
          <w:trHeight w:val="200"/>
        </w:trPr>
        <w:tc>
          <w:tcPr>
            <w:tcW w:w="820" w:type="dxa"/>
            <w:vAlign w:val="bottom"/>
            <w:vMerge w:val="continue"/>
          </w:tcPr>
          <w:p>
            <w:pPr>
              <w:spacing w:after="0"/>
              <w:rPr>
                <w:sz w:val="17"/>
                <w:szCs w:val="17"/>
                <w:color w:val="auto"/>
              </w:rPr>
            </w:pPr>
          </w:p>
        </w:tc>
        <w:tc>
          <w:tcPr>
            <w:tcW w:w="640" w:type="dxa"/>
            <w:vAlign w:val="bottom"/>
            <w:gridSpan w:val="3"/>
            <w:vMerge w:val="restart"/>
          </w:tcPr>
          <w:p>
            <w:pPr>
              <w:spacing w:after="0"/>
              <w:rPr>
                <w:rFonts w:ascii="Arial" w:cs="Arial" w:eastAsia="Arial" w:hAnsi="Arial"/>
                <w:sz w:val="17"/>
                <w:szCs w:val="17"/>
                <w:color w:val="0000FF"/>
              </w:rPr>
            </w:pPr>
            <w:hyperlink w:anchor="page141">
              <w:r>
                <w:rPr>
                  <w:rFonts w:ascii="Arial" w:cs="Arial" w:eastAsia="Arial" w:hAnsi="Arial"/>
                  <w:sz w:val="17"/>
                  <w:szCs w:val="17"/>
                  <w:color w:val="0000FF"/>
                </w:rPr>
                <w:t>Annual</w:t>
              </w:r>
            </w:hyperlink>
          </w:p>
        </w:tc>
        <w:tc>
          <w:tcPr>
            <w:tcW w:w="4480" w:type="dxa"/>
            <w:vAlign w:val="bottom"/>
            <w:gridSpan w:val="2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4260" w:type="dxa"/>
            <w:vAlign w:val="bottom"/>
            <w:tcBorders>
              <w:top w:val="single" w:sz="8" w:color="0000FF"/>
            </w:tcBorders>
            <w:gridSpan w:val="20"/>
          </w:tcPr>
          <w:p>
            <w:pPr>
              <w:spacing w:after="0" w:line="148" w:lineRule="exact"/>
              <w:rPr>
                <w:rFonts w:ascii="Arial" w:cs="Arial" w:eastAsia="Arial" w:hAnsi="Arial"/>
                <w:sz w:val="17"/>
                <w:szCs w:val="17"/>
                <w:color w:val="0000FF"/>
              </w:rPr>
            </w:pPr>
            <w:hyperlink w:anchor="page141">
              <w:r>
                <w:rPr>
                  <w:rFonts w:ascii="Arial" w:cs="Arial" w:eastAsia="Arial" w:hAnsi="Arial"/>
                  <w:sz w:val="17"/>
                  <w:szCs w:val="17"/>
                  <w:color w:val="0000FF"/>
                </w:rPr>
                <w:t>Report on Form 10-K).</w:t>
              </w:r>
            </w:hyperlink>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7"/>
                <w:szCs w:val="17"/>
                <w:color w:val="auto"/>
              </w:rPr>
              <w:t>31.1</w:t>
            </w: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tcBorders>
              <w:bottom w:val="single" w:sz="8" w:color="0000FF"/>
            </w:tcBorders>
            <w:gridSpan w:val="15"/>
          </w:tcPr>
          <w:p>
            <w:pPr>
              <w:spacing w:after="0"/>
              <w:rPr>
                <w:rFonts w:ascii="Arial" w:cs="Arial" w:eastAsia="Arial" w:hAnsi="Arial"/>
                <w:sz w:val="17"/>
                <w:szCs w:val="17"/>
                <w:color w:val="0000FF"/>
              </w:rPr>
            </w:pPr>
            <w:hyperlink w:anchor="page276">
              <w:r>
                <w:rPr>
                  <w:rFonts w:ascii="Arial" w:cs="Arial" w:eastAsia="Arial" w:hAnsi="Arial"/>
                  <w:sz w:val="17"/>
                  <w:szCs w:val="17"/>
                  <w:color w:val="0000FF"/>
                </w:rPr>
                <w:t>Certification of Principal Executive Officer Pursuant to</w:t>
              </w:r>
            </w:hyperlink>
          </w:p>
        </w:tc>
        <w:tc>
          <w:tcPr>
            <w:tcW w:w="40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5120" w:type="dxa"/>
            <w:vAlign w:val="bottom"/>
            <w:tcBorders>
              <w:bottom w:val="single" w:sz="8" w:color="0000FF"/>
            </w:tcBorders>
            <w:gridSpan w:val="30"/>
          </w:tcPr>
          <w:p>
            <w:pPr>
              <w:spacing w:after="0" w:line="174" w:lineRule="exact"/>
              <w:rPr>
                <w:rFonts w:ascii="Arial" w:cs="Arial" w:eastAsia="Arial" w:hAnsi="Arial"/>
                <w:sz w:val="17"/>
                <w:szCs w:val="17"/>
                <w:color w:val="0000FF"/>
              </w:rPr>
            </w:pPr>
            <w:hyperlink w:anchor="page276">
              <w:r>
                <w:rPr>
                  <w:rFonts w:ascii="Arial" w:cs="Arial" w:eastAsia="Arial" w:hAnsi="Arial"/>
                  <w:sz w:val="17"/>
                  <w:szCs w:val="17"/>
                  <w:color w:val="0000FF"/>
                </w:rPr>
                <w:t>Rules 13a-14(a) and 15d-14(a) under the Securities and Exchange</w:t>
              </w:r>
            </w:hyperlink>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5020" w:type="dxa"/>
            <w:vAlign w:val="bottom"/>
            <w:tcBorders>
              <w:bottom w:val="single" w:sz="8" w:color="0000FF"/>
            </w:tcBorders>
            <w:gridSpan w:val="26"/>
          </w:tcPr>
          <w:p>
            <w:pPr>
              <w:spacing w:after="0" w:line="174" w:lineRule="exact"/>
              <w:rPr>
                <w:rFonts w:ascii="Arial" w:cs="Arial" w:eastAsia="Arial" w:hAnsi="Arial"/>
                <w:sz w:val="17"/>
                <w:szCs w:val="17"/>
                <w:color w:val="0000FF"/>
              </w:rPr>
            </w:pPr>
            <w:hyperlink w:anchor="page276">
              <w:r>
                <w:rPr>
                  <w:rFonts w:ascii="Arial" w:cs="Arial" w:eastAsia="Arial" w:hAnsi="Arial"/>
                  <w:sz w:val="17"/>
                  <w:szCs w:val="17"/>
                  <w:color w:val="0000FF"/>
                </w:rPr>
                <w:t>Act of 1934, as adopted pursuant to Section 302 of the Sarbanes-</w:t>
              </w:r>
            </w:hyperlink>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5120" w:type="dxa"/>
            <w:vAlign w:val="bottom"/>
            <w:gridSpan w:val="30"/>
          </w:tcPr>
          <w:p>
            <w:pPr>
              <w:spacing w:after="0" w:line="174" w:lineRule="exact"/>
              <w:rPr>
                <w:rFonts w:ascii="Arial" w:cs="Arial" w:eastAsia="Arial" w:hAnsi="Arial"/>
                <w:sz w:val="17"/>
                <w:szCs w:val="17"/>
                <w:color w:val="0000FF"/>
              </w:rPr>
            </w:pPr>
            <w:hyperlink w:anchor="page276">
              <w:r>
                <w:rPr>
                  <w:rFonts w:ascii="Arial" w:cs="Arial" w:eastAsia="Arial" w:hAnsi="Arial"/>
                  <w:sz w:val="17"/>
                  <w:szCs w:val="17"/>
                  <w:color w:val="0000FF"/>
                </w:rPr>
                <w:t>Oxley Act of 2002.</w:t>
              </w:r>
            </w:hyperlink>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7"/>
                <w:szCs w:val="17"/>
                <w:color w:val="auto"/>
              </w:rPr>
              <w:t>31.2</w:t>
            </w: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160" w:type="dxa"/>
            <w:vAlign w:val="bottom"/>
            <w:gridSpan w:val="1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60" w:type="dxa"/>
            <w:vAlign w:val="bottom"/>
            <w:tcBorders>
              <w:bottom w:val="single" w:sz="8" w:color="0000FF"/>
            </w:tcBorders>
            <w:gridSpan w:val="14"/>
          </w:tcPr>
          <w:p>
            <w:pPr>
              <w:spacing w:after="0"/>
              <w:rPr>
                <w:rFonts w:ascii="Arial" w:cs="Arial" w:eastAsia="Arial" w:hAnsi="Arial"/>
                <w:sz w:val="17"/>
                <w:szCs w:val="17"/>
                <w:color w:val="0000FF"/>
              </w:rPr>
            </w:pPr>
            <w:hyperlink w:anchor="page277">
              <w:r>
                <w:rPr>
                  <w:rFonts w:ascii="Arial" w:cs="Arial" w:eastAsia="Arial" w:hAnsi="Arial"/>
                  <w:sz w:val="17"/>
                  <w:szCs w:val="17"/>
                  <w:color w:val="0000FF"/>
                </w:rPr>
                <w:t>Certification of Principal Financial Officer Pursuant to</w:t>
              </w:r>
            </w:hyperlink>
          </w:p>
        </w:tc>
        <w:tc>
          <w:tcPr>
            <w:tcW w:w="42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5120" w:type="dxa"/>
            <w:vAlign w:val="bottom"/>
            <w:tcBorders>
              <w:bottom w:val="single" w:sz="8" w:color="0000FF"/>
            </w:tcBorders>
            <w:gridSpan w:val="30"/>
          </w:tcPr>
          <w:p>
            <w:pPr>
              <w:spacing w:after="0" w:line="174" w:lineRule="exact"/>
              <w:rPr>
                <w:rFonts w:ascii="Arial" w:cs="Arial" w:eastAsia="Arial" w:hAnsi="Arial"/>
                <w:sz w:val="17"/>
                <w:szCs w:val="17"/>
                <w:color w:val="0000FF"/>
              </w:rPr>
            </w:pPr>
            <w:hyperlink w:anchor="page277">
              <w:r>
                <w:rPr>
                  <w:rFonts w:ascii="Arial" w:cs="Arial" w:eastAsia="Arial" w:hAnsi="Arial"/>
                  <w:sz w:val="17"/>
                  <w:szCs w:val="17"/>
                  <w:color w:val="0000FF"/>
                </w:rPr>
                <w:t>Rules 13a-14(a) and 15d-14(a) under the Securities and Exchange</w:t>
              </w:r>
            </w:hyperlink>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5020" w:type="dxa"/>
            <w:vAlign w:val="bottom"/>
            <w:tcBorders>
              <w:bottom w:val="single" w:sz="8" w:color="0000FF"/>
            </w:tcBorders>
            <w:gridSpan w:val="26"/>
          </w:tcPr>
          <w:p>
            <w:pPr>
              <w:spacing w:after="0" w:line="174" w:lineRule="exact"/>
              <w:rPr>
                <w:rFonts w:ascii="Arial" w:cs="Arial" w:eastAsia="Arial" w:hAnsi="Arial"/>
                <w:sz w:val="17"/>
                <w:szCs w:val="17"/>
                <w:color w:val="0000FF"/>
              </w:rPr>
            </w:pPr>
            <w:hyperlink w:anchor="page277">
              <w:r>
                <w:rPr>
                  <w:rFonts w:ascii="Arial" w:cs="Arial" w:eastAsia="Arial" w:hAnsi="Arial"/>
                  <w:sz w:val="17"/>
                  <w:szCs w:val="17"/>
                  <w:color w:val="0000FF"/>
                </w:rPr>
                <w:t>Act of 1934, as adopted pursuant to Section 302 of the Sarbanes-</w:t>
              </w:r>
            </w:hyperlink>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5120" w:type="dxa"/>
            <w:vAlign w:val="bottom"/>
            <w:gridSpan w:val="30"/>
          </w:tcPr>
          <w:p>
            <w:pPr>
              <w:spacing w:after="0" w:line="174" w:lineRule="exact"/>
              <w:rPr>
                <w:rFonts w:ascii="Arial" w:cs="Arial" w:eastAsia="Arial" w:hAnsi="Arial"/>
                <w:sz w:val="17"/>
                <w:szCs w:val="17"/>
                <w:color w:val="0000FF"/>
              </w:rPr>
            </w:pPr>
            <w:hyperlink w:anchor="page277">
              <w:r>
                <w:rPr>
                  <w:rFonts w:ascii="Arial" w:cs="Arial" w:eastAsia="Arial" w:hAnsi="Arial"/>
                  <w:sz w:val="17"/>
                  <w:szCs w:val="17"/>
                  <w:color w:val="0000FF"/>
                </w:rPr>
                <w:t>Oxley Act of 2002.</w:t>
              </w:r>
            </w:hyperlink>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7"/>
                <w:szCs w:val="17"/>
                <w:color w:val="auto"/>
              </w:rPr>
              <w:t>32.1</w:t>
            </w: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160" w:type="dxa"/>
            <w:vAlign w:val="bottom"/>
            <w:gridSpan w:val="11"/>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80" w:type="dxa"/>
            <w:vAlign w:val="bottom"/>
            <w:gridSpan w:val="27"/>
          </w:tcPr>
          <w:p>
            <w:pPr>
              <w:spacing w:after="0"/>
              <w:rPr>
                <w:rFonts w:ascii="Arial" w:cs="Arial" w:eastAsia="Arial" w:hAnsi="Arial"/>
                <w:sz w:val="17"/>
                <w:szCs w:val="17"/>
                <w:color w:val="0000FF"/>
              </w:rPr>
            </w:pPr>
            <w:hyperlink w:anchor="page278">
              <w:r>
                <w:rPr>
                  <w:rFonts w:ascii="Arial" w:cs="Arial" w:eastAsia="Arial" w:hAnsi="Arial"/>
                  <w:sz w:val="17"/>
                  <w:szCs w:val="17"/>
                  <w:color w:val="0000FF"/>
                </w:rPr>
                <w:t>Certification of Principal Executive Officer and Principal</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40" w:type="dxa"/>
            <w:vAlign w:val="bottom"/>
            <w:tcBorders>
              <w:right w:val="single" w:sz="8" w:color="0000FF"/>
            </w:tcBorders>
            <w:gridSpan w:val="3"/>
          </w:tcPr>
          <w:p>
            <w:pPr>
              <w:spacing w:after="0" w:line="20" w:lineRule="exact"/>
              <w:rPr>
                <w:sz w:val="1"/>
                <w:szCs w:val="1"/>
                <w:color w:val="auto"/>
              </w:rPr>
            </w:pPr>
          </w:p>
        </w:tc>
        <w:tc>
          <w:tcPr>
            <w:tcW w:w="3940" w:type="dxa"/>
            <w:vAlign w:val="bottom"/>
            <w:gridSpan w:val="12"/>
            <w:shd w:val="clear" w:color="auto" w:fill="0000FF"/>
          </w:tcPr>
          <w:p>
            <w:pPr>
              <w:spacing w:after="0" w:line="20" w:lineRule="exact"/>
              <w:rPr>
                <w:sz w:val="1"/>
                <w:szCs w:val="1"/>
                <w:color w:val="auto"/>
              </w:rPr>
            </w:pPr>
          </w:p>
        </w:tc>
        <w:tc>
          <w:tcPr>
            <w:tcW w:w="240" w:type="dxa"/>
            <w:vAlign w:val="bottom"/>
            <w:tcBorders>
              <w:left w:val="single" w:sz="8" w:color="0000FF"/>
            </w:tcBorders>
            <w:gridSpan w:val="6"/>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20" w:type="dxa"/>
            <w:vAlign w:val="bottom"/>
          </w:tcPr>
          <w:p>
            <w:pPr>
              <w:spacing w:after="0"/>
              <w:rPr>
                <w:sz w:val="15"/>
                <w:szCs w:val="15"/>
                <w:color w:val="auto"/>
              </w:rPr>
            </w:pPr>
          </w:p>
        </w:tc>
        <w:tc>
          <w:tcPr>
            <w:tcW w:w="4980" w:type="dxa"/>
            <w:vAlign w:val="bottom"/>
            <w:tcBorders>
              <w:bottom w:val="single" w:sz="8" w:color="0000FF"/>
            </w:tcBorders>
            <w:gridSpan w:val="25"/>
          </w:tcPr>
          <w:p>
            <w:pPr>
              <w:spacing w:after="0" w:line="174" w:lineRule="exact"/>
              <w:rPr>
                <w:rFonts w:ascii="Arial" w:cs="Arial" w:eastAsia="Arial" w:hAnsi="Arial"/>
                <w:sz w:val="17"/>
                <w:szCs w:val="17"/>
                <w:color w:val="0000FF"/>
              </w:rPr>
            </w:pPr>
            <w:hyperlink w:anchor="page278">
              <w:r>
                <w:rPr>
                  <w:rFonts w:ascii="Arial" w:cs="Arial" w:eastAsia="Arial" w:hAnsi="Arial"/>
                  <w:sz w:val="17"/>
                  <w:szCs w:val="17"/>
                  <w:color w:val="0000FF"/>
                </w:rPr>
                <w:t>Financial Officer Pursuant to 18 U.S.C. Section 1350, as adopted</w:t>
              </w:r>
            </w:hyperlink>
          </w:p>
        </w:tc>
        <w:tc>
          <w:tcPr>
            <w:tcW w:w="1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5120" w:type="dxa"/>
            <w:vAlign w:val="bottom"/>
            <w:gridSpan w:val="30"/>
          </w:tcPr>
          <w:p>
            <w:pPr>
              <w:spacing w:after="0" w:line="174" w:lineRule="exact"/>
              <w:rPr>
                <w:rFonts w:ascii="Arial" w:cs="Arial" w:eastAsia="Arial" w:hAnsi="Arial"/>
                <w:sz w:val="17"/>
                <w:szCs w:val="17"/>
                <w:color w:val="0000FF"/>
              </w:rPr>
            </w:pPr>
            <w:hyperlink w:anchor="page278">
              <w:r>
                <w:rPr>
                  <w:rFonts w:ascii="Arial" w:cs="Arial" w:eastAsia="Arial" w:hAnsi="Arial"/>
                  <w:sz w:val="17"/>
                  <w:szCs w:val="17"/>
                  <w:color w:val="0000FF"/>
                </w:rPr>
                <w:t>pursuant to Section 906 of the Sarbanes-Oxley Act of 2002.</w:t>
              </w:r>
            </w:hyperlink>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940" w:type="dxa"/>
            <w:vAlign w:val="bottom"/>
            <w:gridSpan w:val="12"/>
            <w:shd w:val="clear" w:color="auto" w:fill="0000FF"/>
          </w:tcPr>
          <w:p>
            <w:pPr>
              <w:spacing w:after="0" w:line="20" w:lineRule="exact"/>
              <w:rPr>
                <w:sz w:val="1"/>
                <w:szCs w:val="1"/>
                <w:color w:val="auto"/>
              </w:rPr>
            </w:pPr>
          </w:p>
        </w:tc>
        <w:tc>
          <w:tcPr>
            <w:tcW w:w="5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80" w:type="dxa"/>
            <w:vAlign w:val="bottom"/>
            <w:gridSpan w:val="27"/>
          </w:tcPr>
          <w:p>
            <w:pPr>
              <w:spacing w:after="0"/>
              <w:rPr>
                <w:sz w:val="20"/>
                <w:szCs w:val="20"/>
                <w:color w:val="auto"/>
              </w:rPr>
            </w:pPr>
            <w:r>
              <w:rPr>
                <w:rFonts w:ascii="Arial" w:cs="Arial" w:eastAsia="Arial" w:hAnsi="Arial"/>
                <w:sz w:val="17"/>
                <w:szCs w:val="17"/>
                <w:color w:val="auto"/>
              </w:rPr>
              <w:t>Inline XBRL Instance Document - The instance document</w:t>
            </w:r>
          </w:p>
        </w:tc>
        <w:tc>
          <w:tcPr>
            <w:tcW w:w="0" w:type="dxa"/>
            <w:vAlign w:val="bottom"/>
          </w:tcPr>
          <w:p>
            <w:pPr>
              <w:spacing w:after="0"/>
              <w:rPr>
                <w:sz w:val="1"/>
                <w:szCs w:val="1"/>
                <w:color w:val="auto"/>
              </w:rPr>
            </w:pPr>
          </w:p>
        </w:tc>
      </w:tr>
      <w:tr>
        <w:trPr>
          <w:trHeight w:val="194"/>
        </w:trPr>
        <w:tc>
          <w:tcPr>
            <w:tcW w:w="820" w:type="dxa"/>
            <w:vAlign w:val="bottom"/>
          </w:tcPr>
          <w:p>
            <w:pPr>
              <w:spacing w:after="0"/>
              <w:rPr>
                <w:sz w:val="16"/>
                <w:szCs w:val="16"/>
                <w:color w:val="auto"/>
              </w:rPr>
            </w:pPr>
          </w:p>
        </w:tc>
        <w:tc>
          <w:tcPr>
            <w:tcW w:w="5120" w:type="dxa"/>
            <w:vAlign w:val="bottom"/>
            <w:gridSpan w:val="30"/>
          </w:tcPr>
          <w:p>
            <w:pPr>
              <w:spacing w:after="0" w:line="194" w:lineRule="exact"/>
              <w:rPr>
                <w:sz w:val="20"/>
                <w:szCs w:val="20"/>
                <w:color w:val="auto"/>
              </w:rPr>
            </w:pPr>
            <w:r>
              <w:rPr>
                <w:rFonts w:ascii="Arial" w:cs="Arial" w:eastAsia="Arial" w:hAnsi="Arial"/>
                <w:sz w:val="17"/>
                <w:szCs w:val="17"/>
                <w:color w:val="auto"/>
              </w:rPr>
              <w:t>does not appear in the interactive data file because its XBRL tags</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5120" w:type="dxa"/>
            <w:vAlign w:val="bottom"/>
            <w:gridSpan w:val="30"/>
          </w:tcPr>
          <w:p>
            <w:pPr>
              <w:spacing w:after="0"/>
              <w:rPr>
                <w:sz w:val="20"/>
                <w:szCs w:val="20"/>
                <w:color w:val="auto"/>
              </w:rPr>
            </w:pPr>
            <w:r>
              <w:rPr>
                <w:rFonts w:ascii="Arial" w:cs="Arial" w:eastAsia="Arial" w:hAnsi="Arial"/>
                <w:sz w:val="17"/>
                <w:szCs w:val="17"/>
                <w:color w:val="auto"/>
              </w:rPr>
              <w:t>are embedded within the inline XBRL document.</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80" w:type="dxa"/>
            <w:vAlign w:val="bottom"/>
            <w:gridSpan w:val="27"/>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31"/>
        </w:trPr>
        <w:tc>
          <w:tcPr>
            <w:tcW w:w="820" w:type="dxa"/>
            <w:vAlign w:val="bottom"/>
          </w:tcPr>
          <w:p>
            <w:pPr>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gridSpan w:val="27"/>
          </w:tcPr>
          <w:p>
            <w:pPr>
              <w:spacing w:after="0"/>
              <w:rPr>
                <w:sz w:val="20"/>
                <w:szCs w:val="20"/>
                <w:color w:val="auto"/>
              </w:rPr>
            </w:pPr>
            <w:r>
              <w:rPr>
                <w:rFonts w:ascii="Arial" w:cs="Arial" w:eastAsia="Arial" w:hAnsi="Arial"/>
                <w:sz w:val="17"/>
                <w:szCs w:val="17"/>
                <w:color w:val="auto"/>
              </w:rPr>
              <w:t>Inline XBRL Taxonomy Extension Calculation Linkbase</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5120" w:type="dxa"/>
            <w:vAlign w:val="bottom"/>
            <w:gridSpan w:val="30"/>
          </w:tcPr>
          <w:p>
            <w:pPr>
              <w:spacing w:after="0"/>
              <w:rPr>
                <w:sz w:val="20"/>
                <w:szCs w:val="20"/>
                <w:color w:val="auto"/>
              </w:rPr>
            </w:pPr>
            <w:r>
              <w:rPr>
                <w:rFonts w:ascii="Arial" w:cs="Arial" w:eastAsia="Arial" w:hAnsi="Arial"/>
                <w:sz w:val="17"/>
                <w:szCs w:val="17"/>
                <w:color w:val="auto"/>
              </w:rPr>
              <w:t>Document.</w:t>
            </w:r>
          </w:p>
        </w:tc>
        <w:tc>
          <w:tcPr>
            <w:tcW w:w="0" w:type="dxa"/>
            <w:vAlign w:val="bottom"/>
          </w:tcPr>
          <w:p>
            <w:pPr>
              <w:spacing w:after="0"/>
              <w:rPr>
                <w:sz w:val="1"/>
                <w:szCs w:val="1"/>
                <w:color w:val="auto"/>
              </w:rPr>
            </w:pPr>
          </w:p>
        </w:tc>
      </w:tr>
      <w:tr>
        <w:trPr>
          <w:trHeight w:val="231"/>
        </w:trPr>
        <w:tc>
          <w:tcPr>
            <w:tcW w:w="820" w:type="dxa"/>
            <w:vAlign w:val="bottom"/>
          </w:tcPr>
          <w:p>
            <w:pPr>
              <w:spacing w:after="0"/>
              <w:rPr>
                <w:sz w:val="20"/>
                <w:szCs w:val="20"/>
                <w:color w:val="auto"/>
              </w:rPr>
            </w:pPr>
            <w:r>
              <w:rPr>
                <w:rFonts w:ascii="Arial" w:cs="Arial" w:eastAsia="Arial" w:hAnsi="Arial"/>
                <w:sz w:val="17"/>
                <w:szCs w:val="17"/>
                <w:color w:val="auto"/>
              </w:rPr>
              <w:t>101.DEF</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gridSpan w:val="27"/>
          </w:tcPr>
          <w:p>
            <w:pPr>
              <w:spacing w:after="0"/>
              <w:rPr>
                <w:sz w:val="20"/>
                <w:szCs w:val="20"/>
                <w:color w:val="auto"/>
              </w:rPr>
            </w:pPr>
            <w:r>
              <w:rPr>
                <w:rFonts w:ascii="Arial" w:cs="Arial" w:eastAsia="Arial" w:hAnsi="Arial"/>
                <w:sz w:val="17"/>
                <w:szCs w:val="17"/>
                <w:color w:val="auto"/>
              </w:rPr>
              <w:t>Inline XBRL Taxonomy Extension Definition Linkbase</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5120" w:type="dxa"/>
            <w:vAlign w:val="bottom"/>
            <w:gridSpan w:val="30"/>
          </w:tcPr>
          <w:p>
            <w:pPr>
              <w:spacing w:after="0"/>
              <w:rPr>
                <w:sz w:val="20"/>
                <w:szCs w:val="20"/>
                <w:color w:val="auto"/>
              </w:rPr>
            </w:pPr>
            <w:r>
              <w:rPr>
                <w:rFonts w:ascii="Arial" w:cs="Arial" w:eastAsia="Arial" w:hAnsi="Arial"/>
                <w:sz w:val="17"/>
                <w:szCs w:val="17"/>
                <w:color w:val="auto"/>
              </w:rPr>
              <w:t>Document.</w:t>
            </w:r>
          </w:p>
        </w:tc>
        <w:tc>
          <w:tcPr>
            <w:tcW w:w="0" w:type="dxa"/>
            <w:vAlign w:val="bottom"/>
          </w:tcPr>
          <w:p>
            <w:pPr>
              <w:spacing w:after="0"/>
              <w:rPr>
                <w:sz w:val="1"/>
                <w:szCs w:val="1"/>
                <w:color w:val="auto"/>
              </w:rPr>
            </w:pPr>
          </w:p>
        </w:tc>
      </w:tr>
      <w:tr>
        <w:trPr>
          <w:trHeight w:val="231"/>
        </w:trPr>
        <w:tc>
          <w:tcPr>
            <w:tcW w:w="820" w:type="dxa"/>
            <w:vAlign w:val="bottom"/>
          </w:tcPr>
          <w:p>
            <w:pPr>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gridSpan w:val="27"/>
          </w:tcPr>
          <w:p>
            <w:pPr>
              <w:spacing w:after="0"/>
              <w:rPr>
                <w:sz w:val="20"/>
                <w:szCs w:val="20"/>
                <w:color w:val="auto"/>
              </w:rPr>
            </w:pPr>
            <w:r>
              <w:rPr>
                <w:rFonts w:ascii="Arial" w:cs="Arial" w:eastAsia="Arial" w:hAnsi="Arial"/>
                <w:sz w:val="17"/>
                <w:szCs w:val="17"/>
                <w:color w:val="auto"/>
              </w:rPr>
              <w:t>Inline XBRL Taxonomy Extension Label Linkbase</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5120" w:type="dxa"/>
            <w:vAlign w:val="bottom"/>
            <w:gridSpan w:val="30"/>
          </w:tcPr>
          <w:p>
            <w:pPr>
              <w:spacing w:after="0"/>
              <w:rPr>
                <w:sz w:val="20"/>
                <w:szCs w:val="20"/>
                <w:color w:val="auto"/>
              </w:rPr>
            </w:pPr>
            <w:r>
              <w:rPr>
                <w:rFonts w:ascii="Arial" w:cs="Arial" w:eastAsia="Arial" w:hAnsi="Arial"/>
                <w:sz w:val="17"/>
                <w:szCs w:val="17"/>
                <w:color w:val="auto"/>
              </w:rPr>
              <w:t>Document.</w:t>
            </w:r>
          </w:p>
        </w:tc>
        <w:tc>
          <w:tcPr>
            <w:tcW w:w="0" w:type="dxa"/>
            <w:vAlign w:val="bottom"/>
          </w:tcPr>
          <w:p>
            <w:pPr>
              <w:spacing w:after="0"/>
              <w:rPr>
                <w:sz w:val="1"/>
                <w:szCs w:val="1"/>
                <w:color w:val="auto"/>
              </w:rPr>
            </w:pPr>
          </w:p>
        </w:tc>
      </w:tr>
      <w:tr>
        <w:trPr>
          <w:trHeight w:val="231"/>
        </w:trPr>
        <w:tc>
          <w:tcPr>
            <w:tcW w:w="820" w:type="dxa"/>
            <w:vAlign w:val="bottom"/>
          </w:tcPr>
          <w:p>
            <w:pPr>
              <w:spacing w:after="0"/>
              <w:rPr>
                <w:sz w:val="20"/>
                <w:szCs w:val="20"/>
                <w:color w:val="auto"/>
              </w:rPr>
            </w:pPr>
            <w:r>
              <w:rPr>
                <w:rFonts w:ascii="Arial" w:cs="Arial" w:eastAsia="Arial" w:hAnsi="Arial"/>
                <w:sz w:val="17"/>
                <w:szCs w:val="17"/>
                <w:color w:val="auto"/>
              </w:rPr>
              <w:t>101.PRE</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gridSpan w:val="27"/>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5120" w:type="dxa"/>
            <w:vAlign w:val="bottom"/>
            <w:gridSpan w:val="30"/>
          </w:tcPr>
          <w:p>
            <w:pPr>
              <w:spacing w:after="0"/>
              <w:rPr>
                <w:sz w:val="20"/>
                <w:szCs w:val="20"/>
                <w:color w:val="auto"/>
              </w:rPr>
            </w:pPr>
            <w:r>
              <w:rPr>
                <w:rFonts w:ascii="Arial" w:cs="Arial" w:eastAsia="Arial" w:hAnsi="Arial"/>
                <w:sz w:val="17"/>
                <w:szCs w:val="17"/>
                <w:color w:val="auto"/>
              </w:rPr>
              <w:t>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820" w:type="dxa"/>
            <w:vAlign w:val="bottom"/>
          </w:tcPr>
          <w:p>
            <w:pPr>
              <w:jc w:val="center"/>
              <w:ind w:right="314"/>
              <w:spacing w:after="0"/>
              <w:rPr>
                <w:sz w:val="20"/>
                <w:szCs w:val="20"/>
                <w:color w:val="auto"/>
              </w:rPr>
            </w:pPr>
            <w:r>
              <w:rPr>
                <w:rFonts w:ascii="Arial" w:cs="Arial" w:eastAsia="Arial" w:hAnsi="Arial"/>
                <w:sz w:val="17"/>
                <w:szCs w:val="17"/>
                <w:color w:val="auto"/>
                <w:w w:val="98"/>
              </w:rPr>
              <w:t>S-1/A</w:t>
            </w:r>
          </w:p>
        </w:tc>
        <w:tc>
          <w:tcPr>
            <w:tcW w:w="1280" w:type="dxa"/>
            <w:vAlign w:val="bottom"/>
          </w:tcPr>
          <w:p>
            <w:pPr>
              <w:jc w:val="center"/>
              <w:spacing w:after="0"/>
              <w:rPr>
                <w:sz w:val="20"/>
                <w:szCs w:val="20"/>
                <w:color w:val="auto"/>
              </w:rPr>
            </w:pPr>
            <w:r>
              <w:rPr>
                <w:rFonts w:ascii="Arial" w:cs="Arial" w:eastAsia="Arial" w:hAnsi="Arial"/>
                <w:sz w:val="17"/>
                <w:szCs w:val="17"/>
                <w:color w:val="auto"/>
              </w:rPr>
              <w:t>1/21/20</w:t>
            </w:r>
          </w:p>
        </w:tc>
        <w:tc>
          <w:tcPr>
            <w:tcW w:w="760" w:type="dxa"/>
            <w:vAlign w:val="bottom"/>
          </w:tcPr>
          <w:p>
            <w:pPr>
              <w:jc w:val="center"/>
              <w:ind w:left="254"/>
              <w:spacing w:after="0"/>
              <w:rPr>
                <w:sz w:val="20"/>
                <w:szCs w:val="20"/>
                <w:color w:val="auto"/>
              </w:rPr>
            </w:pPr>
            <w:r>
              <w:rPr>
                <w:rFonts w:ascii="Arial" w:cs="Arial" w:eastAsia="Arial" w:hAnsi="Arial"/>
                <w:sz w:val="17"/>
                <w:szCs w:val="17"/>
                <w:color w:val="auto"/>
                <w:w w:val="98"/>
              </w:rPr>
              <w:t>10.21</w:t>
            </w:r>
          </w:p>
        </w:tc>
      </w:tr>
      <w:tr>
        <w:trPr>
          <w:trHeight w:val="388"/>
        </w:trPr>
        <w:tc>
          <w:tcPr>
            <w:tcW w:w="820" w:type="dxa"/>
            <w:vAlign w:val="bottom"/>
          </w:tcPr>
          <w:p>
            <w:pPr>
              <w:jc w:val="center"/>
              <w:ind w:right="314"/>
              <w:spacing w:after="0"/>
              <w:rPr>
                <w:sz w:val="20"/>
                <w:szCs w:val="20"/>
                <w:color w:val="auto"/>
              </w:rPr>
            </w:pPr>
            <w:r>
              <w:rPr>
                <w:rFonts w:ascii="Arial" w:cs="Arial" w:eastAsia="Arial" w:hAnsi="Arial"/>
                <w:sz w:val="17"/>
                <w:szCs w:val="17"/>
                <w:color w:val="auto"/>
                <w:w w:val="98"/>
              </w:rPr>
              <w:t>S-1/A</w:t>
            </w:r>
          </w:p>
        </w:tc>
        <w:tc>
          <w:tcPr>
            <w:tcW w:w="1280" w:type="dxa"/>
            <w:vAlign w:val="bottom"/>
          </w:tcPr>
          <w:p>
            <w:pPr>
              <w:jc w:val="center"/>
              <w:spacing w:after="0"/>
              <w:rPr>
                <w:sz w:val="20"/>
                <w:szCs w:val="20"/>
                <w:color w:val="auto"/>
              </w:rPr>
            </w:pPr>
            <w:r>
              <w:rPr>
                <w:rFonts w:ascii="Arial" w:cs="Arial" w:eastAsia="Arial" w:hAnsi="Arial"/>
                <w:sz w:val="17"/>
                <w:szCs w:val="17"/>
                <w:color w:val="auto"/>
              </w:rPr>
              <w:t>1/21/20</w:t>
            </w:r>
          </w:p>
        </w:tc>
        <w:tc>
          <w:tcPr>
            <w:tcW w:w="760" w:type="dxa"/>
            <w:vAlign w:val="bottom"/>
          </w:tcPr>
          <w:p>
            <w:pPr>
              <w:jc w:val="center"/>
              <w:ind w:left="254"/>
              <w:spacing w:after="0"/>
              <w:rPr>
                <w:sz w:val="20"/>
                <w:szCs w:val="20"/>
                <w:color w:val="auto"/>
              </w:rPr>
            </w:pPr>
            <w:r>
              <w:rPr>
                <w:rFonts w:ascii="Arial" w:cs="Arial" w:eastAsia="Arial" w:hAnsi="Arial"/>
                <w:sz w:val="17"/>
                <w:szCs w:val="17"/>
                <w:color w:val="auto"/>
                <w:w w:val="98"/>
              </w:rPr>
              <w:t>10.22</w:t>
            </w:r>
          </w:p>
        </w:tc>
      </w:tr>
      <w:tr>
        <w:trPr>
          <w:trHeight w:val="388"/>
        </w:trPr>
        <w:tc>
          <w:tcPr>
            <w:tcW w:w="820" w:type="dxa"/>
            <w:vAlign w:val="bottom"/>
          </w:tcPr>
          <w:p>
            <w:pPr>
              <w:jc w:val="center"/>
              <w:ind w:right="314"/>
              <w:spacing w:after="0"/>
              <w:rPr>
                <w:sz w:val="20"/>
                <w:szCs w:val="20"/>
                <w:color w:val="auto"/>
              </w:rPr>
            </w:pPr>
            <w:r>
              <w:rPr>
                <w:rFonts w:ascii="Arial" w:cs="Arial" w:eastAsia="Arial" w:hAnsi="Arial"/>
                <w:sz w:val="17"/>
                <w:szCs w:val="17"/>
                <w:color w:val="auto"/>
              </w:rPr>
              <w:t>10-K</w:t>
            </w:r>
          </w:p>
        </w:tc>
        <w:tc>
          <w:tcPr>
            <w:tcW w:w="1280" w:type="dxa"/>
            <w:vAlign w:val="bottom"/>
          </w:tcPr>
          <w:p>
            <w:pPr>
              <w:jc w:val="center"/>
              <w:spacing w:after="0"/>
              <w:rPr>
                <w:sz w:val="20"/>
                <w:szCs w:val="20"/>
                <w:color w:val="auto"/>
              </w:rPr>
            </w:pPr>
            <w:r>
              <w:rPr>
                <w:rFonts w:ascii="Arial" w:cs="Arial" w:eastAsia="Arial" w:hAnsi="Arial"/>
                <w:sz w:val="17"/>
                <w:szCs w:val="17"/>
                <w:color w:val="auto"/>
              </w:rPr>
              <w:t>2/16/21</w:t>
            </w:r>
          </w:p>
        </w:tc>
        <w:tc>
          <w:tcPr>
            <w:tcW w:w="760" w:type="dxa"/>
            <w:vAlign w:val="bottom"/>
          </w:tcPr>
          <w:p>
            <w:pPr>
              <w:jc w:val="center"/>
              <w:ind w:left="254"/>
              <w:spacing w:after="0"/>
              <w:rPr>
                <w:sz w:val="20"/>
                <w:szCs w:val="20"/>
                <w:color w:val="auto"/>
              </w:rPr>
            </w:pPr>
            <w:r>
              <w:rPr>
                <w:rFonts w:ascii="Arial" w:cs="Arial" w:eastAsia="Arial" w:hAnsi="Arial"/>
                <w:sz w:val="17"/>
                <w:szCs w:val="17"/>
                <w:color w:val="auto"/>
                <w:w w:val="98"/>
              </w:rPr>
              <w:t>10.23</w:t>
            </w:r>
          </w:p>
        </w:tc>
      </w:tr>
      <w:tr>
        <w:trPr>
          <w:trHeight w:val="388"/>
        </w:trPr>
        <w:tc>
          <w:tcPr>
            <w:tcW w:w="820" w:type="dxa"/>
            <w:vAlign w:val="bottom"/>
          </w:tcPr>
          <w:p>
            <w:pPr>
              <w:jc w:val="center"/>
              <w:ind w:right="314"/>
              <w:spacing w:after="0"/>
              <w:rPr>
                <w:sz w:val="20"/>
                <w:szCs w:val="20"/>
                <w:color w:val="auto"/>
              </w:rPr>
            </w:pPr>
            <w:r>
              <w:rPr>
                <w:rFonts w:ascii="Arial" w:cs="Arial" w:eastAsia="Arial" w:hAnsi="Arial"/>
                <w:sz w:val="17"/>
                <w:szCs w:val="17"/>
                <w:color w:val="auto"/>
              </w:rPr>
              <w:t>10-K</w:t>
            </w:r>
          </w:p>
        </w:tc>
        <w:tc>
          <w:tcPr>
            <w:tcW w:w="1280" w:type="dxa"/>
            <w:vAlign w:val="bottom"/>
          </w:tcPr>
          <w:p>
            <w:pPr>
              <w:jc w:val="center"/>
              <w:spacing w:after="0"/>
              <w:rPr>
                <w:sz w:val="20"/>
                <w:szCs w:val="20"/>
                <w:color w:val="auto"/>
              </w:rPr>
            </w:pPr>
            <w:r>
              <w:rPr>
                <w:rFonts w:ascii="Arial" w:cs="Arial" w:eastAsia="Arial" w:hAnsi="Arial"/>
                <w:sz w:val="17"/>
                <w:szCs w:val="17"/>
                <w:color w:val="auto"/>
              </w:rPr>
              <w:t>2/16/21</w:t>
            </w:r>
          </w:p>
        </w:tc>
        <w:tc>
          <w:tcPr>
            <w:tcW w:w="760" w:type="dxa"/>
            <w:vAlign w:val="bottom"/>
          </w:tcPr>
          <w:p>
            <w:pPr>
              <w:jc w:val="center"/>
              <w:ind w:left="254"/>
              <w:spacing w:after="0"/>
              <w:rPr>
                <w:sz w:val="20"/>
                <w:szCs w:val="20"/>
                <w:color w:val="auto"/>
              </w:rPr>
            </w:pPr>
            <w:r>
              <w:rPr>
                <w:rFonts w:ascii="Arial" w:cs="Arial" w:eastAsia="Arial" w:hAnsi="Arial"/>
                <w:sz w:val="17"/>
                <w:szCs w:val="17"/>
                <w:color w:val="auto"/>
                <w:w w:val="98"/>
              </w:rPr>
              <w:t>10.24</w:t>
            </w:r>
          </w:p>
        </w:tc>
      </w:tr>
      <w:tr>
        <w:trPr>
          <w:trHeight w:val="388"/>
        </w:trPr>
        <w:tc>
          <w:tcPr>
            <w:tcW w:w="820" w:type="dxa"/>
            <w:vAlign w:val="bottom"/>
          </w:tcPr>
          <w:p>
            <w:pPr>
              <w:jc w:val="center"/>
              <w:ind w:right="314"/>
              <w:spacing w:after="0"/>
              <w:rPr>
                <w:sz w:val="20"/>
                <w:szCs w:val="20"/>
                <w:color w:val="auto"/>
              </w:rPr>
            </w:pPr>
            <w:r>
              <w:rPr>
                <w:rFonts w:ascii="Arial" w:cs="Arial" w:eastAsia="Arial" w:hAnsi="Arial"/>
                <w:sz w:val="17"/>
                <w:szCs w:val="17"/>
                <w:color w:val="auto"/>
              </w:rPr>
              <w:t>10-K</w:t>
            </w:r>
          </w:p>
        </w:tc>
        <w:tc>
          <w:tcPr>
            <w:tcW w:w="1280" w:type="dxa"/>
            <w:vAlign w:val="bottom"/>
          </w:tcPr>
          <w:p>
            <w:pPr>
              <w:jc w:val="center"/>
              <w:spacing w:after="0"/>
              <w:rPr>
                <w:sz w:val="20"/>
                <w:szCs w:val="20"/>
                <w:color w:val="auto"/>
              </w:rPr>
            </w:pPr>
            <w:r>
              <w:rPr>
                <w:rFonts w:ascii="Arial" w:cs="Arial" w:eastAsia="Arial" w:hAnsi="Arial"/>
                <w:sz w:val="17"/>
                <w:szCs w:val="17"/>
                <w:color w:val="auto"/>
              </w:rPr>
              <w:t>2/16/21</w:t>
            </w:r>
          </w:p>
        </w:tc>
        <w:tc>
          <w:tcPr>
            <w:tcW w:w="760" w:type="dxa"/>
            <w:vAlign w:val="bottom"/>
          </w:tcPr>
          <w:p>
            <w:pPr>
              <w:jc w:val="center"/>
              <w:ind w:left="254"/>
              <w:spacing w:after="0"/>
              <w:rPr>
                <w:sz w:val="20"/>
                <w:szCs w:val="20"/>
                <w:color w:val="auto"/>
              </w:rPr>
            </w:pPr>
            <w:r>
              <w:rPr>
                <w:rFonts w:ascii="Arial" w:cs="Arial" w:eastAsia="Arial" w:hAnsi="Arial"/>
                <w:sz w:val="17"/>
                <w:szCs w:val="17"/>
                <w:color w:val="auto"/>
                <w:w w:val="98"/>
              </w:rPr>
              <w:t>10.25</w:t>
            </w:r>
          </w:p>
        </w:tc>
      </w:tr>
      <w:tr>
        <w:trPr>
          <w:trHeight w:val="388"/>
        </w:trPr>
        <w:tc>
          <w:tcPr>
            <w:tcW w:w="820" w:type="dxa"/>
            <w:vAlign w:val="bottom"/>
          </w:tcPr>
          <w:p>
            <w:pPr>
              <w:jc w:val="center"/>
              <w:ind w:right="314"/>
              <w:spacing w:after="0"/>
              <w:rPr>
                <w:sz w:val="20"/>
                <w:szCs w:val="20"/>
                <w:color w:val="auto"/>
              </w:rPr>
            </w:pPr>
            <w:r>
              <w:rPr>
                <w:rFonts w:ascii="Arial" w:cs="Arial" w:eastAsia="Arial" w:hAnsi="Arial"/>
                <w:sz w:val="17"/>
                <w:szCs w:val="17"/>
                <w:color w:val="auto"/>
              </w:rPr>
              <w:t>10-Q</w:t>
            </w:r>
          </w:p>
        </w:tc>
        <w:tc>
          <w:tcPr>
            <w:tcW w:w="1280" w:type="dxa"/>
            <w:vAlign w:val="bottom"/>
          </w:tcPr>
          <w:p>
            <w:pPr>
              <w:jc w:val="center"/>
              <w:spacing w:after="0"/>
              <w:rPr>
                <w:sz w:val="20"/>
                <w:szCs w:val="20"/>
                <w:color w:val="auto"/>
              </w:rPr>
            </w:pPr>
            <w:r>
              <w:rPr>
                <w:rFonts w:ascii="Arial" w:cs="Arial" w:eastAsia="Arial" w:hAnsi="Arial"/>
                <w:sz w:val="17"/>
                <w:szCs w:val="17"/>
                <w:color w:val="auto"/>
              </w:rPr>
              <w:t>5/6/21</w:t>
            </w:r>
          </w:p>
        </w:tc>
        <w:tc>
          <w:tcPr>
            <w:tcW w:w="760" w:type="dxa"/>
            <w:vAlign w:val="bottom"/>
          </w:tcPr>
          <w:p>
            <w:pPr>
              <w:jc w:val="center"/>
              <w:ind w:left="254"/>
              <w:spacing w:after="0"/>
              <w:rPr>
                <w:sz w:val="20"/>
                <w:szCs w:val="20"/>
                <w:color w:val="auto"/>
              </w:rPr>
            </w:pPr>
            <w:r>
              <w:rPr>
                <w:rFonts w:ascii="Arial" w:cs="Arial" w:eastAsia="Arial" w:hAnsi="Arial"/>
                <w:sz w:val="17"/>
                <w:szCs w:val="17"/>
                <w:color w:val="auto"/>
              </w:rPr>
              <w:t>10.1</w:t>
            </w:r>
          </w:p>
        </w:tc>
      </w:tr>
      <w:tr>
        <w:trPr>
          <w:trHeight w:val="388"/>
        </w:trPr>
        <w:tc>
          <w:tcPr>
            <w:tcW w:w="820" w:type="dxa"/>
            <w:vAlign w:val="bottom"/>
          </w:tcPr>
          <w:p>
            <w:pPr>
              <w:jc w:val="center"/>
              <w:ind w:right="314"/>
              <w:spacing w:after="0"/>
              <w:rPr>
                <w:sz w:val="20"/>
                <w:szCs w:val="20"/>
                <w:color w:val="auto"/>
              </w:rPr>
            </w:pPr>
            <w:r>
              <w:rPr>
                <w:rFonts w:ascii="Arial" w:cs="Arial" w:eastAsia="Arial" w:hAnsi="Arial"/>
                <w:sz w:val="17"/>
                <w:szCs w:val="17"/>
                <w:color w:val="auto"/>
              </w:rPr>
              <w:t>10-Q</w:t>
            </w:r>
          </w:p>
        </w:tc>
        <w:tc>
          <w:tcPr>
            <w:tcW w:w="1280" w:type="dxa"/>
            <w:vAlign w:val="bottom"/>
          </w:tcPr>
          <w:p>
            <w:pPr>
              <w:jc w:val="center"/>
              <w:spacing w:after="0"/>
              <w:rPr>
                <w:sz w:val="20"/>
                <w:szCs w:val="20"/>
                <w:color w:val="auto"/>
              </w:rPr>
            </w:pPr>
            <w:r>
              <w:rPr>
                <w:rFonts w:ascii="Arial" w:cs="Arial" w:eastAsia="Arial" w:hAnsi="Arial"/>
                <w:sz w:val="17"/>
                <w:szCs w:val="17"/>
                <w:color w:val="auto"/>
              </w:rPr>
              <w:t>5/6/21</w:t>
            </w:r>
          </w:p>
        </w:tc>
        <w:tc>
          <w:tcPr>
            <w:tcW w:w="760" w:type="dxa"/>
            <w:vAlign w:val="bottom"/>
          </w:tcPr>
          <w:p>
            <w:pPr>
              <w:jc w:val="center"/>
              <w:ind w:left="254"/>
              <w:spacing w:after="0"/>
              <w:rPr>
                <w:sz w:val="20"/>
                <w:szCs w:val="20"/>
                <w:color w:val="auto"/>
              </w:rPr>
            </w:pPr>
            <w:r>
              <w:rPr>
                <w:rFonts w:ascii="Arial" w:cs="Arial" w:eastAsia="Arial" w:hAnsi="Arial"/>
                <w:sz w:val="17"/>
                <w:szCs w:val="17"/>
                <w:color w:val="auto"/>
              </w:rPr>
              <w:t>10.2</w:t>
            </w:r>
          </w:p>
        </w:tc>
      </w:tr>
      <w:tr>
        <w:trPr>
          <w:trHeight w:val="388"/>
        </w:trPr>
        <w:tc>
          <w:tcPr>
            <w:tcW w:w="820" w:type="dxa"/>
            <w:vAlign w:val="bottom"/>
          </w:tcPr>
          <w:p>
            <w:pPr>
              <w:jc w:val="center"/>
              <w:ind w:right="314"/>
              <w:spacing w:after="0"/>
              <w:rPr>
                <w:sz w:val="20"/>
                <w:szCs w:val="20"/>
                <w:color w:val="auto"/>
              </w:rPr>
            </w:pPr>
            <w:r>
              <w:rPr>
                <w:rFonts w:ascii="Arial" w:cs="Arial" w:eastAsia="Arial" w:hAnsi="Arial"/>
                <w:sz w:val="17"/>
                <w:szCs w:val="17"/>
                <w:color w:val="auto"/>
              </w:rPr>
              <w:t>10-Q</w:t>
            </w:r>
          </w:p>
        </w:tc>
        <w:tc>
          <w:tcPr>
            <w:tcW w:w="1280" w:type="dxa"/>
            <w:vAlign w:val="bottom"/>
          </w:tcPr>
          <w:p>
            <w:pPr>
              <w:jc w:val="center"/>
              <w:spacing w:after="0"/>
              <w:rPr>
                <w:sz w:val="20"/>
                <w:szCs w:val="20"/>
                <w:color w:val="auto"/>
              </w:rPr>
            </w:pPr>
            <w:r>
              <w:rPr>
                <w:rFonts w:ascii="Arial" w:cs="Arial" w:eastAsia="Arial" w:hAnsi="Arial"/>
                <w:sz w:val="17"/>
                <w:szCs w:val="17"/>
                <w:color w:val="auto"/>
              </w:rPr>
              <w:t>5/6/21</w:t>
            </w:r>
          </w:p>
        </w:tc>
        <w:tc>
          <w:tcPr>
            <w:tcW w:w="760" w:type="dxa"/>
            <w:vAlign w:val="bottom"/>
          </w:tcPr>
          <w:p>
            <w:pPr>
              <w:jc w:val="center"/>
              <w:ind w:left="254"/>
              <w:spacing w:after="0"/>
              <w:rPr>
                <w:sz w:val="20"/>
                <w:szCs w:val="20"/>
                <w:color w:val="auto"/>
              </w:rPr>
            </w:pPr>
            <w:r>
              <w:rPr>
                <w:rFonts w:ascii="Arial" w:cs="Arial" w:eastAsia="Arial" w:hAnsi="Arial"/>
                <w:sz w:val="17"/>
                <w:szCs w:val="17"/>
                <w:color w:val="auto"/>
              </w:rPr>
              <w:t>10.3</w:t>
            </w:r>
          </w:p>
        </w:tc>
      </w:tr>
      <w:tr>
        <w:trPr>
          <w:trHeight w:val="388"/>
        </w:trPr>
        <w:tc>
          <w:tcPr>
            <w:tcW w:w="820" w:type="dxa"/>
            <w:vAlign w:val="bottom"/>
          </w:tcPr>
          <w:p>
            <w:pPr>
              <w:jc w:val="center"/>
              <w:ind w:right="314"/>
              <w:spacing w:after="0"/>
              <w:rPr>
                <w:sz w:val="20"/>
                <w:szCs w:val="20"/>
                <w:color w:val="auto"/>
              </w:rPr>
            </w:pPr>
            <w:r>
              <w:rPr>
                <w:rFonts w:ascii="Arial" w:cs="Arial" w:eastAsia="Arial" w:hAnsi="Arial"/>
                <w:sz w:val="17"/>
                <w:szCs w:val="17"/>
                <w:color w:val="auto"/>
              </w:rPr>
              <w:t>10-Q</w:t>
            </w:r>
          </w:p>
        </w:tc>
        <w:tc>
          <w:tcPr>
            <w:tcW w:w="1280" w:type="dxa"/>
            <w:vAlign w:val="bottom"/>
          </w:tcPr>
          <w:p>
            <w:pPr>
              <w:jc w:val="center"/>
              <w:spacing w:after="0"/>
              <w:rPr>
                <w:sz w:val="20"/>
                <w:szCs w:val="20"/>
                <w:color w:val="auto"/>
              </w:rPr>
            </w:pPr>
            <w:r>
              <w:rPr>
                <w:rFonts w:ascii="Arial" w:cs="Arial" w:eastAsia="Arial" w:hAnsi="Arial"/>
                <w:sz w:val="17"/>
                <w:szCs w:val="17"/>
                <w:color w:val="auto"/>
              </w:rPr>
              <w:t>11/4/21</w:t>
            </w:r>
          </w:p>
        </w:tc>
        <w:tc>
          <w:tcPr>
            <w:tcW w:w="760" w:type="dxa"/>
            <w:vAlign w:val="bottom"/>
          </w:tcPr>
          <w:p>
            <w:pPr>
              <w:jc w:val="center"/>
              <w:ind w:left="254"/>
              <w:spacing w:after="0"/>
              <w:rPr>
                <w:sz w:val="20"/>
                <w:szCs w:val="20"/>
                <w:color w:val="auto"/>
              </w:rPr>
            </w:pPr>
            <w:r>
              <w:rPr>
                <w:rFonts w:ascii="Arial" w:cs="Arial" w:eastAsia="Arial" w:hAnsi="Arial"/>
                <w:sz w:val="17"/>
                <w:szCs w:val="17"/>
                <w:color w:val="auto"/>
              </w:rPr>
              <w:t>10.1</w:t>
            </w:r>
          </w:p>
        </w:tc>
      </w:tr>
    </w:tbl>
    <w:p>
      <w:pPr>
        <w:sectPr>
          <w:pgSz w:w="11900" w:h="16838" w:orient="portrait"/>
          <w:cols w:equalWidth="0" w:num="2">
            <w:col w:w="7260" w:space="720"/>
            <w:col w:w="2860"/>
          </w:cols>
          <w:pgMar w:left="320" w:top="127" w:right="739" w:bottom="1440" w:gutter="0" w:footer="0" w:header="0"/>
        </w:sectPr>
      </w:pPr>
    </w:p>
    <w:bookmarkStart w:id="113" w:name="page114"/>
    <w:bookmarkEnd w:id="1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327" w:lineRule="exact"/>
        <w:rPr>
          <w:sz w:val="20"/>
          <w:szCs w:val="20"/>
          <w:color w:val="auto"/>
        </w:rPr>
      </w:pPr>
    </w:p>
    <w:p>
      <w:pPr>
        <w:ind w:left="1820" w:right="3840" w:hanging="559"/>
        <w:spacing w:after="0" w:line="253" w:lineRule="auto"/>
        <w:tabs>
          <w:tab w:leader="none" w:pos="24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11" w:lineRule="exact"/>
        <w:rPr>
          <w:sz w:val="20"/>
          <w:szCs w:val="20"/>
          <w:color w:val="auto"/>
        </w:rPr>
      </w:pPr>
    </w:p>
    <w:p>
      <w:pPr>
        <w:ind w:left="260" w:hanging="257"/>
        <w:spacing w:after="0"/>
        <w:tabs>
          <w:tab w:leader="none" w:pos="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1" w:lineRule="exact"/>
        <w:rPr>
          <w:sz w:val="20"/>
          <w:szCs w:val="20"/>
          <w:color w:val="auto"/>
        </w:rPr>
      </w:pPr>
    </w:p>
    <w:p>
      <w:pPr>
        <w:ind w:left="320" w:hanging="317"/>
        <w:spacing w:after="0"/>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11" w:lineRule="exact"/>
        <w:rPr>
          <w:sz w:val="20"/>
          <w:szCs w:val="20"/>
          <w:color w:val="auto"/>
        </w:rPr>
      </w:pPr>
    </w:p>
    <w:p>
      <w:pPr>
        <w:ind w:left="300" w:hanging="297"/>
        <w:spacing w:after="0"/>
        <w:tabs>
          <w:tab w:leader="none" w:pos="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Registrant has omitted portions of the exhibit as permitted under Item 601(b)(10) of Regulation S-K.</w:t>
      </w:r>
    </w:p>
    <w:p>
      <w:pPr>
        <w:spacing w:after="0" w:line="11" w:lineRule="exact"/>
        <w:rPr>
          <w:sz w:val="20"/>
          <w:szCs w:val="20"/>
          <w:color w:val="auto"/>
        </w:rPr>
      </w:pPr>
    </w:p>
    <w:p>
      <w:pPr>
        <w:ind w:left="620" w:hanging="617"/>
        <w:spacing w:after="0" w:line="253" w:lineRule="auto"/>
        <w:tabs>
          <w:tab w:leader="none" w:pos="272"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Registrant has omitted schedules and exhibits pursuant to Item 601(a)(5) of Regulation S-K. The Registrant agrees to furnish supplementally a copy of the omitted schedules and exhibits to the SEC upon request.</w:t>
      </w:r>
    </w:p>
    <w:p>
      <w:pPr>
        <w:spacing w:after="0" w:line="1" w:lineRule="exact"/>
        <w:rPr>
          <w:sz w:val="20"/>
          <w:szCs w:val="20"/>
          <w:color w:val="auto"/>
        </w:rPr>
      </w:pPr>
    </w:p>
    <w:p>
      <w:pPr>
        <w:ind w:left="300" w:hanging="297"/>
        <w:spacing w:after="0"/>
        <w:tabs>
          <w:tab w:leader="none" w:pos="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114" w:name="page115"/>
    <w:bookmarkEnd w:id="1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53" w:lineRule="exact"/>
        <w:rPr>
          <w:sz w:val="20"/>
          <w:szCs w:val="20"/>
          <w:color w:val="auto"/>
        </w:rPr>
      </w:pPr>
    </w:p>
    <w:p>
      <w:pPr>
        <w:ind w:right="2700" w:firstLine="2707"/>
        <w:spacing w:after="0" w:line="432" w:lineRule="auto"/>
        <w:rPr>
          <w:sz w:val="20"/>
          <w:szCs w:val="20"/>
          <w:color w:val="auto"/>
        </w:rPr>
      </w:pPr>
      <w:r>
        <w:rPr>
          <w:rFonts w:ascii="Arial" w:cs="Arial" w:eastAsia="Arial" w:hAnsi="Arial"/>
          <w:sz w:val="17"/>
          <w:szCs w:val="17"/>
          <w:b w:val="1"/>
          <w:bCs w:val="1"/>
          <w:color w:val="auto"/>
        </w:rPr>
        <w:t>REPORT OF INDEPENDENT REGISTERED PUBLIC ACCOUNTING FIRM To the Stockholders and the Board of Directors of Arcutis Biotherapeutics, Inc. Opinion on the Financial Statements</w:t>
      </w:r>
    </w:p>
    <w:p>
      <w:pPr>
        <w:jc w:val="both"/>
        <w:spacing w:after="0" w:line="256" w:lineRule="auto"/>
        <w:rPr>
          <w:sz w:val="20"/>
          <w:szCs w:val="20"/>
          <w:color w:val="auto"/>
        </w:rPr>
      </w:pPr>
      <w:r>
        <w:rPr>
          <w:rFonts w:ascii="Arial" w:cs="Arial" w:eastAsia="Arial" w:hAnsi="Arial"/>
          <w:sz w:val="17"/>
          <w:szCs w:val="17"/>
          <w:color w:val="auto"/>
        </w:rPr>
        <w:t>We have audited the accompanying balance sheets of Arcutis Biotherapeutics, Inc. (the Company) as of December 31, 2021 and 2020, the related statements of operations and comprehensive loss, convertible preferred stock and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22, 2022 expressed an unqualified opinion thereon.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jc w:val="both"/>
        <w:ind w:firstLine="3"/>
        <w:spacing w:after="0" w:line="261" w:lineRule="auto"/>
        <w:tabs>
          <w:tab w:leader="none" w:pos="268"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5" w:name="page116"/>
    <w:bookmarkEnd w:id="1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1600" w:type="dxa"/>
            <w:vAlign w:val="bottom"/>
            <w:vMerge w:val="restart"/>
          </w:tcPr>
          <w:p>
            <w:pPr>
              <w:spacing w:after="0"/>
              <w:rPr>
                <w:sz w:val="20"/>
                <w:szCs w:val="20"/>
                <w:color w:val="auto"/>
              </w:rPr>
            </w:pPr>
            <w:r>
              <w:rPr>
                <w:rFonts w:ascii="Arial" w:cs="Arial" w:eastAsia="Arial" w:hAnsi="Arial"/>
                <w:sz w:val="16"/>
                <w:szCs w:val="16"/>
                <w:i w:val="1"/>
                <w:iCs w:val="1"/>
                <w:color w:val="auto"/>
              </w:rPr>
              <w:t>Description of</w:t>
            </w:r>
          </w:p>
        </w:tc>
        <w:tc>
          <w:tcPr>
            <w:tcW w:w="9580" w:type="dxa"/>
            <w:vAlign w:val="bottom"/>
          </w:tcPr>
          <w:p>
            <w:pPr>
              <w:ind w:left="640"/>
              <w:spacing w:after="0"/>
              <w:rPr>
                <w:sz w:val="20"/>
                <w:szCs w:val="20"/>
                <w:color w:val="auto"/>
              </w:rPr>
            </w:pPr>
            <w:r>
              <w:rPr>
                <w:rFonts w:ascii="Arial" w:cs="Arial" w:eastAsia="Arial" w:hAnsi="Arial"/>
                <w:sz w:val="17"/>
                <w:szCs w:val="17"/>
                <w:b w:val="1"/>
                <w:bCs w:val="1"/>
                <w:i w:val="1"/>
                <w:iCs w:val="1"/>
                <w:color w:val="auto"/>
              </w:rPr>
              <w:t>Accrued Clinical Trial Costs</w:t>
            </w: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9580" w:type="dxa"/>
            <w:vAlign w:val="bottom"/>
          </w:tcPr>
          <w:p>
            <w:pPr>
              <w:ind w:left="640"/>
              <w:spacing w:after="0" w:line="167" w:lineRule="exact"/>
              <w:rPr>
                <w:sz w:val="20"/>
                <w:szCs w:val="20"/>
                <w:color w:val="auto"/>
              </w:rPr>
            </w:pPr>
            <w:r>
              <w:rPr>
                <w:rFonts w:ascii="Arial" w:cs="Arial" w:eastAsia="Arial" w:hAnsi="Arial"/>
                <w:sz w:val="17"/>
                <w:szCs w:val="17"/>
                <w:color w:val="auto"/>
              </w:rPr>
              <w:t>As of December 31, 2021, the Company recorded $13.2 million for accrued clinical trial costs. As described in Note 2</w:t>
            </w:r>
          </w:p>
        </w:tc>
        <w:tc>
          <w:tcPr>
            <w:tcW w:w="0" w:type="dxa"/>
            <w:vAlign w:val="bottom"/>
          </w:tcPr>
          <w:p>
            <w:pPr>
              <w:spacing w:after="0"/>
              <w:rPr>
                <w:sz w:val="1"/>
                <w:szCs w:val="1"/>
                <w:color w:val="auto"/>
              </w:rPr>
            </w:pPr>
          </w:p>
        </w:tc>
      </w:tr>
      <w:tr>
        <w:trPr>
          <w:trHeight w:val="206"/>
        </w:trPr>
        <w:tc>
          <w:tcPr>
            <w:tcW w:w="1600" w:type="dxa"/>
            <w:vAlign w:val="bottom"/>
          </w:tcPr>
          <w:p>
            <w:pPr>
              <w:spacing w:after="0"/>
              <w:rPr>
                <w:sz w:val="20"/>
                <w:szCs w:val="20"/>
                <w:color w:val="auto"/>
              </w:rPr>
            </w:pPr>
            <w:r>
              <w:rPr>
                <w:rFonts w:ascii="Arial" w:cs="Arial" w:eastAsia="Arial" w:hAnsi="Arial"/>
                <w:sz w:val="16"/>
                <w:szCs w:val="16"/>
                <w:i w:val="1"/>
                <w:iCs w:val="1"/>
                <w:color w:val="auto"/>
              </w:rPr>
              <w:t>the Matter</w:t>
            </w:r>
          </w:p>
        </w:tc>
        <w:tc>
          <w:tcPr>
            <w:tcW w:w="9580" w:type="dxa"/>
            <w:vAlign w:val="bottom"/>
          </w:tcPr>
          <w:p>
            <w:pPr>
              <w:ind w:left="640"/>
              <w:spacing w:after="0"/>
              <w:rPr>
                <w:sz w:val="20"/>
                <w:szCs w:val="20"/>
                <w:color w:val="auto"/>
              </w:rPr>
            </w:pPr>
            <w:r>
              <w:rPr>
                <w:rFonts w:ascii="Arial" w:cs="Arial" w:eastAsia="Arial" w:hAnsi="Arial"/>
                <w:sz w:val="17"/>
                <w:szCs w:val="17"/>
                <w:color w:val="auto"/>
              </w:rPr>
              <w:t>to the financial statements, the Company records accrued liabilities for estimated costs of clinical trial research and</w:t>
            </w:r>
          </w:p>
        </w:tc>
        <w:tc>
          <w:tcPr>
            <w:tcW w:w="0" w:type="dxa"/>
            <w:vAlign w:val="bottom"/>
          </w:tcPr>
          <w:p>
            <w:pPr>
              <w:spacing w:after="0"/>
              <w:rPr>
                <w:sz w:val="1"/>
                <w:szCs w:val="1"/>
                <w:color w:val="auto"/>
              </w:rPr>
            </w:pPr>
          </w:p>
        </w:tc>
      </w:tr>
      <w:tr>
        <w:trPr>
          <w:trHeight w:val="181"/>
        </w:trPr>
        <w:tc>
          <w:tcPr>
            <w:tcW w:w="1600" w:type="dxa"/>
            <w:vAlign w:val="bottom"/>
          </w:tcPr>
          <w:p>
            <w:pPr>
              <w:spacing w:after="0"/>
              <w:rPr>
                <w:sz w:val="15"/>
                <w:szCs w:val="15"/>
                <w:color w:val="auto"/>
              </w:rPr>
            </w:pPr>
          </w:p>
        </w:tc>
        <w:tc>
          <w:tcPr>
            <w:tcW w:w="9580" w:type="dxa"/>
            <w:vAlign w:val="bottom"/>
          </w:tcPr>
          <w:p>
            <w:pPr>
              <w:ind w:left="640"/>
              <w:spacing w:after="0" w:line="181" w:lineRule="exact"/>
              <w:rPr>
                <w:sz w:val="20"/>
                <w:szCs w:val="20"/>
                <w:color w:val="auto"/>
              </w:rPr>
            </w:pPr>
            <w:r>
              <w:rPr>
                <w:rFonts w:ascii="Arial" w:cs="Arial" w:eastAsia="Arial" w:hAnsi="Arial"/>
                <w:sz w:val="17"/>
                <w:szCs w:val="17"/>
                <w:color w:val="auto"/>
              </w:rPr>
              <w:t>development activities conducted by third-party clinical research organizations (CROs). The Company accrues for</w:t>
            </w:r>
          </w:p>
        </w:tc>
        <w:tc>
          <w:tcPr>
            <w:tcW w:w="0" w:type="dxa"/>
            <w:vAlign w:val="bottom"/>
          </w:tcPr>
          <w:p>
            <w:pPr>
              <w:spacing w:after="0"/>
              <w:rPr>
                <w:sz w:val="1"/>
                <w:szCs w:val="1"/>
                <w:color w:val="auto"/>
              </w:rPr>
            </w:pPr>
          </w:p>
        </w:tc>
      </w:tr>
      <w:tr>
        <w:trPr>
          <w:trHeight w:val="181"/>
        </w:trPr>
        <w:tc>
          <w:tcPr>
            <w:tcW w:w="1600" w:type="dxa"/>
            <w:vAlign w:val="bottom"/>
          </w:tcPr>
          <w:p>
            <w:pPr>
              <w:spacing w:after="0"/>
              <w:rPr>
                <w:sz w:val="15"/>
                <w:szCs w:val="15"/>
                <w:color w:val="auto"/>
              </w:rPr>
            </w:pPr>
          </w:p>
        </w:tc>
        <w:tc>
          <w:tcPr>
            <w:tcW w:w="9580" w:type="dxa"/>
            <w:vAlign w:val="bottom"/>
          </w:tcPr>
          <w:p>
            <w:pPr>
              <w:ind w:left="640"/>
              <w:spacing w:after="0" w:line="181" w:lineRule="exact"/>
              <w:rPr>
                <w:sz w:val="20"/>
                <w:szCs w:val="20"/>
                <w:color w:val="auto"/>
              </w:rPr>
            </w:pPr>
            <w:r>
              <w:rPr>
                <w:rFonts w:ascii="Arial" w:cs="Arial" w:eastAsia="Arial" w:hAnsi="Arial"/>
                <w:sz w:val="17"/>
                <w:szCs w:val="17"/>
                <w:color w:val="auto"/>
              </w:rPr>
              <w:t>these costs based on factors such as patient enrollment, estimates of the work completed as patients progress</w:t>
            </w:r>
          </w:p>
        </w:tc>
        <w:tc>
          <w:tcPr>
            <w:tcW w:w="0" w:type="dxa"/>
            <w:vAlign w:val="bottom"/>
          </w:tcPr>
          <w:p>
            <w:pPr>
              <w:spacing w:after="0"/>
              <w:rPr>
                <w:sz w:val="1"/>
                <w:szCs w:val="1"/>
                <w:color w:val="auto"/>
              </w:rPr>
            </w:pPr>
          </w:p>
        </w:tc>
      </w:tr>
      <w:tr>
        <w:trPr>
          <w:trHeight w:val="181"/>
        </w:trPr>
        <w:tc>
          <w:tcPr>
            <w:tcW w:w="1600" w:type="dxa"/>
            <w:vAlign w:val="bottom"/>
          </w:tcPr>
          <w:p>
            <w:pPr>
              <w:spacing w:after="0"/>
              <w:rPr>
                <w:sz w:val="15"/>
                <w:szCs w:val="15"/>
                <w:color w:val="auto"/>
              </w:rPr>
            </w:pPr>
          </w:p>
        </w:tc>
        <w:tc>
          <w:tcPr>
            <w:tcW w:w="9580" w:type="dxa"/>
            <w:vAlign w:val="bottom"/>
          </w:tcPr>
          <w:p>
            <w:pPr>
              <w:ind w:left="640"/>
              <w:spacing w:after="0" w:line="181" w:lineRule="exact"/>
              <w:rPr>
                <w:sz w:val="20"/>
                <w:szCs w:val="20"/>
                <w:color w:val="auto"/>
              </w:rPr>
            </w:pPr>
            <w:r>
              <w:rPr>
                <w:rFonts w:ascii="Arial" w:cs="Arial" w:eastAsia="Arial" w:hAnsi="Arial"/>
                <w:sz w:val="17"/>
                <w:szCs w:val="17"/>
                <w:color w:val="auto"/>
              </w:rPr>
              <w:t>through the trials, and the related costs for the research activities in accordance with terms established with its third-</w:t>
            </w:r>
          </w:p>
        </w:tc>
        <w:tc>
          <w:tcPr>
            <w:tcW w:w="0" w:type="dxa"/>
            <w:vAlign w:val="bottom"/>
          </w:tcPr>
          <w:p>
            <w:pPr>
              <w:spacing w:after="0"/>
              <w:rPr>
                <w:sz w:val="1"/>
                <w:szCs w:val="1"/>
                <w:color w:val="auto"/>
              </w:rPr>
            </w:pPr>
          </w:p>
        </w:tc>
      </w:tr>
      <w:tr>
        <w:trPr>
          <w:trHeight w:val="208"/>
        </w:trPr>
        <w:tc>
          <w:tcPr>
            <w:tcW w:w="1600" w:type="dxa"/>
            <w:vAlign w:val="bottom"/>
          </w:tcPr>
          <w:p>
            <w:pPr>
              <w:spacing w:after="0"/>
              <w:rPr>
                <w:sz w:val="18"/>
                <w:szCs w:val="18"/>
                <w:color w:val="auto"/>
              </w:rPr>
            </w:pPr>
          </w:p>
        </w:tc>
        <w:tc>
          <w:tcPr>
            <w:tcW w:w="9580" w:type="dxa"/>
            <w:vAlign w:val="bottom"/>
          </w:tcPr>
          <w:p>
            <w:pPr>
              <w:ind w:left="640"/>
              <w:spacing w:after="0"/>
              <w:rPr>
                <w:sz w:val="20"/>
                <w:szCs w:val="20"/>
                <w:color w:val="auto"/>
              </w:rPr>
            </w:pPr>
            <w:r>
              <w:rPr>
                <w:rFonts w:ascii="Arial" w:cs="Arial" w:eastAsia="Arial" w:hAnsi="Arial"/>
                <w:sz w:val="17"/>
                <w:szCs w:val="17"/>
                <w:color w:val="auto"/>
              </w:rPr>
              <w:t>party service providers under the respective service agreements.</w:t>
            </w:r>
          </w:p>
        </w:tc>
        <w:tc>
          <w:tcPr>
            <w:tcW w:w="0" w:type="dxa"/>
            <w:vAlign w:val="bottom"/>
          </w:tcPr>
          <w:p>
            <w:pPr>
              <w:spacing w:after="0"/>
              <w:rPr>
                <w:sz w:val="1"/>
                <w:szCs w:val="1"/>
                <w:color w:val="auto"/>
              </w:rPr>
            </w:pPr>
          </w:p>
        </w:tc>
      </w:tr>
      <w:tr>
        <w:trPr>
          <w:trHeight w:val="386"/>
        </w:trPr>
        <w:tc>
          <w:tcPr>
            <w:tcW w:w="1600" w:type="dxa"/>
            <w:vAlign w:val="bottom"/>
          </w:tcPr>
          <w:p>
            <w:pPr>
              <w:spacing w:after="0"/>
              <w:rPr>
                <w:sz w:val="24"/>
                <w:szCs w:val="24"/>
                <w:color w:val="auto"/>
              </w:rPr>
            </w:pPr>
          </w:p>
        </w:tc>
        <w:tc>
          <w:tcPr>
            <w:tcW w:w="9580" w:type="dxa"/>
            <w:vAlign w:val="bottom"/>
          </w:tcPr>
          <w:p>
            <w:pPr>
              <w:ind w:left="640"/>
              <w:spacing w:after="0"/>
              <w:rPr>
                <w:sz w:val="20"/>
                <w:szCs w:val="20"/>
                <w:color w:val="auto"/>
              </w:rPr>
            </w:pPr>
            <w:r>
              <w:rPr>
                <w:rFonts w:ascii="Arial" w:cs="Arial" w:eastAsia="Arial" w:hAnsi="Arial"/>
                <w:sz w:val="17"/>
                <w:szCs w:val="17"/>
                <w:color w:val="auto"/>
              </w:rPr>
              <w:t>Auditing the Company’s accounting for accrued clinical trial costs was challenging because calculating the liability for</w:t>
            </w:r>
          </w:p>
        </w:tc>
        <w:tc>
          <w:tcPr>
            <w:tcW w:w="0" w:type="dxa"/>
            <w:vAlign w:val="bottom"/>
          </w:tcPr>
          <w:p>
            <w:pPr>
              <w:spacing w:after="0"/>
              <w:rPr>
                <w:sz w:val="1"/>
                <w:szCs w:val="1"/>
                <w:color w:val="auto"/>
              </w:rPr>
            </w:pPr>
          </w:p>
        </w:tc>
      </w:tr>
      <w:tr>
        <w:trPr>
          <w:trHeight w:val="181"/>
        </w:trPr>
        <w:tc>
          <w:tcPr>
            <w:tcW w:w="1600" w:type="dxa"/>
            <w:vAlign w:val="bottom"/>
          </w:tcPr>
          <w:p>
            <w:pPr>
              <w:spacing w:after="0"/>
              <w:rPr>
                <w:sz w:val="15"/>
                <w:szCs w:val="15"/>
                <w:color w:val="auto"/>
              </w:rPr>
            </w:pPr>
          </w:p>
        </w:tc>
        <w:tc>
          <w:tcPr>
            <w:tcW w:w="9580" w:type="dxa"/>
            <w:vAlign w:val="bottom"/>
          </w:tcPr>
          <w:p>
            <w:pPr>
              <w:ind w:left="640"/>
              <w:spacing w:after="0" w:line="181" w:lineRule="exact"/>
              <w:rPr>
                <w:sz w:val="20"/>
                <w:szCs w:val="20"/>
                <w:color w:val="auto"/>
              </w:rPr>
            </w:pPr>
            <w:r>
              <w:rPr>
                <w:rFonts w:ascii="Arial" w:cs="Arial" w:eastAsia="Arial" w:hAnsi="Arial"/>
                <w:sz w:val="17"/>
                <w:szCs w:val="17"/>
                <w:color w:val="auto"/>
              </w:rPr>
              <w:t>clinical trial activity includes determining the progress or stage of completion of the activities within each clinical trial</w:t>
            </w:r>
          </w:p>
        </w:tc>
        <w:tc>
          <w:tcPr>
            <w:tcW w:w="0" w:type="dxa"/>
            <w:vAlign w:val="bottom"/>
          </w:tcPr>
          <w:p>
            <w:pPr>
              <w:spacing w:after="0"/>
              <w:rPr>
                <w:sz w:val="1"/>
                <w:szCs w:val="1"/>
                <w:color w:val="auto"/>
              </w:rPr>
            </w:pPr>
          </w:p>
        </w:tc>
      </w:tr>
      <w:tr>
        <w:trPr>
          <w:trHeight w:val="208"/>
        </w:trPr>
        <w:tc>
          <w:tcPr>
            <w:tcW w:w="1600" w:type="dxa"/>
            <w:vAlign w:val="bottom"/>
          </w:tcPr>
          <w:p>
            <w:pPr>
              <w:spacing w:after="0"/>
              <w:rPr>
                <w:sz w:val="18"/>
                <w:szCs w:val="18"/>
                <w:color w:val="auto"/>
              </w:rPr>
            </w:pPr>
          </w:p>
        </w:tc>
        <w:tc>
          <w:tcPr>
            <w:tcW w:w="9580" w:type="dxa"/>
            <w:vAlign w:val="bottom"/>
          </w:tcPr>
          <w:p>
            <w:pPr>
              <w:ind w:left="640"/>
              <w:spacing w:after="0"/>
              <w:rPr>
                <w:sz w:val="20"/>
                <w:szCs w:val="20"/>
                <w:color w:val="auto"/>
              </w:rPr>
            </w:pPr>
            <w:r>
              <w:rPr>
                <w:rFonts w:ascii="Arial" w:cs="Arial" w:eastAsia="Arial" w:hAnsi="Arial"/>
                <w:sz w:val="17"/>
                <w:szCs w:val="17"/>
                <w:color w:val="auto"/>
              </w:rPr>
              <w:t>based on internal and external information, and involves a high volume of data.</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0"/>
        <w:spacing w:after="0"/>
        <w:tabs>
          <w:tab w:leader="none" w:pos="2240" w:val="left"/>
        </w:tabs>
        <w:rPr>
          <w:sz w:val="20"/>
          <w:szCs w:val="20"/>
          <w:color w:val="auto"/>
        </w:rPr>
      </w:pPr>
      <w:r>
        <w:rPr>
          <w:rFonts w:ascii="Arial" w:cs="Arial" w:eastAsia="Arial" w:hAnsi="Arial"/>
          <w:sz w:val="16"/>
          <w:szCs w:val="16"/>
          <w:i w:val="1"/>
          <w:iCs w:val="1"/>
          <w:color w:val="auto"/>
        </w:rPr>
        <w:t>How We Addressed the Matter</w:t>
      </w:r>
      <w:r>
        <w:rPr>
          <w:sz w:val="20"/>
          <w:szCs w:val="20"/>
          <w:color w:val="auto"/>
        </w:rPr>
        <w:tab/>
      </w:r>
      <w:r>
        <w:rPr>
          <w:rFonts w:ascii="Arial" w:cs="Arial" w:eastAsia="Arial" w:hAnsi="Arial"/>
          <w:sz w:val="17"/>
          <w:szCs w:val="17"/>
          <w:color w:val="auto"/>
        </w:rPr>
        <w:t>We obtained an understanding, evaluated the design, and tested the operating effectiveness of internal controls over</w:t>
      </w:r>
    </w:p>
    <w:p>
      <w:pPr>
        <w:jc w:val="both"/>
        <w:ind w:left="2260" w:right="40" w:hanging="2234"/>
        <w:spacing w:after="0" w:line="233" w:lineRule="auto"/>
        <w:tabs>
          <w:tab w:leader="none" w:pos="2240" w:val="left"/>
        </w:tabs>
        <w:rPr>
          <w:sz w:val="20"/>
          <w:szCs w:val="20"/>
          <w:color w:val="auto"/>
        </w:rPr>
      </w:pPr>
      <w:r>
        <w:rPr>
          <w:rFonts w:ascii="Arial" w:cs="Arial" w:eastAsia="Arial" w:hAnsi="Arial"/>
          <w:sz w:val="16"/>
          <w:szCs w:val="16"/>
          <w:i w:val="1"/>
          <w:iCs w:val="1"/>
          <w:color w:val="auto"/>
        </w:rPr>
        <w:t>in Our Audit</w:t>
      </w:r>
      <w:r>
        <w:rPr>
          <w:sz w:val="20"/>
          <w:szCs w:val="20"/>
          <w:color w:val="auto"/>
        </w:rPr>
        <w:tab/>
      </w:r>
      <w:r>
        <w:rPr>
          <w:rFonts w:ascii="Arial" w:cs="Arial" w:eastAsia="Arial" w:hAnsi="Arial"/>
          <w:sz w:val="17"/>
          <w:szCs w:val="17"/>
          <w:color w:val="auto"/>
        </w:rPr>
        <w:t>the Company’s process for estimating accrued clinical trial costs, including controls over management’s measurement of clinical trial progress and the related estimates of costs incurred. We also tested controls over management’s review of the completeness and accuracy of data used in determining the accruals.</w:t>
      </w:r>
    </w:p>
    <w:p>
      <w:pPr>
        <w:spacing w:after="0" w:line="216" w:lineRule="exact"/>
        <w:rPr>
          <w:sz w:val="20"/>
          <w:szCs w:val="20"/>
          <w:color w:val="auto"/>
        </w:rPr>
      </w:pPr>
    </w:p>
    <w:p>
      <w:pPr>
        <w:jc w:val="both"/>
        <w:ind w:left="2260" w:right="40"/>
        <w:spacing w:after="0" w:line="238" w:lineRule="auto"/>
        <w:rPr>
          <w:sz w:val="20"/>
          <w:szCs w:val="20"/>
          <w:color w:val="auto"/>
        </w:rPr>
      </w:pPr>
      <w:r>
        <w:rPr>
          <w:rFonts w:ascii="Arial" w:cs="Arial" w:eastAsia="Arial" w:hAnsi="Arial"/>
          <w:sz w:val="17"/>
          <w:szCs w:val="17"/>
          <w:color w:val="auto"/>
        </w:rPr>
        <w:t>To test the adequacy of the Company’s accrued clinical trial costs, we performed audit procedures that included, among others, inspecting correspondence between internal clinical trial study managers and external clinical trial service providers for selected clinical trials and performing corroborative inquiries of accounting personnel and internal clinical project managers to validate the progress of clinical trial activities. To assess the appropriate measurement of accrued clinical trial costs, we reviewed significant agreements, and associated amendments and change orders, obtained external confirmation of key study dates and patient enrollment status directly with the CROs, selected a sample of transactions to inspect invoices, and vouched payments to bank statements. Additionally, we reviewed payments made subsequent to year-end to evaluate the completeness of the accrued clinical trial costs.</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Ernst &amp; Young LLP</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66"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Balance Sheets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par value)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0"/>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4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65,082</w:t>
            </w:r>
          </w:p>
        </w:tc>
        <w:tc>
          <w:tcPr>
            <w:tcW w:w="0" w:type="dxa"/>
            <w:vAlign w:val="bottom"/>
          </w:tcPr>
          <w:p>
            <w:pPr>
              <w:spacing w:after="0"/>
              <w:rPr>
                <w:sz w:val="1"/>
                <w:szCs w:val="1"/>
                <w:color w:val="auto"/>
              </w:rPr>
            </w:pPr>
          </w:p>
        </w:tc>
      </w:tr>
      <w:tr>
        <w:trPr>
          <w:trHeight w:val="220"/>
        </w:trPr>
        <w:tc>
          <w:tcPr>
            <w:tcW w:w="8480" w:type="dxa"/>
            <w:vAlign w:val="bottom"/>
          </w:tcPr>
          <w:p>
            <w:pPr>
              <w:ind w:left="340"/>
              <w:spacing w:after="0"/>
              <w:rPr>
                <w:sz w:val="20"/>
                <w:szCs w:val="20"/>
                <w:color w:val="auto"/>
              </w:rPr>
            </w:pPr>
            <w:r>
              <w:rPr>
                <w:rFonts w:ascii="Arial" w:cs="Arial" w:eastAsia="Arial" w:hAnsi="Arial"/>
                <w:sz w:val="17"/>
                <w:szCs w:val="17"/>
                <w:color w:val="auto"/>
              </w:rPr>
              <w:t>Restricted cash</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1,542</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Marketable securities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290,610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219,359</w:t>
            </w:r>
          </w:p>
        </w:tc>
        <w:tc>
          <w:tcPr>
            <w:tcW w:w="0" w:type="dxa"/>
            <w:vAlign w:val="bottom"/>
          </w:tcPr>
          <w:p>
            <w:pPr>
              <w:spacing w:after="0"/>
              <w:rPr>
                <w:sz w:val="1"/>
                <w:szCs w:val="1"/>
                <w:color w:val="auto"/>
              </w:rPr>
            </w:pPr>
          </w:p>
        </w:tc>
      </w:tr>
      <w:tr>
        <w:trPr>
          <w:trHeight w:val="220"/>
        </w:trPr>
        <w:tc>
          <w:tcPr>
            <w:tcW w:w="84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14,172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6,843</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current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402,773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292,826</w:t>
            </w:r>
          </w:p>
        </w:tc>
        <w:tc>
          <w:tcPr>
            <w:tcW w:w="0" w:type="dxa"/>
            <w:vAlign w:val="bottom"/>
          </w:tcPr>
          <w:p>
            <w:pPr>
              <w:spacing w:after="0"/>
              <w:rPr>
                <w:sz w:val="1"/>
                <w:szCs w:val="1"/>
                <w:color w:val="auto"/>
              </w:rPr>
            </w:pPr>
          </w:p>
        </w:tc>
      </w:tr>
      <w:tr>
        <w:trPr>
          <w:trHeight w:val="220"/>
        </w:trPr>
        <w:tc>
          <w:tcPr>
            <w:tcW w:w="84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2,016</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3,349</w:t>
            </w:r>
          </w:p>
        </w:tc>
        <w:tc>
          <w:tcPr>
            <w:tcW w:w="0" w:type="dxa"/>
            <w:vAlign w:val="bottom"/>
          </w:tcPr>
          <w:p>
            <w:pPr>
              <w:spacing w:after="0"/>
              <w:rPr>
                <w:sz w:val="1"/>
                <w:szCs w:val="1"/>
                <w:color w:val="auto"/>
              </w:rPr>
            </w:pPr>
          </w:p>
        </w:tc>
      </w:tr>
      <w:tr>
        <w:trPr>
          <w:trHeight w:val="22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3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408,152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298,269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48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7,353</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7,140</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15,462</w:t>
            </w:r>
          </w:p>
        </w:tc>
        <w:tc>
          <w:tcPr>
            <w:tcW w:w="0" w:type="dxa"/>
            <w:vAlign w:val="bottom"/>
          </w:tcPr>
          <w:p>
            <w:pPr>
              <w:spacing w:after="0"/>
              <w:rPr>
                <w:sz w:val="1"/>
                <w:szCs w:val="1"/>
                <w:color w:val="auto"/>
              </w:rPr>
            </w:pPr>
          </w:p>
        </w:tc>
      </w:tr>
      <w:tr>
        <w:trPr>
          <w:trHeight w:val="220"/>
        </w:trPr>
        <w:tc>
          <w:tcPr>
            <w:tcW w:w="84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Operating lease liability</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current liabilities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22,602</w:t>
            </w:r>
          </w:p>
        </w:tc>
        <w:tc>
          <w:tcPr>
            <w:tcW w:w="0" w:type="dxa"/>
            <w:vAlign w:val="bottom"/>
          </w:tcPr>
          <w:p>
            <w:pPr>
              <w:spacing w:after="0"/>
              <w:rPr>
                <w:sz w:val="1"/>
                <w:szCs w:val="1"/>
                <w:color w:val="auto"/>
              </w:rPr>
            </w:pPr>
          </w:p>
        </w:tc>
      </w:tr>
      <w:tr>
        <w:trPr>
          <w:trHeight w:val="220"/>
        </w:trPr>
        <w:tc>
          <w:tcPr>
            <w:tcW w:w="8480" w:type="dxa"/>
            <w:vAlign w:val="bottom"/>
          </w:tcPr>
          <w:p>
            <w:pPr>
              <w:ind w:left="20"/>
              <w:spacing w:after="0"/>
              <w:rPr>
                <w:sz w:val="20"/>
                <w:szCs w:val="20"/>
                <w:color w:val="auto"/>
              </w:rPr>
            </w:pPr>
            <w:r>
              <w:rPr>
                <w:rFonts w:ascii="Arial" w:cs="Arial" w:eastAsia="Arial" w:hAnsi="Arial"/>
                <w:sz w:val="17"/>
                <w:szCs w:val="17"/>
                <w:color w:val="auto"/>
              </w:rPr>
              <w:t>Operating lease liability, noncurrent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4,964</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110,475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27,648</w:t>
            </w:r>
          </w:p>
        </w:tc>
        <w:tc>
          <w:tcPr>
            <w:tcW w:w="0" w:type="dxa"/>
            <w:vAlign w:val="bottom"/>
          </w:tcPr>
          <w:p>
            <w:pPr>
              <w:spacing w:after="0"/>
              <w:rPr>
                <w:sz w:val="1"/>
                <w:szCs w:val="1"/>
                <w:color w:val="auto"/>
              </w:rPr>
            </w:pPr>
          </w:p>
        </w:tc>
      </w:tr>
      <w:tr>
        <w:trPr>
          <w:trHeight w:val="200"/>
        </w:trPr>
        <w:tc>
          <w:tcPr>
            <w:tcW w:w="8480" w:type="dxa"/>
            <w:vAlign w:val="bottom"/>
          </w:tcPr>
          <w:p>
            <w:pPr>
              <w:ind w:left="20"/>
              <w:spacing w:after="0"/>
              <w:rPr>
                <w:sz w:val="20"/>
                <w:szCs w:val="20"/>
                <w:color w:val="auto"/>
              </w:rPr>
            </w:pPr>
            <w:r>
              <w:rPr>
                <w:rFonts w:ascii="Arial" w:cs="Arial" w:eastAsia="Arial" w:hAnsi="Arial"/>
                <w:sz w:val="17"/>
                <w:szCs w:val="17"/>
                <w:color w:val="auto"/>
              </w:rPr>
              <w:t>Commitments and contingencies (Note 7)</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480" w:type="dxa"/>
            <w:vAlign w:val="bottom"/>
          </w:tcPr>
          <w:p>
            <w:pPr>
              <w:ind w:left="480"/>
              <w:spacing w:after="0" w:line="180" w:lineRule="exact"/>
              <w:rPr>
                <w:sz w:val="20"/>
                <w:szCs w:val="20"/>
                <w:color w:val="auto"/>
              </w:rPr>
            </w:pPr>
            <w:r>
              <w:rPr>
                <w:rFonts w:ascii="Arial" w:cs="Arial" w:eastAsia="Arial" w:hAnsi="Arial"/>
                <w:sz w:val="17"/>
                <w:szCs w:val="17"/>
                <w:color w:val="auto"/>
              </w:rPr>
              <w:t>Preferred stock, $0.0001 par value; 10,000,000 shares authorized at December 31, 2021 and</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480" w:type="dxa"/>
            <w:vAlign w:val="bottom"/>
          </w:tcPr>
          <w:p>
            <w:pPr>
              <w:ind w:left="480"/>
              <w:spacing w:after="0"/>
              <w:rPr>
                <w:sz w:val="20"/>
                <w:szCs w:val="20"/>
                <w:color w:val="auto"/>
              </w:rPr>
            </w:pPr>
            <w:r>
              <w:rPr>
                <w:rFonts w:ascii="Arial" w:cs="Arial" w:eastAsia="Arial" w:hAnsi="Arial"/>
                <w:sz w:val="17"/>
                <w:szCs w:val="17"/>
                <w:color w:val="auto"/>
              </w:rPr>
              <w:t>December 31, 2020; no shares issued and outstanding at December 31, 2021 and December 31, 2020;</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0"/>
        </w:trPr>
        <w:tc>
          <w:tcPr>
            <w:tcW w:w="8480" w:type="dxa"/>
            <w:vAlign w:val="bottom"/>
            <w:shd w:val="clear" w:color="auto" w:fill="CCEEFF"/>
          </w:tcPr>
          <w:p>
            <w:pPr>
              <w:ind w:left="480"/>
              <w:spacing w:after="0" w:line="180" w:lineRule="exact"/>
              <w:rPr>
                <w:sz w:val="20"/>
                <w:szCs w:val="20"/>
                <w:color w:val="auto"/>
              </w:rPr>
            </w:pPr>
            <w:r>
              <w:rPr>
                <w:rFonts w:ascii="Arial" w:cs="Arial" w:eastAsia="Arial" w:hAnsi="Arial"/>
                <w:sz w:val="17"/>
                <w:szCs w:val="17"/>
                <w:color w:val="auto"/>
              </w:rPr>
              <w:t>Common stock, $0.0001 par value; 300,000,000 and 300,000,000 shares authorized at December 31,</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80" w:type="dxa"/>
            <w:vAlign w:val="bottom"/>
            <w:shd w:val="clear" w:color="auto" w:fill="CCEEFF"/>
          </w:tcPr>
          <w:p>
            <w:pPr>
              <w:ind w:left="480"/>
              <w:spacing w:after="0" w:line="168" w:lineRule="exact"/>
              <w:rPr>
                <w:sz w:val="20"/>
                <w:szCs w:val="20"/>
                <w:color w:val="auto"/>
              </w:rPr>
            </w:pPr>
            <w:r>
              <w:rPr>
                <w:rFonts w:ascii="Arial" w:cs="Arial" w:eastAsia="Arial" w:hAnsi="Arial"/>
                <w:sz w:val="17"/>
                <w:szCs w:val="17"/>
                <w:color w:val="auto"/>
              </w:rPr>
              <w:t>2021 and December 31, 2020, respectively; 50,345,754 and 43,677,817 shares issued at December 31,</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80" w:type="dxa"/>
            <w:vAlign w:val="bottom"/>
            <w:shd w:val="clear" w:color="auto" w:fill="CCEEFF"/>
          </w:tcPr>
          <w:p>
            <w:pPr>
              <w:ind w:left="480"/>
              <w:spacing w:after="0" w:line="168" w:lineRule="exact"/>
              <w:rPr>
                <w:sz w:val="20"/>
                <w:szCs w:val="20"/>
                <w:color w:val="auto"/>
              </w:rPr>
            </w:pPr>
            <w:r>
              <w:rPr>
                <w:rFonts w:ascii="Arial" w:cs="Arial" w:eastAsia="Arial" w:hAnsi="Arial"/>
                <w:sz w:val="17"/>
                <w:szCs w:val="17"/>
                <w:color w:val="auto"/>
              </w:rPr>
              <w:t>2021 and December 31, 2020, respectively; 50,255,614 and 43,338,438 shares outstanding at</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4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December 31, 2021 and December 31, 2020, respectively</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0"/>
        </w:trPr>
        <w:tc>
          <w:tcPr>
            <w:tcW w:w="8480" w:type="dxa"/>
            <w:vAlign w:val="bottom"/>
          </w:tcPr>
          <w:p>
            <w:pPr>
              <w:ind w:left="340"/>
              <w:spacing w:after="0"/>
              <w:rPr>
                <w:sz w:val="20"/>
                <w:szCs w:val="20"/>
                <w:color w:val="auto"/>
              </w:rPr>
            </w:pPr>
            <w:r>
              <w:rPr>
                <w:rFonts w:ascii="Arial" w:cs="Arial" w:eastAsia="Arial" w:hAnsi="Arial"/>
                <w:sz w:val="17"/>
                <w:szCs w:val="17"/>
                <w:color w:val="auto"/>
              </w:rPr>
              <w:t>Additional paid-in capital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706,233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472,569</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84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Accumulated deficit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(408,306)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(201,950)</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297,677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270,621</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408,152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298,269</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7" w:name="page118"/>
    <w:bookmarkEnd w:id="1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44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145,558</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115,308</w:t>
            </w:r>
          </w:p>
        </w:tc>
        <w:tc>
          <w:tcPr>
            <w:tcW w:w="80" w:type="dxa"/>
            <w:vAlign w:val="bottom"/>
          </w:tcPr>
          <w:p>
            <w:pPr>
              <w:spacing w:after="0"/>
              <w:rPr>
                <w:sz w:val="22"/>
                <w:szCs w:val="22"/>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36,522</w:t>
            </w:r>
          </w:p>
        </w:tc>
        <w:tc>
          <w:tcPr>
            <w:tcW w:w="0" w:type="dxa"/>
            <w:vAlign w:val="bottom"/>
          </w:tcPr>
          <w:p>
            <w:pPr>
              <w:spacing w:after="0"/>
              <w:rPr>
                <w:sz w:val="1"/>
                <w:szCs w:val="1"/>
                <w:color w:val="auto"/>
              </w:rPr>
            </w:pPr>
          </w:p>
        </w:tc>
      </w:tr>
      <w:tr>
        <w:trPr>
          <w:trHeight w:val="258"/>
        </w:trPr>
        <w:tc>
          <w:tcPr>
            <w:tcW w:w="6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60,971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21,337</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6,610</w:t>
            </w:r>
          </w:p>
        </w:tc>
        <w:tc>
          <w:tcPr>
            <w:tcW w:w="0" w:type="dxa"/>
            <w:vAlign w:val="bottom"/>
          </w:tcPr>
          <w:p>
            <w:pPr>
              <w:spacing w:after="0"/>
              <w:rPr>
                <w:sz w:val="1"/>
                <w:szCs w:val="1"/>
                <w:color w:val="auto"/>
              </w:rPr>
            </w:pPr>
          </w:p>
        </w:tc>
      </w:tr>
      <w:tr>
        <w:trPr>
          <w:trHeight w:val="238"/>
        </w:trPr>
        <w:tc>
          <w:tcPr>
            <w:tcW w:w="644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206,529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136,645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43,132</w:t>
            </w:r>
          </w:p>
        </w:tc>
        <w:tc>
          <w:tcPr>
            <w:tcW w:w="0" w:type="dxa"/>
            <w:vAlign w:val="bottom"/>
          </w:tcPr>
          <w:p>
            <w:pPr>
              <w:spacing w:after="0"/>
              <w:rPr>
                <w:sz w:val="1"/>
                <w:szCs w:val="1"/>
                <w:color w:val="auto"/>
              </w:rPr>
            </w:pPr>
          </w:p>
        </w:tc>
      </w:tr>
      <w:tr>
        <w:trPr>
          <w:trHeight w:val="238"/>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(206,529)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(136,645)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(43,132)</w:t>
            </w:r>
          </w:p>
        </w:tc>
        <w:tc>
          <w:tcPr>
            <w:tcW w:w="0" w:type="dxa"/>
            <w:vAlign w:val="bottom"/>
          </w:tcPr>
          <w:p>
            <w:pPr>
              <w:spacing w:after="0"/>
              <w:rPr>
                <w:sz w:val="1"/>
                <w:szCs w:val="1"/>
                <w:color w:val="auto"/>
              </w:rPr>
            </w:pPr>
          </w:p>
        </w:tc>
      </w:tr>
      <w:tr>
        <w:trPr>
          <w:trHeight w:val="258"/>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w:t>
            </w:r>
          </w:p>
        </w:tc>
        <w:tc>
          <w:tcPr>
            <w:tcW w:w="0" w:type="dxa"/>
            <w:vAlign w:val="bottom"/>
          </w:tcPr>
          <w:p>
            <w:pPr>
              <w:spacing w:after="0"/>
              <w:rPr>
                <w:sz w:val="1"/>
                <w:szCs w:val="1"/>
                <w:color w:val="auto"/>
              </w:rPr>
            </w:pPr>
          </w:p>
        </w:tc>
      </w:tr>
      <w:tr>
        <w:trPr>
          <w:trHeight w:val="233"/>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(206,356)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(135,678)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(41,996)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Other comprehensive loss: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6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Unrealized loss on marketable securities</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7"/>
                <w:szCs w:val="17"/>
                <w:color w:val="auto"/>
              </w:rPr>
              <w:t>Comprehensive loss</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(206,609)</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(135,679)</w:t>
            </w:r>
          </w:p>
        </w:tc>
        <w:tc>
          <w:tcPr>
            <w:tcW w:w="8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(41,997)</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4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Per share information:</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440" w:type="dxa"/>
            <w:vAlign w:val="bottom"/>
          </w:tcPr>
          <w:p>
            <w:pPr>
              <w:ind w:left="20"/>
              <w:spacing w:after="0"/>
              <w:rPr>
                <w:sz w:val="20"/>
                <w:szCs w:val="20"/>
                <w:color w:val="auto"/>
              </w:rPr>
            </w:pPr>
            <w:r>
              <w:rPr>
                <w:rFonts w:ascii="Arial" w:cs="Arial" w:eastAsia="Arial" w:hAnsi="Arial"/>
                <w:sz w:val="17"/>
                <w:szCs w:val="17"/>
                <w:color w:val="auto"/>
              </w:rPr>
              <w:t>Net loss per share, basic and diluted</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(4.18)</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(3.80)</w:t>
            </w:r>
          </w:p>
        </w:tc>
        <w:tc>
          <w:tcPr>
            <w:tcW w:w="80" w:type="dxa"/>
            <w:vAlign w:val="bottom"/>
          </w:tcPr>
          <w:p>
            <w:pPr>
              <w:spacing w:after="0"/>
              <w:rPr>
                <w:sz w:val="20"/>
                <w:szCs w:val="20"/>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(22.78)</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40" w:type="dxa"/>
            <w:vAlign w:val="bottom"/>
            <w:tcBorders>
              <w:bottom w:val="single" w:sz="8" w:color="CCEEFF"/>
            </w:tcBorders>
            <w:shd w:val="clear" w:color="auto" w:fill="CCEEFF"/>
          </w:tcPr>
          <w:p>
            <w:pPr>
              <w:ind w:left="20"/>
              <w:spacing w:after="0" w:line="188" w:lineRule="exact"/>
              <w:rPr>
                <w:sz w:val="20"/>
                <w:szCs w:val="20"/>
                <w:color w:val="auto"/>
              </w:rPr>
            </w:pPr>
            <w:r>
              <w:rPr>
                <w:rFonts w:ascii="Arial" w:cs="Arial" w:eastAsia="Arial" w:hAnsi="Arial"/>
                <w:sz w:val="17"/>
                <w:szCs w:val="17"/>
                <w:color w:val="auto"/>
              </w:rPr>
              <w:t>Weighted-average shares used in computing net loss per share, basic and diluted</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49,405,575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35,668,152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1,843,213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8" w:name="page119"/>
    <w:bookmarkEnd w:id="1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Statements of Convertible Preferred Stock and Stockholders’ Equity (Deficit)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314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0"/>
                <w:szCs w:val="10"/>
                <w:b w:val="1"/>
                <w:bCs w:val="1"/>
                <w:color w:val="auto"/>
              </w:rPr>
              <w:t>Convertible</w:t>
            </w:r>
          </w:p>
        </w:tc>
        <w:tc>
          <w:tcPr>
            <w:tcW w:w="7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gridSpan w:val="5"/>
            <w:vMerge w:val="restart"/>
          </w:tcPr>
          <w:p>
            <w:pPr>
              <w:ind w:left="540"/>
              <w:spacing w:after="0"/>
              <w:rPr>
                <w:sz w:val="20"/>
                <w:szCs w:val="20"/>
                <w:color w:val="auto"/>
              </w:rPr>
            </w:pPr>
            <w:r>
              <w:rPr>
                <w:rFonts w:ascii="Arial" w:cs="Arial" w:eastAsia="Arial" w:hAnsi="Arial"/>
                <w:sz w:val="10"/>
                <w:szCs w:val="10"/>
                <w:b w:val="1"/>
                <w:bCs w:val="1"/>
                <w:color w:val="auto"/>
              </w:rPr>
              <w:t>Common Stock</w:t>
            </w:r>
          </w:p>
        </w:tc>
        <w:tc>
          <w:tcPr>
            <w:tcW w:w="160" w:type="dxa"/>
            <w:vAlign w:val="bottom"/>
          </w:tcPr>
          <w:p>
            <w:pPr>
              <w:spacing w:after="0"/>
              <w:rPr>
                <w:sz w:val="13"/>
                <w:szCs w:val="13"/>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rPr>
              <w:t>Additional</w:t>
            </w:r>
          </w:p>
        </w:tc>
        <w:tc>
          <w:tcPr>
            <w:tcW w:w="1200" w:type="dxa"/>
            <w:vAlign w:val="bottom"/>
            <w:gridSpan w:val="3"/>
            <w:vMerge w:val="restart"/>
          </w:tcPr>
          <w:p>
            <w:pPr>
              <w:jc w:val="center"/>
              <w:ind w:right="120"/>
              <w:spacing w:after="0"/>
              <w:rPr>
                <w:sz w:val="20"/>
                <w:szCs w:val="20"/>
                <w:color w:val="auto"/>
              </w:rPr>
            </w:pPr>
            <w:r>
              <w:rPr>
                <w:rFonts w:ascii="Arial" w:cs="Arial" w:eastAsia="Arial" w:hAnsi="Arial"/>
                <w:sz w:val="10"/>
                <w:szCs w:val="10"/>
                <w:b w:val="1"/>
                <w:bCs w:val="1"/>
                <w:color w:val="auto"/>
              </w:rPr>
              <w:t>Accumulated Other</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center"/>
              <w:ind w:right="53"/>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3"/>
        </w:trPr>
        <w:tc>
          <w:tcPr>
            <w:tcW w:w="3140" w:type="dxa"/>
            <w:vAlign w:val="bottom"/>
          </w:tcPr>
          <w:p>
            <w:pPr>
              <w:spacing w:after="0"/>
              <w:rPr>
                <w:sz w:val="8"/>
                <w:szCs w:val="8"/>
                <w:color w:val="auto"/>
              </w:rPr>
            </w:pPr>
          </w:p>
        </w:tc>
        <w:tc>
          <w:tcPr>
            <w:tcW w:w="1920" w:type="dxa"/>
            <w:vAlign w:val="bottom"/>
            <w:tcBorders>
              <w:right w:val="single" w:sz="8" w:color="auto"/>
            </w:tcBorders>
            <w:gridSpan w:val="4"/>
          </w:tcPr>
          <w:p>
            <w:pPr>
              <w:jc w:val="right"/>
              <w:ind w:right="552"/>
              <w:spacing w:after="0" w:line="104" w:lineRule="exact"/>
              <w:rPr>
                <w:sz w:val="20"/>
                <w:szCs w:val="20"/>
                <w:color w:val="auto"/>
              </w:rPr>
            </w:pPr>
            <w:r>
              <w:rPr>
                <w:rFonts w:ascii="Arial" w:cs="Arial" w:eastAsia="Arial" w:hAnsi="Arial"/>
                <w:sz w:val="10"/>
                <w:szCs w:val="10"/>
                <w:b w:val="1"/>
                <w:bCs w:val="1"/>
                <w:color w:val="auto"/>
              </w:rPr>
              <w:t>Preferred Stock</w:t>
            </w:r>
          </w:p>
        </w:tc>
        <w:tc>
          <w:tcPr>
            <w:tcW w:w="60" w:type="dxa"/>
            <w:vAlign w:val="bottom"/>
          </w:tcPr>
          <w:p>
            <w:pPr>
              <w:spacing w:after="0"/>
              <w:rPr>
                <w:sz w:val="8"/>
                <w:szCs w:val="8"/>
                <w:color w:val="auto"/>
              </w:rPr>
            </w:pPr>
          </w:p>
        </w:tc>
        <w:tc>
          <w:tcPr>
            <w:tcW w:w="192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14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2"/>
          </w:tcPr>
          <w:p>
            <w:pPr>
              <w:jc w:val="center"/>
              <w:ind w:right="280"/>
              <w:spacing w:after="0" w:line="52" w:lineRule="exact"/>
              <w:rPr>
                <w:sz w:val="20"/>
                <w:szCs w:val="20"/>
                <w:color w:val="auto"/>
              </w:rPr>
            </w:pPr>
            <w:r>
              <w:rPr>
                <w:rFonts w:ascii="Arial" w:cs="Arial" w:eastAsia="Arial" w:hAnsi="Arial"/>
                <w:sz w:val="5"/>
                <w:szCs w:val="5"/>
                <w:b w:val="1"/>
                <w:bCs w:val="1"/>
                <w:color w:val="auto"/>
              </w:rPr>
              <w:t>Paid-In</w:t>
            </w:r>
          </w:p>
        </w:tc>
        <w:tc>
          <w:tcPr>
            <w:tcW w:w="120" w:type="dxa"/>
            <w:vAlign w:val="bottom"/>
          </w:tcPr>
          <w:p>
            <w:pPr>
              <w:spacing w:after="0"/>
              <w:rPr>
                <w:sz w:val="4"/>
                <w:szCs w:val="4"/>
                <w:color w:val="auto"/>
              </w:rPr>
            </w:pPr>
          </w:p>
        </w:tc>
        <w:tc>
          <w:tcPr>
            <w:tcW w:w="1080" w:type="dxa"/>
            <w:vAlign w:val="bottom"/>
            <w:gridSpan w:val="2"/>
          </w:tcPr>
          <w:p>
            <w:pPr>
              <w:jc w:val="center"/>
              <w:ind w:right="220"/>
              <w:spacing w:after="0" w:line="52" w:lineRule="exact"/>
              <w:rPr>
                <w:sz w:val="20"/>
                <w:szCs w:val="20"/>
                <w:color w:val="auto"/>
              </w:rPr>
            </w:pPr>
            <w:r>
              <w:rPr>
                <w:rFonts w:ascii="Arial" w:cs="Arial" w:eastAsia="Arial" w:hAnsi="Arial"/>
                <w:sz w:val="5"/>
                <w:szCs w:val="5"/>
                <w:b w:val="1"/>
                <w:bCs w:val="1"/>
                <w:color w:val="auto"/>
              </w:rPr>
              <w:t>Comprehensive</w:t>
            </w:r>
          </w:p>
        </w:tc>
        <w:tc>
          <w:tcPr>
            <w:tcW w:w="80" w:type="dxa"/>
            <w:vAlign w:val="bottom"/>
          </w:tcPr>
          <w:p>
            <w:pPr>
              <w:spacing w:after="0"/>
              <w:rPr>
                <w:sz w:val="4"/>
                <w:szCs w:val="4"/>
                <w:color w:val="auto"/>
              </w:rPr>
            </w:pPr>
          </w:p>
        </w:tc>
        <w:tc>
          <w:tcPr>
            <w:tcW w:w="860" w:type="dxa"/>
            <w:vAlign w:val="bottom"/>
            <w:gridSpan w:val="2"/>
          </w:tcPr>
          <w:p>
            <w:pPr>
              <w:ind w:left="20"/>
              <w:spacing w:after="0" w:line="52" w:lineRule="exact"/>
              <w:rPr>
                <w:sz w:val="20"/>
                <w:szCs w:val="20"/>
                <w:color w:val="auto"/>
              </w:rPr>
            </w:pPr>
            <w:r>
              <w:rPr>
                <w:rFonts w:ascii="Arial" w:cs="Arial" w:eastAsia="Arial" w:hAnsi="Arial"/>
                <w:sz w:val="5"/>
                <w:szCs w:val="5"/>
                <w:b w:val="1"/>
                <w:bCs w:val="1"/>
                <w:color w:val="auto"/>
              </w:rPr>
              <w:t>Accumulated</w:t>
            </w:r>
          </w:p>
        </w:tc>
        <w:tc>
          <w:tcPr>
            <w:tcW w:w="100" w:type="dxa"/>
            <w:vAlign w:val="bottom"/>
          </w:tcPr>
          <w:p>
            <w:pPr>
              <w:spacing w:after="0"/>
              <w:rPr>
                <w:sz w:val="4"/>
                <w:szCs w:val="4"/>
                <w:color w:val="auto"/>
              </w:rPr>
            </w:pPr>
          </w:p>
        </w:tc>
        <w:tc>
          <w:tcPr>
            <w:tcW w:w="840" w:type="dxa"/>
            <w:vAlign w:val="bottom"/>
          </w:tcPr>
          <w:p>
            <w:pPr>
              <w:jc w:val="center"/>
              <w:ind w:right="53"/>
              <w:spacing w:after="0" w:line="52" w:lineRule="exact"/>
              <w:rPr>
                <w:sz w:val="20"/>
                <w:szCs w:val="20"/>
                <w:color w:val="auto"/>
              </w:rPr>
            </w:pPr>
            <w:r>
              <w:rPr>
                <w:rFonts w:ascii="Arial" w:cs="Arial" w:eastAsia="Arial" w:hAnsi="Arial"/>
                <w:sz w:val="5"/>
                <w:szCs w:val="5"/>
                <w:b w:val="1"/>
                <w:bCs w:val="1"/>
                <w:color w:val="auto"/>
              </w:rPr>
              <w:t>Stockholders’</w:t>
            </w: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960" w:type="dxa"/>
            <w:vAlign w:val="bottom"/>
            <w:tcBorders>
              <w:bottom w:val="single" w:sz="8" w:color="auto"/>
            </w:tcBorders>
          </w:tcPr>
          <w:p>
            <w:pPr>
              <w:jc w:val="right"/>
              <w:ind w:right="233"/>
              <w:spacing w:after="0"/>
              <w:rPr>
                <w:sz w:val="20"/>
                <w:szCs w:val="20"/>
                <w:color w:val="auto"/>
              </w:rPr>
            </w:pPr>
            <w:r>
              <w:rPr>
                <w:rFonts w:ascii="Arial" w:cs="Arial" w:eastAsia="Arial" w:hAnsi="Arial"/>
                <w:sz w:val="10"/>
                <w:szCs w:val="10"/>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Amount</w:t>
            </w: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3"/>
              <w:spacing w:after="0"/>
              <w:rPr>
                <w:sz w:val="20"/>
                <w:szCs w:val="20"/>
                <w:color w:val="auto"/>
              </w:rPr>
            </w:pPr>
            <w:r>
              <w:rPr>
                <w:rFonts w:ascii="Arial" w:cs="Arial" w:eastAsia="Arial" w:hAnsi="Arial"/>
                <w:sz w:val="10"/>
                <w:szCs w:val="10"/>
                <w:b w:val="1"/>
                <w:bCs w:val="1"/>
                <w:color w:val="auto"/>
              </w:rPr>
              <w:t>Capital</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0"/>
                <w:szCs w:val="10"/>
                <w:b w:val="1"/>
                <w:bCs w:val="1"/>
                <w:color w:val="auto"/>
              </w:rPr>
              <w:t>Income (Loss)</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Deficit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3"/>
              <w:spacing w:after="0"/>
              <w:rPr>
                <w:sz w:val="20"/>
                <w:szCs w:val="20"/>
                <w:color w:val="auto"/>
              </w:rPr>
            </w:pPr>
            <w:r>
              <w:rPr>
                <w:rFonts w:ascii="Arial" w:cs="Arial" w:eastAsia="Arial" w:hAnsi="Arial"/>
                <w:sz w:val="10"/>
                <w:szCs w:val="10"/>
                <w:b w:val="1"/>
                <w:bCs w:val="1"/>
                <w:color w:val="auto"/>
              </w:rPr>
              <w:t>Equity (Deficit)</w:t>
            </w:r>
          </w:p>
        </w:tc>
        <w:tc>
          <w:tcPr>
            <w:tcW w:w="0" w:type="dxa"/>
            <w:vAlign w:val="bottom"/>
          </w:tcPr>
          <w:p>
            <w:pPr>
              <w:spacing w:after="0"/>
              <w:rPr>
                <w:sz w:val="1"/>
                <w:szCs w:val="1"/>
                <w:color w:val="auto"/>
              </w:rPr>
            </w:pPr>
          </w:p>
        </w:tc>
      </w:tr>
      <w:tr>
        <w:trPr>
          <w:trHeight w:val="181"/>
        </w:trPr>
        <w:tc>
          <w:tcPr>
            <w:tcW w:w="3140" w:type="dxa"/>
            <w:vAlign w:val="bottom"/>
          </w:tcPr>
          <w:p>
            <w:pPr>
              <w:spacing w:after="0"/>
              <w:rPr>
                <w:sz w:val="20"/>
                <w:szCs w:val="20"/>
                <w:color w:val="auto"/>
              </w:rPr>
            </w:pPr>
            <w:r>
              <w:rPr>
                <w:rFonts w:ascii="Arial" w:cs="Arial" w:eastAsia="Arial" w:hAnsi="Arial"/>
                <w:sz w:val="14"/>
                <w:szCs w:val="14"/>
                <w:b w:val="1"/>
                <w:bCs w:val="1"/>
                <w:color w:val="auto"/>
              </w:rPr>
              <w:t>Balance—December 31, 2018</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16,262,425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72,252</w:t>
            </w: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1,557,900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(23,987)</w:t>
            </w:r>
          </w:p>
        </w:tc>
        <w:tc>
          <w:tcPr>
            <w:tcW w:w="0" w:type="dxa"/>
            <w:vAlign w:val="bottom"/>
          </w:tcPr>
          <w:p>
            <w:pPr>
              <w:spacing w:after="0"/>
              <w:rPr>
                <w:sz w:val="1"/>
                <w:szCs w:val="1"/>
                <w:color w:val="auto"/>
              </w:rPr>
            </w:pPr>
          </w:p>
        </w:tc>
      </w:tr>
      <w:tr>
        <w:trPr>
          <w:trHeight w:val="147"/>
        </w:trPr>
        <w:tc>
          <w:tcPr>
            <w:tcW w:w="3140" w:type="dxa"/>
            <w:vAlign w:val="bottom"/>
          </w:tcPr>
          <w:p>
            <w:pPr>
              <w:spacing w:after="0" w:line="147" w:lineRule="exact"/>
              <w:rPr>
                <w:sz w:val="20"/>
                <w:szCs w:val="20"/>
                <w:color w:val="auto"/>
              </w:rPr>
            </w:pPr>
            <w:r>
              <w:rPr>
                <w:rFonts w:ascii="Arial" w:cs="Arial" w:eastAsia="Arial" w:hAnsi="Arial"/>
                <w:sz w:val="14"/>
                <w:szCs w:val="14"/>
                <w:color w:val="auto"/>
              </w:rPr>
              <w:t>Issuance of Series C convertible preferred stock,</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8,122,963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right w:val="single" w:sz="8" w:color="auto"/>
            </w:tcBorders>
            <w:vMerge w:val="restart"/>
          </w:tcPr>
          <w:p>
            <w:pPr>
              <w:jc w:val="right"/>
              <w:ind w:right="92"/>
              <w:spacing w:after="0"/>
              <w:rPr>
                <w:sz w:val="20"/>
                <w:szCs w:val="20"/>
                <w:color w:val="auto"/>
              </w:rPr>
            </w:pPr>
            <w:r>
              <w:rPr>
                <w:rFonts w:ascii="Arial" w:cs="Arial" w:eastAsia="Arial" w:hAnsi="Arial"/>
                <w:sz w:val="14"/>
                <w:szCs w:val="14"/>
                <w:color w:val="auto"/>
              </w:rPr>
              <w:t>94,239</w:t>
            </w:r>
          </w:p>
        </w:tc>
        <w:tc>
          <w:tcPr>
            <w:tcW w:w="6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net of issuance costs of $262</w:t>
            </w: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line="147" w:lineRule="exact"/>
              <w:rPr>
                <w:sz w:val="20"/>
                <w:szCs w:val="20"/>
                <w:color w:val="auto"/>
              </w:rPr>
            </w:pPr>
            <w:r>
              <w:rPr>
                <w:rFonts w:ascii="Arial" w:cs="Arial" w:eastAsia="Arial" w:hAnsi="Arial"/>
                <w:sz w:val="14"/>
                <w:szCs w:val="14"/>
                <w:color w:val="auto"/>
              </w:rPr>
              <w:t>Issuance of common stock upon the exercise of</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15,885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stock options</w:t>
            </w:r>
          </w:p>
        </w:tc>
        <w:tc>
          <w:tcPr>
            <w:tcW w:w="10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line="147" w:lineRule="exact"/>
              <w:rPr>
                <w:sz w:val="20"/>
                <w:szCs w:val="20"/>
                <w:color w:val="auto"/>
              </w:rPr>
            </w:pPr>
            <w:r>
              <w:rPr>
                <w:rFonts w:ascii="Arial" w:cs="Arial" w:eastAsia="Arial" w:hAnsi="Arial"/>
                <w:sz w:val="14"/>
                <w:szCs w:val="14"/>
                <w:color w:val="auto"/>
              </w:rPr>
              <w:t>Issuance of common stock upon the vesting of</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Borders>
              <w:right w:val="single" w:sz="8" w:color="auto"/>
            </w:tcBorders>
            <w:vMerge w:val="restart"/>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13,245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restricted stock awards</w:t>
            </w: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40" w:type="dxa"/>
            <w:vAlign w:val="bottom"/>
          </w:tcPr>
          <w:p>
            <w:pPr>
              <w:spacing w:after="0"/>
              <w:rPr>
                <w:sz w:val="20"/>
                <w:szCs w:val="20"/>
                <w:color w:val="auto"/>
              </w:rPr>
            </w:pPr>
            <w:r>
              <w:rPr>
                <w:rFonts w:ascii="Arial" w:cs="Arial" w:eastAsia="Arial" w:hAnsi="Arial"/>
                <w:sz w:val="14"/>
                <w:szCs w:val="14"/>
                <w:color w:val="auto"/>
              </w:rPr>
              <w:t>Vesting of founder shares subject to repurchase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140" w:type="dxa"/>
            <w:vAlign w:val="bottom"/>
          </w:tcPr>
          <w:p>
            <w:pPr>
              <w:spacing w:after="0" w:line="147" w:lineRule="exact"/>
              <w:rPr>
                <w:sz w:val="20"/>
                <w:szCs w:val="20"/>
                <w:color w:val="auto"/>
              </w:rPr>
            </w:pPr>
            <w:r>
              <w:rPr>
                <w:rFonts w:ascii="Arial" w:cs="Arial" w:eastAsia="Arial" w:hAnsi="Arial"/>
                <w:sz w:val="14"/>
                <w:szCs w:val="14"/>
                <w:color w:val="auto"/>
              </w:rPr>
              <w:t>Lapse of repurchase rights related to common</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Borders>
              <w:right w:val="single" w:sz="8" w:color="auto"/>
            </w:tcBorders>
            <w:vMerge w:val="restart"/>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258,097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stock issued pursuant to early exercises</w:t>
            </w: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4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81"/>
        </w:trPr>
        <w:tc>
          <w:tcPr>
            <w:tcW w:w="3140" w:type="dxa"/>
            <w:vAlign w:val="bottom"/>
          </w:tcPr>
          <w:p>
            <w:pPr>
              <w:spacing w:after="0"/>
              <w:rPr>
                <w:sz w:val="20"/>
                <w:szCs w:val="20"/>
                <w:color w:val="auto"/>
              </w:rPr>
            </w:pPr>
            <w:r>
              <w:rPr>
                <w:rFonts w:ascii="Arial" w:cs="Arial" w:eastAsia="Arial" w:hAnsi="Arial"/>
                <w:sz w:val="14"/>
                <w:szCs w:val="14"/>
                <w:color w:val="auto"/>
              </w:rPr>
              <w:t>Unrealized loss on marketable securities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Borders>
              <w:right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3140" w:type="dxa"/>
            <w:vAlign w:val="bottom"/>
          </w:tcPr>
          <w:p>
            <w:pPr>
              <w:spacing w:after="0"/>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(41,996)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(41,996)</w:t>
            </w:r>
          </w:p>
        </w:tc>
        <w:tc>
          <w:tcPr>
            <w:tcW w:w="0" w:type="dxa"/>
            <w:vAlign w:val="bottom"/>
          </w:tcPr>
          <w:p>
            <w:pPr>
              <w:spacing w:after="0"/>
              <w:rPr>
                <w:sz w:val="1"/>
                <w:szCs w:val="1"/>
                <w:color w:val="auto"/>
              </w:rPr>
            </w:pPr>
          </w:p>
        </w:tc>
      </w:tr>
      <w:tr>
        <w:trPr>
          <w:trHeight w:val="174"/>
        </w:trPr>
        <w:tc>
          <w:tcPr>
            <w:tcW w:w="3140" w:type="dxa"/>
            <w:vAlign w:val="bottom"/>
          </w:tcPr>
          <w:p>
            <w:pPr>
              <w:spacing w:after="0"/>
              <w:rPr>
                <w:sz w:val="20"/>
                <w:szCs w:val="20"/>
                <w:color w:val="auto"/>
              </w:rPr>
            </w:pPr>
            <w:r>
              <w:rPr>
                <w:rFonts w:ascii="Arial" w:cs="Arial" w:eastAsia="Arial" w:hAnsi="Arial"/>
                <w:sz w:val="14"/>
                <w:szCs w:val="14"/>
                <w:b w:val="1"/>
                <w:bCs w:val="1"/>
                <w:color w:val="auto"/>
              </w:rPr>
              <w:t>Balance—December 31, 2019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24,385,388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4"/>
                <w:szCs w:val="14"/>
                <w:color w:val="auto"/>
              </w:rPr>
              <w:t>166,491</w:t>
            </w:r>
          </w:p>
        </w:tc>
        <w:tc>
          <w:tcPr>
            <w:tcW w:w="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2,120,853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(66,272)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(65,029)</w:t>
            </w:r>
          </w:p>
        </w:tc>
        <w:tc>
          <w:tcPr>
            <w:tcW w:w="0" w:type="dxa"/>
            <w:vAlign w:val="bottom"/>
          </w:tcPr>
          <w:p>
            <w:pPr>
              <w:spacing w:after="0"/>
              <w:rPr>
                <w:sz w:val="1"/>
                <w:szCs w:val="1"/>
                <w:color w:val="auto"/>
              </w:rPr>
            </w:pPr>
          </w:p>
        </w:tc>
      </w:tr>
      <w:tr>
        <w:trPr>
          <w:trHeight w:val="127"/>
        </w:trPr>
        <w:tc>
          <w:tcPr>
            <w:tcW w:w="3140" w:type="dxa"/>
            <w:vAlign w:val="bottom"/>
          </w:tcPr>
          <w:p>
            <w:pPr>
              <w:spacing w:after="0" w:line="127" w:lineRule="exact"/>
              <w:rPr>
                <w:sz w:val="20"/>
                <w:szCs w:val="20"/>
                <w:color w:val="auto"/>
              </w:rPr>
            </w:pPr>
            <w:r>
              <w:rPr>
                <w:rFonts w:ascii="Arial" w:cs="Arial" w:eastAsia="Arial" w:hAnsi="Arial"/>
                <w:sz w:val="14"/>
                <w:szCs w:val="14"/>
                <w:color w:val="auto"/>
              </w:rPr>
              <w:t>Conversion of preferred stock into common stock</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(24,385,388)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right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96"/>
              </w:rPr>
              <w:t>(166,491)</w:t>
            </w:r>
          </w:p>
        </w:tc>
        <w:tc>
          <w:tcPr>
            <w:tcW w:w="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24,385,388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166,489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166,491</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upon initial public offering</w:t>
            </w: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line="147" w:lineRule="exact"/>
              <w:rPr>
                <w:sz w:val="20"/>
                <w:szCs w:val="20"/>
                <w:color w:val="auto"/>
              </w:rPr>
            </w:pPr>
            <w:r>
              <w:rPr>
                <w:rFonts w:ascii="Arial" w:cs="Arial" w:eastAsia="Arial" w:hAnsi="Arial"/>
                <w:sz w:val="14"/>
                <w:szCs w:val="14"/>
                <w:color w:val="auto"/>
              </w:rPr>
              <w:t>Issuance of shares of common stock for initial</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Borders>
              <w:right w:val="single" w:sz="8" w:color="auto"/>
            </w:tcBorders>
            <w:vMerge w:val="restart"/>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10,781,250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167,240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167,241</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public offering, net of issuance costs of $16,040</w:t>
            </w: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line="147" w:lineRule="exact"/>
              <w:rPr>
                <w:sz w:val="20"/>
                <w:szCs w:val="20"/>
                <w:color w:val="auto"/>
              </w:rPr>
            </w:pPr>
            <w:r>
              <w:rPr>
                <w:rFonts w:ascii="Arial" w:cs="Arial" w:eastAsia="Arial" w:hAnsi="Arial"/>
                <w:sz w:val="14"/>
                <w:szCs w:val="14"/>
                <w:color w:val="auto"/>
              </w:rPr>
              <w:t>Issuance of shares of common stock for public</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93,360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93,360</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offering, net of issuance costs of $6,640</w:t>
            </w:r>
          </w:p>
        </w:tc>
        <w:tc>
          <w:tcPr>
            <w:tcW w:w="10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line="147" w:lineRule="exact"/>
              <w:rPr>
                <w:sz w:val="20"/>
                <w:szCs w:val="20"/>
                <w:color w:val="auto"/>
              </w:rPr>
            </w:pPr>
            <w:r>
              <w:rPr>
                <w:rFonts w:ascii="Arial" w:cs="Arial" w:eastAsia="Arial" w:hAnsi="Arial"/>
                <w:sz w:val="14"/>
                <w:szCs w:val="14"/>
                <w:color w:val="auto"/>
              </w:rPr>
              <w:t>Issuance of shares of common stock for private</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Borders>
              <w:right w:val="single" w:sz="8" w:color="auto"/>
            </w:tcBorders>
            <w:vMerge w:val="restart"/>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35,000</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placement</w:t>
            </w: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line="147" w:lineRule="exact"/>
              <w:rPr>
                <w:sz w:val="20"/>
                <w:szCs w:val="20"/>
                <w:color w:val="auto"/>
              </w:rPr>
            </w:pPr>
            <w:r>
              <w:rPr>
                <w:rFonts w:ascii="Arial" w:cs="Arial" w:eastAsia="Arial" w:hAnsi="Arial"/>
                <w:sz w:val="14"/>
                <w:szCs w:val="14"/>
                <w:color w:val="auto"/>
              </w:rPr>
              <w:t>Issuance of common stock upon the exercise of</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140,226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stock options</w:t>
            </w:r>
          </w:p>
        </w:tc>
        <w:tc>
          <w:tcPr>
            <w:tcW w:w="10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40" w:type="dxa"/>
            <w:vAlign w:val="bottom"/>
          </w:tcPr>
          <w:p>
            <w:pPr>
              <w:spacing w:after="0"/>
              <w:rPr>
                <w:sz w:val="20"/>
                <w:szCs w:val="20"/>
                <w:color w:val="auto"/>
              </w:rPr>
            </w:pPr>
            <w:r>
              <w:rPr>
                <w:rFonts w:ascii="Arial" w:cs="Arial" w:eastAsia="Arial" w:hAnsi="Arial"/>
                <w:sz w:val="14"/>
                <w:szCs w:val="14"/>
                <w:color w:val="auto"/>
              </w:rPr>
              <w:t>Vesting of founder shares subject to repurchase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Borders>
              <w:right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137,863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140" w:type="dxa"/>
            <w:vAlign w:val="bottom"/>
          </w:tcPr>
          <w:p>
            <w:pPr>
              <w:spacing w:after="0" w:line="147" w:lineRule="exact"/>
              <w:rPr>
                <w:sz w:val="20"/>
                <w:szCs w:val="20"/>
                <w:color w:val="auto"/>
              </w:rPr>
            </w:pPr>
            <w:r>
              <w:rPr>
                <w:rFonts w:ascii="Arial" w:cs="Arial" w:eastAsia="Arial" w:hAnsi="Arial"/>
                <w:sz w:val="14"/>
                <w:szCs w:val="14"/>
                <w:color w:val="auto"/>
              </w:rPr>
              <w:t>Lapse of repurchase rights related to common</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338,670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stock issued pursuant to early exercises</w:t>
            </w:r>
          </w:p>
        </w:tc>
        <w:tc>
          <w:tcPr>
            <w:tcW w:w="10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line="147" w:lineRule="exact"/>
              <w:rPr>
                <w:sz w:val="20"/>
                <w:szCs w:val="20"/>
                <w:color w:val="auto"/>
              </w:rPr>
            </w:pPr>
            <w:r>
              <w:rPr>
                <w:rFonts w:ascii="Arial" w:cs="Arial" w:eastAsia="Arial" w:hAnsi="Arial"/>
                <w:sz w:val="14"/>
                <w:szCs w:val="14"/>
                <w:color w:val="auto"/>
              </w:rPr>
              <w:t>Shares issued pursuant to the employee stock</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Borders>
              <w:right w:val="single" w:sz="8" w:color="auto"/>
            </w:tcBorders>
            <w:vMerge w:val="restart"/>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34,188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purchase plan</w:t>
            </w: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4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0" w:type="dxa"/>
            <w:vAlign w:val="bottom"/>
          </w:tcPr>
          <w:p>
            <w:pPr>
              <w:spacing w:after="0"/>
              <w:rPr>
                <w:sz w:val="1"/>
                <w:szCs w:val="1"/>
                <w:color w:val="auto"/>
              </w:rPr>
            </w:pPr>
          </w:p>
        </w:tc>
      </w:tr>
      <w:tr>
        <w:trPr>
          <w:trHeight w:val="181"/>
        </w:trPr>
        <w:tc>
          <w:tcPr>
            <w:tcW w:w="3140" w:type="dxa"/>
            <w:vAlign w:val="bottom"/>
          </w:tcPr>
          <w:p>
            <w:pPr>
              <w:spacing w:after="0"/>
              <w:rPr>
                <w:sz w:val="20"/>
                <w:szCs w:val="20"/>
                <w:color w:val="auto"/>
              </w:rPr>
            </w:pPr>
            <w:r>
              <w:rPr>
                <w:rFonts w:ascii="Arial" w:cs="Arial" w:eastAsia="Arial" w:hAnsi="Arial"/>
                <w:sz w:val="14"/>
                <w:szCs w:val="14"/>
                <w:color w:val="auto"/>
              </w:rPr>
              <w:t>Unrealized loss on marketable securities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Borders>
              <w:right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3140" w:type="dxa"/>
            <w:vAlign w:val="bottom"/>
          </w:tcPr>
          <w:p>
            <w:pPr>
              <w:spacing w:after="0"/>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(135,678)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(135,678)</w:t>
            </w:r>
          </w:p>
        </w:tc>
        <w:tc>
          <w:tcPr>
            <w:tcW w:w="0" w:type="dxa"/>
            <w:vAlign w:val="bottom"/>
          </w:tcPr>
          <w:p>
            <w:pPr>
              <w:spacing w:after="0"/>
              <w:rPr>
                <w:sz w:val="1"/>
                <w:szCs w:val="1"/>
                <w:color w:val="auto"/>
              </w:rPr>
            </w:pPr>
          </w:p>
        </w:tc>
      </w:tr>
      <w:tr>
        <w:trPr>
          <w:trHeight w:val="174"/>
        </w:trPr>
        <w:tc>
          <w:tcPr>
            <w:tcW w:w="3140" w:type="dxa"/>
            <w:vAlign w:val="bottom"/>
          </w:tcPr>
          <w:p>
            <w:pPr>
              <w:spacing w:after="0"/>
              <w:rPr>
                <w:sz w:val="20"/>
                <w:szCs w:val="20"/>
                <w:color w:val="auto"/>
              </w:rPr>
            </w:pPr>
            <w:r>
              <w:rPr>
                <w:rFonts w:ascii="Arial" w:cs="Arial" w:eastAsia="Arial" w:hAnsi="Arial"/>
                <w:sz w:val="14"/>
                <w:szCs w:val="14"/>
                <w:b w:val="1"/>
                <w:bCs w:val="1"/>
                <w:color w:val="auto"/>
              </w:rPr>
              <w:t>Balance—December 31, 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43,338,438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472,569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(201,950)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270,621</w:t>
            </w:r>
          </w:p>
        </w:tc>
        <w:tc>
          <w:tcPr>
            <w:tcW w:w="0" w:type="dxa"/>
            <w:vAlign w:val="bottom"/>
          </w:tcPr>
          <w:p>
            <w:pPr>
              <w:spacing w:after="0"/>
              <w:rPr>
                <w:sz w:val="1"/>
                <w:szCs w:val="1"/>
                <w:color w:val="auto"/>
              </w:rPr>
            </w:pPr>
          </w:p>
        </w:tc>
      </w:tr>
      <w:tr>
        <w:trPr>
          <w:trHeight w:val="127"/>
        </w:trPr>
        <w:tc>
          <w:tcPr>
            <w:tcW w:w="3140" w:type="dxa"/>
            <w:vAlign w:val="bottom"/>
          </w:tcPr>
          <w:p>
            <w:pPr>
              <w:spacing w:after="0" w:line="127" w:lineRule="exact"/>
              <w:rPr>
                <w:sz w:val="20"/>
                <w:szCs w:val="20"/>
                <w:color w:val="auto"/>
              </w:rPr>
            </w:pPr>
            <w:r>
              <w:rPr>
                <w:rFonts w:ascii="Arial" w:cs="Arial" w:eastAsia="Arial" w:hAnsi="Arial"/>
                <w:sz w:val="14"/>
                <w:szCs w:val="14"/>
                <w:color w:val="auto"/>
              </w:rPr>
              <w:t>Issuance of shares of common stock for public</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tcBorders>
              <w:right w:val="single" w:sz="8" w:color="auto"/>
            </w:tcBorders>
            <w:vMerge w:val="restart"/>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6,325,000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207,489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207,490</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offering, net of issuance costs of $603</w:t>
            </w:r>
          </w:p>
        </w:tc>
        <w:tc>
          <w:tcPr>
            <w:tcW w:w="10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line="147" w:lineRule="exact"/>
              <w:rPr>
                <w:sz w:val="20"/>
                <w:szCs w:val="20"/>
                <w:color w:val="auto"/>
              </w:rPr>
            </w:pPr>
            <w:r>
              <w:rPr>
                <w:rFonts w:ascii="Arial" w:cs="Arial" w:eastAsia="Arial" w:hAnsi="Arial"/>
                <w:sz w:val="14"/>
                <w:szCs w:val="14"/>
                <w:color w:val="auto"/>
              </w:rPr>
              <w:t>Issuance of common stock upon the exercise of</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Borders>
              <w:right w:val="single" w:sz="8" w:color="auto"/>
            </w:tcBorders>
            <w:vMerge w:val="restart"/>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257,060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stock options</w:t>
            </w: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line="147" w:lineRule="exact"/>
              <w:rPr>
                <w:sz w:val="20"/>
                <w:szCs w:val="20"/>
                <w:color w:val="auto"/>
              </w:rPr>
            </w:pPr>
            <w:r>
              <w:rPr>
                <w:rFonts w:ascii="Arial" w:cs="Arial" w:eastAsia="Arial" w:hAnsi="Arial"/>
                <w:sz w:val="14"/>
                <w:szCs w:val="14"/>
                <w:color w:val="auto"/>
              </w:rPr>
              <w:t>Issuance of common stock upon the vesting of</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37,362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restricted stock units</w:t>
            </w:r>
          </w:p>
        </w:tc>
        <w:tc>
          <w:tcPr>
            <w:tcW w:w="10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line="147" w:lineRule="exact"/>
              <w:rPr>
                <w:sz w:val="20"/>
                <w:szCs w:val="20"/>
                <w:color w:val="auto"/>
              </w:rPr>
            </w:pPr>
            <w:r>
              <w:rPr>
                <w:rFonts w:ascii="Arial" w:cs="Arial" w:eastAsia="Arial" w:hAnsi="Arial"/>
                <w:sz w:val="14"/>
                <w:szCs w:val="14"/>
                <w:color w:val="auto"/>
              </w:rPr>
              <w:t>Lapse of repurchasing rights related to common</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Borders>
              <w:right w:val="single" w:sz="8" w:color="auto"/>
            </w:tcBorders>
            <w:vMerge w:val="restart"/>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249,239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stock issued pursuant to early exercises</w:t>
            </w: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line="147" w:lineRule="exact"/>
              <w:rPr>
                <w:sz w:val="20"/>
                <w:szCs w:val="20"/>
                <w:color w:val="auto"/>
              </w:rPr>
            </w:pPr>
            <w:r>
              <w:rPr>
                <w:rFonts w:ascii="Arial" w:cs="Arial" w:eastAsia="Arial" w:hAnsi="Arial"/>
                <w:sz w:val="14"/>
                <w:szCs w:val="14"/>
                <w:color w:val="auto"/>
              </w:rPr>
              <w:t>Shares issued pursuant to the employee stock</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48,515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Arial" w:cs="Arial" w:eastAsia="Arial" w:hAnsi="Arial"/>
                <w:sz w:val="14"/>
                <w:szCs w:val="14"/>
                <w:color w:val="auto"/>
              </w:rPr>
              <w:t>purchase plan</w:t>
            </w:r>
          </w:p>
        </w:tc>
        <w:tc>
          <w:tcPr>
            <w:tcW w:w="10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4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Borders>
              <w:right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23,892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23,892</w:t>
            </w:r>
          </w:p>
        </w:tc>
        <w:tc>
          <w:tcPr>
            <w:tcW w:w="0" w:type="dxa"/>
            <w:vAlign w:val="bottom"/>
          </w:tcPr>
          <w:p>
            <w:pPr>
              <w:spacing w:after="0"/>
              <w:rPr>
                <w:sz w:val="1"/>
                <w:szCs w:val="1"/>
                <w:color w:val="auto"/>
              </w:rPr>
            </w:pPr>
          </w:p>
        </w:tc>
      </w:tr>
      <w:tr>
        <w:trPr>
          <w:trHeight w:val="181"/>
        </w:trPr>
        <w:tc>
          <w:tcPr>
            <w:tcW w:w="3140" w:type="dxa"/>
            <w:vAlign w:val="bottom"/>
          </w:tcPr>
          <w:p>
            <w:pPr>
              <w:spacing w:after="0"/>
              <w:rPr>
                <w:sz w:val="20"/>
                <w:szCs w:val="20"/>
                <w:color w:val="auto"/>
              </w:rPr>
            </w:pPr>
            <w:r>
              <w:rPr>
                <w:rFonts w:ascii="Arial" w:cs="Arial" w:eastAsia="Arial" w:hAnsi="Arial"/>
                <w:sz w:val="14"/>
                <w:szCs w:val="14"/>
                <w:color w:val="auto"/>
              </w:rPr>
              <w:t>Unrealized loss on marketable securities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1"/>
        </w:trPr>
        <w:tc>
          <w:tcPr>
            <w:tcW w:w="3140" w:type="dxa"/>
            <w:vAlign w:val="bottom"/>
          </w:tcPr>
          <w:p>
            <w:pPr>
              <w:spacing w:after="0"/>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(206,356)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(206,356)</w:t>
            </w:r>
          </w:p>
        </w:tc>
        <w:tc>
          <w:tcPr>
            <w:tcW w:w="0" w:type="dxa"/>
            <w:vAlign w:val="bottom"/>
          </w:tcPr>
          <w:p>
            <w:pPr>
              <w:spacing w:after="0"/>
              <w:rPr>
                <w:sz w:val="1"/>
                <w:szCs w:val="1"/>
                <w:color w:val="auto"/>
              </w:rPr>
            </w:pPr>
          </w:p>
        </w:tc>
      </w:tr>
      <w:tr>
        <w:trPr>
          <w:trHeight w:val="194"/>
        </w:trPr>
        <w:tc>
          <w:tcPr>
            <w:tcW w:w="3140" w:type="dxa"/>
            <w:vAlign w:val="bottom"/>
          </w:tcPr>
          <w:p>
            <w:pPr>
              <w:spacing w:after="0"/>
              <w:rPr>
                <w:sz w:val="20"/>
                <w:szCs w:val="20"/>
                <w:color w:val="auto"/>
              </w:rPr>
            </w:pPr>
            <w:r>
              <w:rPr>
                <w:rFonts w:ascii="Arial" w:cs="Arial" w:eastAsia="Arial" w:hAnsi="Arial"/>
                <w:sz w:val="14"/>
                <w:szCs w:val="14"/>
                <w:b w:val="1"/>
                <w:bCs w:val="1"/>
                <w:color w:val="auto"/>
              </w:rPr>
              <w:t>Balance—December 31, 2021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50,255,614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706,233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(408,306)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297,677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9" w:name="page120"/>
    <w:bookmarkEnd w:id="1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4"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Statements of Cash Flows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520" w:type="dxa"/>
            <w:vAlign w:val="bottom"/>
          </w:tcPr>
          <w:p>
            <w:pPr>
              <w:ind w:left="2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(206,356)</w:t>
            </w:r>
          </w:p>
        </w:tc>
        <w:tc>
          <w:tcPr>
            <w:tcW w:w="460" w:type="dxa"/>
            <w:vAlign w:val="bottom"/>
            <w:gridSpan w:val="3"/>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(135,678)</w:t>
            </w:r>
          </w:p>
        </w:tc>
        <w:tc>
          <w:tcPr>
            <w:tcW w:w="80" w:type="dxa"/>
            <w:vAlign w:val="bottom"/>
          </w:tcPr>
          <w:p>
            <w:pPr>
              <w:spacing w:after="0"/>
              <w:rPr>
                <w:sz w:val="15"/>
                <w:szCs w:val="15"/>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(41,996)</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520" w:type="dxa"/>
            <w:vAlign w:val="bottom"/>
          </w:tcPr>
          <w:p>
            <w:pPr>
              <w:ind w:left="640"/>
              <w:spacing w:after="0"/>
              <w:rPr>
                <w:sz w:val="20"/>
                <w:szCs w:val="20"/>
                <w:color w:val="auto"/>
              </w:rPr>
            </w:pPr>
            <w:r>
              <w:rPr>
                <w:rFonts w:ascii="Arial" w:cs="Arial" w:eastAsia="Arial" w:hAnsi="Arial"/>
                <w:sz w:val="14"/>
                <w:szCs w:val="14"/>
                <w:color w:val="auto"/>
              </w:rPr>
              <w:t>Depreciation</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Non-cash lease expense</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1"/>
        </w:trPr>
        <w:tc>
          <w:tcPr>
            <w:tcW w:w="6520" w:type="dxa"/>
            <w:vAlign w:val="bottom"/>
          </w:tcPr>
          <w:p>
            <w:pPr>
              <w:ind w:left="640"/>
              <w:spacing w:after="0"/>
              <w:rPr>
                <w:sz w:val="20"/>
                <w:szCs w:val="20"/>
                <w:color w:val="auto"/>
              </w:rPr>
            </w:pPr>
            <w:r>
              <w:rPr>
                <w:rFonts w:ascii="Arial" w:cs="Arial" w:eastAsia="Arial" w:hAnsi="Arial"/>
                <w:sz w:val="14"/>
                <w:szCs w:val="14"/>
                <w:color w:val="auto"/>
              </w:rPr>
              <w:t>Net amortization/accretion on marketable securities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3,454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81"/>
        </w:trPr>
        <w:tc>
          <w:tcPr>
            <w:tcW w:w="6520" w:type="dxa"/>
            <w:vAlign w:val="bottom"/>
          </w:tcPr>
          <w:p>
            <w:pPr>
              <w:ind w:left="640"/>
              <w:spacing w:after="0"/>
              <w:rPr>
                <w:sz w:val="20"/>
                <w:szCs w:val="20"/>
                <w:color w:val="auto"/>
              </w:rPr>
            </w:pPr>
            <w:r>
              <w:rPr>
                <w:rFonts w:ascii="Arial" w:cs="Arial" w:eastAsia="Arial" w:hAnsi="Arial"/>
                <w:sz w:val="14"/>
                <w:szCs w:val="14"/>
                <w:color w:val="auto"/>
              </w:rPr>
              <w:t>Loss on disposal of property and equipment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520" w:type="dxa"/>
            <w:vAlign w:val="bottom"/>
          </w:tcPr>
          <w:p>
            <w:pPr>
              <w:ind w:left="96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(7,329)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(3,412)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(3,304)</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Other assets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1"/>
        </w:trPr>
        <w:tc>
          <w:tcPr>
            <w:tcW w:w="6520" w:type="dxa"/>
            <w:vAlign w:val="bottom"/>
          </w:tcPr>
          <w:p>
            <w:pPr>
              <w:ind w:left="96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5,674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Accrued liabilities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2,388</w:t>
            </w:r>
          </w:p>
        </w:tc>
        <w:tc>
          <w:tcPr>
            <w:tcW w:w="0" w:type="dxa"/>
            <w:vAlign w:val="bottom"/>
          </w:tcPr>
          <w:p>
            <w:pPr>
              <w:spacing w:after="0"/>
              <w:rPr>
                <w:sz w:val="1"/>
                <w:szCs w:val="1"/>
                <w:color w:val="auto"/>
              </w:rPr>
            </w:pPr>
          </w:p>
        </w:tc>
      </w:tr>
      <w:tr>
        <w:trPr>
          <w:trHeight w:val="181"/>
        </w:trPr>
        <w:tc>
          <w:tcPr>
            <w:tcW w:w="6520" w:type="dxa"/>
            <w:vAlign w:val="bottom"/>
            <w:tcBorders>
              <w:bottom w:val="single" w:sz="8" w:color="CCEEFF"/>
            </w:tcBorders>
          </w:tcPr>
          <w:p>
            <w:pPr>
              <w:ind w:left="960"/>
              <w:spacing w:after="0"/>
              <w:rPr>
                <w:sz w:val="20"/>
                <w:szCs w:val="20"/>
                <w:color w:val="auto"/>
              </w:rPr>
            </w:pPr>
            <w:r>
              <w:rPr>
                <w:rFonts w:ascii="Arial" w:cs="Arial" w:eastAsia="Arial" w:hAnsi="Arial"/>
                <w:sz w:val="14"/>
                <w:szCs w:val="14"/>
                <w:color w:val="auto"/>
              </w:rPr>
              <w:t>Operating lease liabilities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74"/>
        </w:trPr>
        <w:tc>
          <w:tcPr>
            <w:tcW w:w="6520" w:type="dxa"/>
            <w:vAlign w:val="bottom"/>
            <w:shd w:val="clear" w:color="auto" w:fill="CCEEFF"/>
          </w:tcPr>
          <w:p>
            <w:pPr>
              <w:ind w:left="1380"/>
              <w:spacing w:after="0"/>
              <w:rPr>
                <w:sz w:val="20"/>
                <w:szCs w:val="20"/>
                <w:color w:val="auto"/>
              </w:rPr>
            </w:pPr>
            <w:r>
              <w:rPr>
                <w:rFonts w:ascii="Arial" w:cs="Arial" w:eastAsia="Arial" w:hAnsi="Arial"/>
                <w:sz w:val="14"/>
                <w:szCs w:val="14"/>
                <w:color w:val="auto"/>
              </w:rPr>
              <w:t>Net cash used in operating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(174,627)</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(113,033)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(42,836)</w:t>
            </w:r>
          </w:p>
        </w:tc>
        <w:tc>
          <w:tcPr>
            <w:tcW w:w="0" w:type="dxa"/>
            <w:vAlign w:val="bottom"/>
          </w:tcPr>
          <w:p>
            <w:pPr>
              <w:spacing w:after="0"/>
              <w:rPr>
                <w:sz w:val="1"/>
                <w:szCs w:val="1"/>
                <w:color w:val="auto"/>
              </w:rPr>
            </w:pPr>
          </w:p>
        </w:tc>
      </w:tr>
      <w:tr>
        <w:trPr>
          <w:trHeight w:val="161"/>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marketable securities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(292,508)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(279,103)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(60,830)</w:t>
            </w:r>
          </w:p>
        </w:tc>
        <w:tc>
          <w:tcPr>
            <w:tcW w:w="0" w:type="dxa"/>
            <w:vAlign w:val="bottom"/>
          </w:tcPr>
          <w:p>
            <w:pPr>
              <w:spacing w:after="0"/>
              <w:rPr>
                <w:sz w:val="1"/>
                <w:szCs w:val="1"/>
                <w:color w:val="auto"/>
              </w:rPr>
            </w:pPr>
          </w:p>
        </w:tc>
      </w:tr>
      <w:tr>
        <w:trPr>
          <w:trHeight w:val="181"/>
        </w:trPr>
        <w:tc>
          <w:tcPr>
            <w:tcW w:w="6520" w:type="dxa"/>
            <w:vAlign w:val="bottom"/>
          </w:tcPr>
          <w:p>
            <w:pPr>
              <w:ind w:left="20"/>
              <w:spacing w:after="0"/>
              <w:rPr>
                <w:sz w:val="20"/>
                <w:szCs w:val="20"/>
                <w:color w:val="auto"/>
              </w:rPr>
            </w:pPr>
            <w:r>
              <w:rPr>
                <w:rFonts w:ascii="Arial" w:cs="Arial" w:eastAsia="Arial" w:hAnsi="Arial"/>
                <w:sz w:val="14"/>
                <w:szCs w:val="14"/>
                <w:color w:val="auto"/>
              </w:rPr>
              <w:t>Proceeds from maturities of marketable securities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217,550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97,600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34,800</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74"/>
        </w:trPr>
        <w:tc>
          <w:tcPr>
            <w:tcW w:w="6520" w:type="dxa"/>
            <w:vAlign w:val="bottom"/>
            <w:tcBorders>
              <w:bottom w:val="single" w:sz="8" w:color="CCEEFF"/>
            </w:tcBorders>
          </w:tcPr>
          <w:p>
            <w:pPr>
              <w:ind w:left="138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(75,953)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(181,824)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(26,325)</w:t>
            </w:r>
          </w:p>
        </w:tc>
        <w:tc>
          <w:tcPr>
            <w:tcW w:w="0" w:type="dxa"/>
            <w:vAlign w:val="bottom"/>
          </w:tcPr>
          <w:p>
            <w:pPr>
              <w:spacing w:after="0"/>
              <w:rPr>
                <w:sz w:val="1"/>
                <w:szCs w:val="1"/>
                <w:color w:val="auto"/>
              </w:rPr>
            </w:pPr>
          </w:p>
        </w:tc>
      </w:tr>
      <w:tr>
        <w:trPr>
          <w:trHeight w:val="16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520" w:type="dxa"/>
            <w:vAlign w:val="bottom"/>
          </w:tcPr>
          <w:p>
            <w:pPr>
              <w:ind w:left="2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1,265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convertible preferred stock, net of issuance costs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94,239</w:t>
            </w:r>
          </w:p>
        </w:tc>
        <w:tc>
          <w:tcPr>
            <w:tcW w:w="0" w:type="dxa"/>
            <w:vAlign w:val="bottom"/>
          </w:tcPr>
          <w:p>
            <w:pPr>
              <w:spacing w:after="0"/>
              <w:rPr>
                <w:sz w:val="1"/>
                <w:szCs w:val="1"/>
                <w:color w:val="auto"/>
              </w:rPr>
            </w:pPr>
          </w:p>
        </w:tc>
      </w:tr>
      <w:tr>
        <w:trPr>
          <w:trHeight w:val="181"/>
        </w:trPr>
        <w:tc>
          <w:tcPr>
            <w:tcW w:w="6520" w:type="dxa"/>
            <w:vAlign w:val="bottom"/>
          </w:tcPr>
          <w:p>
            <w:pPr>
              <w:ind w:left="20"/>
              <w:spacing w:after="0"/>
              <w:rPr>
                <w:sz w:val="20"/>
                <w:szCs w:val="20"/>
                <w:color w:val="auto"/>
              </w:rPr>
            </w:pPr>
            <w:r>
              <w:rPr>
                <w:rFonts w:ascii="Arial" w:cs="Arial" w:eastAsia="Arial" w:hAnsi="Arial"/>
                <w:sz w:val="14"/>
                <w:szCs w:val="14"/>
                <w:color w:val="auto"/>
              </w:rPr>
              <w:t>Proceeds from initial public offering, net of issuance costs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168,642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net of issuance costs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207,490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128,360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520" w:type="dxa"/>
            <w:vAlign w:val="bottom"/>
          </w:tcPr>
          <w:p>
            <w:pPr>
              <w:ind w:left="20"/>
              <w:spacing w:after="0"/>
              <w:rPr>
                <w:sz w:val="20"/>
                <w:szCs w:val="20"/>
                <w:color w:val="auto"/>
              </w:rPr>
            </w:pPr>
            <w:r>
              <w:rPr>
                <w:rFonts w:ascii="Arial" w:cs="Arial" w:eastAsia="Arial" w:hAnsi="Arial"/>
                <w:sz w:val="14"/>
                <w:szCs w:val="14"/>
                <w:color w:val="auto"/>
              </w:rPr>
              <w:t>Proceeds from issuance of common stock for ESPP purchase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financing costs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0" w:type="dxa"/>
            <w:vAlign w:val="bottom"/>
          </w:tcPr>
          <w:p>
            <w:pPr>
              <w:spacing w:after="0"/>
              <w:rPr>
                <w:sz w:val="1"/>
                <w:szCs w:val="1"/>
                <w:color w:val="auto"/>
              </w:rPr>
            </w:pPr>
          </w:p>
        </w:tc>
      </w:tr>
      <w:tr>
        <w:trPr>
          <w:trHeight w:val="181"/>
        </w:trPr>
        <w:tc>
          <w:tcPr>
            <w:tcW w:w="6520" w:type="dxa"/>
            <w:vAlign w:val="bottom"/>
          </w:tcPr>
          <w:p>
            <w:pPr>
              <w:ind w:left="20"/>
              <w:spacing w:after="0"/>
              <w:rPr>
                <w:sz w:val="20"/>
                <w:szCs w:val="20"/>
                <w:color w:val="auto"/>
              </w:rPr>
            </w:pPr>
            <w:r>
              <w:rPr>
                <w:rFonts w:ascii="Arial" w:cs="Arial" w:eastAsia="Arial" w:hAnsi="Arial"/>
                <w:sz w:val="14"/>
                <w:szCs w:val="14"/>
                <w:color w:val="auto"/>
              </w:rPr>
              <w:t>Proceeds from long-term debt, net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73,987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issuance costs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6520" w:type="dxa"/>
            <w:vAlign w:val="bottom"/>
            <w:tcBorders>
              <w:bottom w:val="single" w:sz="8" w:color="CCEEFF"/>
            </w:tcBorders>
          </w:tcPr>
          <w:p>
            <w:pPr>
              <w:ind w:left="138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281,947</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298,145</w:t>
            </w: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93,103</w:t>
            </w:r>
          </w:p>
        </w:tc>
        <w:tc>
          <w:tcPr>
            <w:tcW w:w="0" w:type="dxa"/>
            <w:vAlign w:val="bottom"/>
          </w:tcPr>
          <w:p>
            <w:pPr>
              <w:spacing w:after="0"/>
              <w:rPr>
                <w:sz w:val="1"/>
                <w:szCs w:val="1"/>
                <w:color w:val="auto"/>
              </w:rPr>
            </w:pPr>
          </w:p>
        </w:tc>
      </w:tr>
      <w:tr>
        <w:trPr>
          <w:trHeight w:val="174"/>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31,367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23,942</w:t>
            </w:r>
          </w:p>
        </w:tc>
        <w:tc>
          <w:tcPr>
            <w:tcW w:w="0" w:type="dxa"/>
            <w:vAlign w:val="bottom"/>
          </w:tcPr>
          <w:p>
            <w:pPr>
              <w:spacing w:after="0"/>
              <w:rPr>
                <w:sz w:val="1"/>
                <w:szCs w:val="1"/>
                <w:color w:val="auto"/>
              </w:rPr>
            </w:pPr>
          </w:p>
        </w:tc>
      </w:tr>
      <w:tr>
        <w:trPr>
          <w:trHeight w:val="181"/>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66,624</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63,336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39,394</w:t>
            </w: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97,991</w:t>
            </w:r>
          </w:p>
        </w:tc>
        <w:tc>
          <w:tcPr>
            <w:tcW w:w="460" w:type="dxa"/>
            <w:vAlign w:val="bottom"/>
            <w:gridSpan w:val="3"/>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66,624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63,336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5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Interest expense paid in cash</w:t>
            </w: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340"/>
              <w:spacing w:after="0"/>
              <w:rPr>
                <w:sz w:val="20"/>
                <w:szCs w:val="20"/>
                <w:color w:val="auto"/>
              </w:rPr>
            </w:pPr>
            <w:r>
              <w:rPr>
                <w:rFonts w:ascii="Arial" w:cs="Arial" w:eastAsia="Arial" w:hAnsi="Arial"/>
                <w:sz w:val="14"/>
                <w:szCs w:val="14"/>
                <w:color w:val="auto"/>
              </w:rPr>
              <w:t>Conversion of preferred stock to common stock and APIC</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360" w:type="dxa"/>
            <w:vAlign w:val="bottom"/>
          </w:tcPr>
          <w:p>
            <w:pPr>
              <w:jc w:val="right"/>
              <w:ind w:right="191"/>
              <w:spacing w:after="0" w:line="153"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171"/>
              <w:spacing w:after="0" w:line="153"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3" w:lineRule="exact"/>
              <w:rPr>
                <w:sz w:val="20"/>
                <w:szCs w:val="20"/>
                <w:color w:val="auto"/>
              </w:rPr>
            </w:pPr>
            <w:r>
              <w:rPr>
                <w:rFonts w:ascii="Arial" w:cs="Arial" w:eastAsia="Arial" w:hAnsi="Arial"/>
                <w:sz w:val="14"/>
                <w:szCs w:val="14"/>
                <w:color w:val="auto"/>
              </w:rPr>
              <w:t>166,491</w:t>
            </w:r>
          </w:p>
        </w:tc>
        <w:tc>
          <w:tcPr>
            <w:tcW w:w="80" w:type="dxa"/>
            <w:vAlign w:val="bottom"/>
          </w:tcPr>
          <w:p>
            <w:pPr>
              <w:spacing w:after="0"/>
              <w:rPr>
                <w:sz w:val="13"/>
                <w:szCs w:val="13"/>
                <w:color w:val="auto"/>
              </w:rPr>
            </w:pPr>
          </w:p>
        </w:tc>
        <w:tc>
          <w:tcPr>
            <w:tcW w:w="360" w:type="dxa"/>
            <w:vAlign w:val="bottom"/>
          </w:tcPr>
          <w:p>
            <w:pPr>
              <w:jc w:val="right"/>
              <w:ind w:right="191"/>
              <w:spacing w:after="0" w:line="153"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520" w:type="dxa"/>
            <w:vAlign w:val="bottom"/>
            <w:tcBorders>
              <w:bottom w:val="single" w:sz="8" w:color="CCEEFF"/>
            </w:tcBorders>
            <w:shd w:val="clear" w:color="auto" w:fill="CCEEFF"/>
          </w:tcPr>
          <w:p>
            <w:pPr>
              <w:ind w:left="340"/>
              <w:spacing w:after="0" w:line="148" w:lineRule="exact"/>
              <w:rPr>
                <w:sz w:val="20"/>
                <w:szCs w:val="20"/>
                <w:color w:val="auto"/>
              </w:rPr>
            </w:pPr>
            <w:r>
              <w:rPr>
                <w:rFonts w:ascii="Arial" w:cs="Arial" w:eastAsia="Arial" w:hAnsi="Arial"/>
                <w:sz w:val="14"/>
                <w:szCs w:val="14"/>
                <w:color w:val="auto"/>
              </w:rPr>
              <w:t>Right-of-use asset obtained in exchange for lease liability</w:t>
            </w: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340"/>
              <w:spacing w:after="0"/>
              <w:rPr>
                <w:sz w:val="20"/>
                <w:szCs w:val="20"/>
                <w:color w:val="auto"/>
              </w:rPr>
            </w:pPr>
            <w:r>
              <w:rPr>
                <w:rFonts w:ascii="Arial" w:cs="Arial" w:eastAsia="Arial" w:hAnsi="Arial"/>
                <w:sz w:val="14"/>
                <w:szCs w:val="14"/>
                <w:color w:val="auto"/>
              </w:rPr>
              <w:t>Reduction in right-of-use asset upon reassessment of lease term</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360" w:type="dxa"/>
            <w:vAlign w:val="bottom"/>
          </w:tcPr>
          <w:p>
            <w:pPr>
              <w:jc w:val="right"/>
              <w:ind w:right="191"/>
              <w:spacing w:after="0" w:line="153"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171"/>
              <w:spacing w:after="0" w:line="153"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3" w:lineRule="exact"/>
              <w:rPr>
                <w:sz w:val="20"/>
                <w:szCs w:val="20"/>
                <w:color w:val="auto"/>
              </w:rPr>
            </w:pPr>
            <w:r>
              <w:rPr>
                <w:rFonts w:ascii="Arial" w:cs="Arial" w:eastAsia="Arial" w:hAnsi="Arial"/>
                <w:sz w:val="14"/>
                <w:szCs w:val="14"/>
                <w:color w:val="auto"/>
              </w:rPr>
              <w:t>123</w:t>
            </w:r>
          </w:p>
        </w:tc>
        <w:tc>
          <w:tcPr>
            <w:tcW w:w="80" w:type="dxa"/>
            <w:vAlign w:val="bottom"/>
          </w:tcPr>
          <w:p>
            <w:pPr>
              <w:spacing w:after="0"/>
              <w:rPr>
                <w:sz w:val="13"/>
                <w:szCs w:val="13"/>
                <w:color w:val="auto"/>
              </w:rPr>
            </w:pPr>
          </w:p>
        </w:tc>
        <w:tc>
          <w:tcPr>
            <w:tcW w:w="360" w:type="dxa"/>
            <w:vAlign w:val="bottom"/>
          </w:tcPr>
          <w:p>
            <w:pPr>
              <w:jc w:val="right"/>
              <w:ind w:right="191"/>
              <w:spacing w:after="0" w:line="153"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520" w:type="dxa"/>
            <w:vAlign w:val="bottom"/>
            <w:shd w:val="clear" w:color="auto" w:fill="CCEEFF"/>
          </w:tcPr>
          <w:p>
            <w:pPr>
              <w:ind w:left="340"/>
              <w:spacing w:after="0" w:line="148" w:lineRule="exact"/>
              <w:rPr>
                <w:sz w:val="20"/>
                <w:szCs w:val="20"/>
                <w:color w:val="auto"/>
              </w:rPr>
            </w:pPr>
            <w:r>
              <w:rPr>
                <w:rFonts w:ascii="Arial" w:cs="Arial" w:eastAsia="Arial" w:hAnsi="Arial"/>
                <w:sz w:val="14"/>
                <w:szCs w:val="14"/>
                <w:color w:val="auto"/>
              </w:rPr>
              <w:t>Deferred financing costs included in accounts payable and accrued liabilities</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0" w:name="page121"/>
    <w:bookmarkEnd w:id="1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 Organization and Description of Business</w:t>
      </w:r>
    </w:p>
    <w:p>
      <w:pPr>
        <w:spacing w:after="0" w:line="160"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Arcutis Biotherapeutics, Inc., or the Company, is a late-stage biopharmaceutical company focused on developing and commercializing treatments for dermatological diseases with high unmet medical needs. The Company’s current portfolio is comprised of highly differentiated topical treatments with significant potential to treat immune-mediated dermatological diseases and conditions. The Company believes it has built the industry's leading platform for dermatologic product development. The Company’s strategy is to focus on validated biological targets and to use our drug development platform and deep dermatology expertise to develop differentiated products that have the potential to address the major shortcomings of existing therapies in its targeted indications. The Company believes this strategy uniquely positions it to rapidly advance its goal of bridging the treatment innovation gap in dermatology, while maximizing its probability of technical success.</w:t>
      </w:r>
    </w:p>
    <w:p>
      <w:pPr>
        <w:spacing w:after="0" w:line="130" w:lineRule="exact"/>
        <w:rPr>
          <w:sz w:val="20"/>
          <w:szCs w:val="20"/>
          <w:color w:val="auto"/>
        </w:rPr>
      </w:pPr>
    </w:p>
    <w:p>
      <w:pPr>
        <w:ind w:right="60" w:firstLine="620"/>
        <w:spacing w:after="0" w:line="258" w:lineRule="auto"/>
        <w:rPr>
          <w:sz w:val="20"/>
          <w:szCs w:val="20"/>
          <w:color w:val="auto"/>
        </w:rPr>
      </w:pPr>
      <w:r>
        <w:rPr>
          <w:rFonts w:ascii="Arial" w:cs="Arial" w:eastAsia="Arial" w:hAnsi="Arial"/>
          <w:sz w:val="17"/>
          <w:szCs w:val="17"/>
          <w:color w:val="auto"/>
        </w:rPr>
        <w:t>On January 17, 2020, the Company's board of directors approved a 1-for-2.0007 reverse stock split of the Company’s capital stock and the Company filed a certificate of amendment to its restated certificate of incorporation to effect the split. The par value and authorized shares of common stock and convertible preferred stock were not adjusted as a result of the reverse split. All share and per share information included in the accompanying financial statements has been adjusted to reflect this reverse stock split.</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Initial Public Offering and Follow-On Financings</w:t>
      </w:r>
    </w:p>
    <w:p>
      <w:pPr>
        <w:spacing w:after="0" w:line="160"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On February 4, 2020, the Company closed an initial public offering (IPO) issuing and selling 10,781,250 shares of common stock at a public offering price of $17.00 per share, including 1,406,250 shares sold pursuant to the underwriters’ full exercise of their option to purchase additional shares. The aggregate net proceeds received by the Company from the offering were approximately $167.2 million, after deducting underwriting discounts, commissions and offering related transaction costs. Upon the closing of the IPO, all of the outstanding shares of convertible preferred stock automatically converted into shares of common stock. Subsequent to the closing of the IPO, there were no shares of convertible preferred stock outstanding.</w:t>
      </w:r>
    </w:p>
    <w:p>
      <w:pPr>
        <w:spacing w:after="0" w:line="132"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On October 6, 2020, the Company completed a public offering of 4,000,000 shares of common stock at an offering price of $ 25.00 per share, receiving aggregate net proceeds of approximately $93.4 million after deducting the underwriting discounts, commissions and offering related transaction costs. In addition, the Company concurrently sold 1,400,000 shares of common stock in a private placement exempt from the registration requirements of the Securities Act of 1933, as amended, at a price per share equal to the public offering price, receiving net proceeds of $35.0 million.</w:t>
      </w:r>
    </w:p>
    <w:p>
      <w:pPr>
        <w:spacing w:after="0" w:line="129" w:lineRule="exact"/>
        <w:rPr>
          <w:sz w:val="20"/>
          <w:szCs w:val="20"/>
          <w:color w:val="auto"/>
        </w:rPr>
      </w:pPr>
    </w:p>
    <w:p>
      <w:pPr>
        <w:ind w:right="80" w:firstLine="620"/>
        <w:spacing w:after="0" w:line="258" w:lineRule="auto"/>
        <w:rPr>
          <w:sz w:val="20"/>
          <w:szCs w:val="20"/>
          <w:color w:val="auto"/>
        </w:rPr>
      </w:pPr>
      <w:r>
        <w:rPr>
          <w:rFonts w:ascii="Arial" w:cs="Arial" w:eastAsia="Arial" w:hAnsi="Arial"/>
          <w:sz w:val="17"/>
          <w:szCs w:val="17"/>
          <w:color w:val="auto"/>
        </w:rPr>
        <w:t>On February 5, 2021, the Company completed a public offering of 6,325,000 shares of stock at an offering price of $35.00 per share, including 825,000 shares sold pursuant to the underwriters full exercise of their option to purchase additional shares. The aggregate net proceeds received by the Company were approximately $207.5 million, after deducting underwriting discounts, commissions, and offering related transaction costs.</w:t>
      </w:r>
    </w:p>
    <w:p>
      <w:pPr>
        <w:spacing w:after="0" w:line="9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At-the-Market (ATM) Offerings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May 6, 2021, the Company entered into a sales agreement (Sales Agreement) with Cowen and Company, LLC (Cowen), under which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from time to time issue and sell shares of its common stock through ATM offerings for an aggregate offering price of up to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$100.0 million. Cowen will act as the Company's sales agent for the ATM program and is entitled to compensation for its services equal to 3% of the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gross proceeds of any shares of common stock sold under the Sales Agreement. The Company has not yet issued or sold any shares of common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stock through the ATM program.</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21" w:name="page122"/>
    <w:bookmarkEnd w:id="1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Debt Financing</w:t>
      </w:r>
    </w:p>
    <w:p>
      <w:pPr>
        <w:spacing w:after="0" w:line="160" w:lineRule="exact"/>
        <w:rPr>
          <w:sz w:val="20"/>
          <w:szCs w:val="20"/>
          <w:color w:val="auto"/>
        </w:rPr>
      </w:pPr>
    </w:p>
    <w:p>
      <w:pPr>
        <w:ind w:right="60" w:firstLine="620"/>
        <w:spacing w:after="0" w:line="258" w:lineRule="auto"/>
        <w:rPr>
          <w:sz w:val="20"/>
          <w:szCs w:val="20"/>
          <w:color w:val="auto"/>
        </w:rPr>
      </w:pPr>
      <w:r>
        <w:rPr>
          <w:rFonts w:ascii="Arial" w:cs="Arial" w:eastAsia="Arial" w:hAnsi="Arial"/>
          <w:sz w:val="17"/>
          <w:szCs w:val="17"/>
          <w:color w:val="auto"/>
        </w:rPr>
        <w:t>On December 22, 2021, the Company entered into a loan and security agreement (Loan Agreement) with SLR Investment Corp (SLR) and the lenders party thereto. The lenders agreed to extend term loans to the Company in an aggregate principal amount of up to $225.0 million, of which $75.0 million has been funded and is outstanding, and up to $150.0 million in additional funding may become available subject to the satisfaction of specified conditions. See Note 8.</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Liquidity</w:t>
      </w:r>
    </w:p>
    <w:p>
      <w:pPr>
        <w:spacing w:after="0" w:line="173" w:lineRule="exact"/>
        <w:rPr>
          <w:sz w:val="20"/>
          <w:szCs w:val="20"/>
          <w:color w:val="auto"/>
        </w:rPr>
      </w:pPr>
    </w:p>
    <w:p>
      <w:pPr>
        <w:ind w:right="20" w:firstLine="620"/>
        <w:spacing w:after="0" w:line="256" w:lineRule="auto"/>
        <w:rPr>
          <w:sz w:val="20"/>
          <w:szCs w:val="20"/>
          <w:color w:val="auto"/>
        </w:rPr>
      </w:pPr>
      <w:r>
        <w:rPr>
          <w:rFonts w:ascii="Arial" w:cs="Arial" w:eastAsia="Arial" w:hAnsi="Arial"/>
          <w:sz w:val="17"/>
          <w:szCs w:val="17"/>
          <w:color w:val="auto"/>
        </w:rPr>
        <w:t>The Company has incurred significant losses and negative cash flows from operations since its inception and had an accumulated deficit of $408.3 million and $202.0 million as of December 31, 2021 and 2020, respectively. The Company had cash, cash equivalents, restricted cash, and marketable securities of $388.6 million and $286.0 million as of December 31, 2021 and 2020, respectively. As of December 31, 2021, the Company had $75.0 million outstanding under the Loan Agreement and has an aggregate of up to $ 150.0 million in additional funding that may become available subject to the satisfaction of specified conditions. Prior to selling common stock in its IPO, the Company had historically financed its operations primarily through the sale of its convertible preferred stock. Management expects operating losses to continue for the foreseeable future.</w:t>
      </w:r>
    </w:p>
    <w:p>
      <w:pPr>
        <w:spacing w:after="0" w:line="325" w:lineRule="exact"/>
        <w:rPr>
          <w:sz w:val="20"/>
          <w:szCs w:val="20"/>
          <w:color w:val="auto"/>
        </w:rPr>
      </w:pPr>
    </w:p>
    <w:p>
      <w:pPr>
        <w:ind w:right="300" w:firstLine="620"/>
        <w:spacing w:after="0" w:line="256" w:lineRule="auto"/>
        <w:rPr>
          <w:sz w:val="20"/>
          <w:szCs w:val="20"/>
          <w:color w:val="auto"/>
        </w:rPr>
      </w:pPr>
      <w:r>
        <w:rPr>
          <w:rFonts w:ascii="Arial" w:cs="Arial" w:eastAsia="Arial" w:hAnsi="Arial"/>
          <w:sz w:val="17"/>
          <w:szCs w:val="17"/>
          <w:color w:val="auto"/>
        </w:rPr>
        <w:t>The Company believes that its existing capital resources will be sufficient to meet the projected operating requirements for at least 12 months from the date of issuance of its financial statements. The Company will be required to raise additional capital to fund future operations. However, no assurance can be given as to whether additional needed financing will be available on terms acceptable to the Company, if at all. If sufficient funds on acceptable terms are not available when needed, the Company may be required to curtail planned activities to significantly reduce its operating expenses. Failure to manage discretionary spending or raise additional financing, as needed, may adversely impact the Company’s ability to achieve its intended business objectives and have an adverse effect on its results of operations and future prospects.</w:t>
      </w:r>
    </w:p>
    <w:p>
      <w:pPr>
        <w:spacing w:after="0" w:line="11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Coronavirus Outbreak</w:t>
      </w:r>
    </w:p>
    <w:p>
      <w:pPr>
        <w:spacing w:after="0" w:line="18" w:lineRule="exact"/>
        <w:rPr>
          <w:sz w:val="20"/>
          <w:szCs w:val="20"/>
          <w:color w:val="auto"/>
        </w:rPr>
      </w:pPr>
    </w:p>
    <w:p>
      <w:pPr>
        <w:ind w:firstLine="620"/>
        <w:spacing w:after="0" w:line="226" w:lineRule="auto"/>
        <w:rPr>
          <w:sz w:val="20"/>
          <w:szCs w:val="20"/>
          <w:color w:val="auto"/>
        </w:rPr>
      </w:pPr>
      <w:r>
        <w:rPr>
          <w:rFonts w:ascii="Arial" w:cs="Arial" w:eastAsia="Arial" w:hAnsi="Arial"/>
          <w:sz w:val="17"/>
          <w:szCs w:val="17"/>
          <w:color w:val="auto"/>
        </w:rPr>
        <w:t>In March 2020, the World Health Organization declared a pandemic related to the global novel coronavirus disease 2019 (COVID-19) outbreak. The Company is monitoring the impact COVID-19 may have on the clinical development of its product candidates, including potential delays or modifications to its ongoing and planned trials, as well as its planned commercial activities. The Company believes that the rapid spread of the Omicron variant in late 2021 and early 2022 has likely had a minor impact on the enrollment of our clinical trials. Because of this likely impact, along with the inherent challenges of enrolling young children in clinical trials, we have updated our expectation for providing topline data for the INTEGUMENT-PED trial, in atopic dermatitis subjects between two and five years of age, to 2023. The Company cannot at this time predict the specific extent, duration, or full impact that the COVID-19 outbreak will have on its financial condition and operations, including ongoing and planned clinical trials.</w:t>
      </w:r>
    </w:p>
    <w:p>
      <w:pPr>
        <w:spacing w:after="0" w:line="110" w:lineRule="exact"/>
        <w:rPr>
          <w:sz w:val="20"/>
          <w:szCs w:val="20"/>
          <w:color w:val="auto"/>
        </w:rPr>
      </w:pPr>
    </w:p>
    <w:p>
      <w:pPr>
        <w:ind w:left="620" w:right="7420" w:hanging="617"/>
        <w:spacing w:after="0" w:line="432" w:lineRule="auto"/>
        <w:tabs>
          <w:tab w:leader="none" w:pos="191" w:val="left"/>
        </w:tabs>
        <w:numPr>
          <w:ilvl w:val="0"/>
          <w:numId w:val="6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Summary of Significant Accounting Policies Basis of Presentation</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financial statements have been prepared in accordance with United States generally accepted accounting principles (U.S.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GAAP).</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0"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On an ongoing basis, management evaluates such estimates and assumptions for continued reasonableness. In particular, management makes estimates with respect to accruals for research and development activities, fair value of common stock and convertible preferred stock (prior to the IPO completed in January 2020), stock-based compensation expense and income taxes. Appropriate adjustments, if any, to the estimates used are made prospectively based upon such periodic evaluation. Actual results could differ from those estimates.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2" w:name="page123"/>
    <w:bookmarkEnd w:id="1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JOBS Act Accounting Election</w:t>
      </w:r>
    </w:p>
    <w:p>
      <w:pPr>
        <w:spacing w:after="0" w:line="160" w:lineRule="exact"/>
        <w:rPr>
          <w:sz w:val="20"/>
          <w:szCs w:val="20"/>
          <w:color w:val="auto"/>
        </w:rPr>
      </w:pPr>
    </w:p>
    <w:p>
      <w:pPr>
        <w:ind w:right="40" w:firstLine="620"/>
        <w:spacing w:after="0" w:line="257" w:lineRule="auto"/>
        <w:rPr>
          <w:sz w:val="20"/>
          <w:szCs w:val="20"/>
          <w:color w:val="auto"/>
        </w:rPr>
      </w:pPr>
      <w:r>
        <w:rPr>
          <w:rFonts w:ascii="Arial" w:cs="Arial" w:eastAsia="Arial" w:hAnsi="Arial"/>
          <w:sz w:val="17"/>
          <w:szCs w:val="17"/>
          <w:color w:val="auto"/>
        </w:rPr>
        <w:t>Effective December 31, 2021, the Company is no longer an “emerging growth company,” as defined in the Jumpstart Our Business Startups Act of 2012 (JOBS Act) because of an increase in its market capitalization. Prior to losing this status as an emerging growth company, the JOBS Act allowed the Company to delay adoption of new or revised accounting pronouncements applicable to public companies until such pronouncements were made applicable to private companies, and the Company had elected to use this extended transition period. The Company can no longer take advantage of this extended transition period.</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Segments</w:t>
      </w:r>
    </w:p>
    <w:p>
      <w:pPr>
        <w:spacing w:after="0" w:line="173" w:lineRule="exact"/>
        <w:rPr>
          <w:sz w:val="20"/>
          <w:szCs w:val="20"/>
          <w:color w:val="auto"/>
        </w:rPr>
      </w:pPr>
    </w:p>
    <w:p>
      <w:pPr>
        <w:ind w:right="80" w:firstLine="620"/>
        <w:spacing w:after="0" w:line="269" w:lineRule="auto"/>
        <w:rPr>
          <w:sz w:val="20"/>
          <w:szCs w:val="20"/>
          <w:color w:val="auto"/>
        </w:rPr>
      </w:pPr>
      <w:r>
        <w:rPr>
          <w:rFonts w:ascii="Arial" w:cs="Arial" w:eastAsia="Arial" w:hAnsi="Arial"/>
          <w:sz w:val="17"/>
          <w:szCs w:val="17"/>
          <w:color w:val="auto"/>
        </w:rPr>
        <w:t>To date, the Company has viewed its financial information on an aggregate basis for the purposes of evaluating financial performance and allocating the Company’s resources. Accordingly, the Company has determined that it operates in one segment.</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73" w:lineRule="exact"/>
        <w:rPr>
          <w:sz w:val="20"/>
          <w:szCs w:val="20"/>
          <w:color w:val="auto"/>
        </w:rPr>
      </w:pPr>
    </w:p>
    <w:p>
      <w:pPr>
        <w:ind w:right="160" w:firstLine="620"/>
        <w:spacing w:after="0" w:line="261" w:lineRule="auto"/>
        <w:rPr>
          <w:sz w:val="20"/>
          <w:szCs w:val="20"/>
          <w:color w:val="auto"/>
        </w:rPr>
      </w:pPr>
      <w:r>
        <w:rPr>
          <w:rFonts w:ascii="Arial" w:cs="Arial" w:eastAsia="Arial" w:hAnsi="Arial"/>
          <w:sz w:val="17"/>
          <w:szCs w:val="17"/>
          <w:color w:val="auto"/>
        </w:rPr>
        <w:t>The Company considers all highly liquid investments purchased with original maturities of three months or less from the purchase date to be cash equivalents. Cash equivalents consist primarily of money market funds, commercial paper, U.S. Treasury securities, and short-term corporate debt securities.</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Restricted Cash</w:t>
      </w:r>
    </w:p>
    <w:p>
      <w:pPr>
        <w:spacing w:after="0" w:line="160" w:lineRule="exact"/>
        <w:rPr>
          <w:sz w:val="20"/>
          <w:szCs w:val="20"/>
          <w:color w:val="auto"/>
        </w:rPr>
      </w:pPr>
    </w:p>
    <w:p>
      <w:pPr>
        <w:ind w:right="580" w:firstLine="620"/>
        <w:spacing w:after="0" w:line="269" w:lineRule="auto"/>
        <w:rPr>
          <w:sz w:val="20"/>
          <w:szCs w:val="20"/>
          <w:color w:val="auto"/>
        </w:rPr>
      </w:pPr>
      <w:r>
        <w:rPr>
          <w:rFonts w:ascii="Arial" w:cs="Arial" w:eastAsia="Arial" w:hAnsi="Arial"/>
          <w:sz w:val="17"/>
          <w:szCs w:val="17"/>
          <w:color w:val="auto"/>
        </w:rPr>
        <w:t>As of December 31, 2021 and 2020, the Company held $1.5 million of restricted cash as collateral for a letter of credit related to our amended office space lease. See Note 7.</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73" w:lineRule="exact"/>
        <w:rPr>
          <w:sz w:val="20"/>
          <w:szCs w:val="20"/>
          <w:color w:val="auto"/>
        </w:rPr>
      </w:pPr>
    </w:p>
    <w:p>
      <w:pPr>
        <w:ind w:right="100" w:firstLine="620"/>
        <w:spacing w:after="0" w:line="256" w:lineRule="auto"/>
        <w:rPr>
          <w:sz w:val="20"/>
          <w:szCs w:val="20"/>
          <w:color w:val="auto"/>
        </w:rPr>
      </w:pPr>
      <w:r>
        <w:rPr>
          <w:rFonts w:ascii="Arial" w:cs="Arial" w:eastAsia="Arial" w:hAnsi="Arial"/>
          <w:sz w:val="17"/>
          <w:szCs w:val="17"/>
          <w:color w:val="auto"/>
        </w:rPr>
        <w:t>Marketable securities consist of investment grade short to intermediate-term fixed income investments that have been classified as available-for-sale and are carried at estimated fair value as determined based upon quoted market prices or pricing models for similar securities.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balance sheets due to their highly liquid nature and availability for use in current operations.</w:t>
      </w:r>
    </w:p>
    <w:p>
      <w:pPr>
        <w:spacing w:after="0" w:line="119"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Unrealized gains and losses are excluded from earnings and are reported as a component of other comprehensive income (loss). Realized gains and losses as well as credit losses, if any, on marketable securities are included in other income, net. The Company evaluated the underlying credit quality and credit ratings of the issuers during the period. To date, no such credit losses have occurred or have been recorded. The cost of investments sold is based on the specific-identification method. Unrealized gains and losses on marketable securities are reported as a component of accumulated other comprehensive income (loss) on the balance sheets. Interest on marketable securities is included in other income, net.</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Concentration of Credit Risk and Other Risks and Uncertainties</w:t>
      </w:r>
    </w:p>
    <w:p>
      <w:pPr>
        <w:spacing w:after="0" w:line="173" w:lineRule="exact"/>
        <w:rPr>
          <w:sz w:val="20"/>
          <w:szCs w:val="20"/>
          <w:color w:val="auto"/>
        </w:rPr>
      </w:pPr>
    </w:p>
    <w:p>
      <w:pPr>
        <w:ind w:right="320" w:firstLine="620"/>
        <w:spacing w:after="0" w:line="258"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The Company is exposed to credit risk in the event of a default by the financial institutions holding its cash to the extent recorded on the balance sheets.</w:t>
      </w:r>
    </w:p>
    <w:p>
      <w:pPr>
        <w:spacing w:after="0" w:line="116" w:lineRule="exact"/>
        <w:rPr>
          <w:sz w:val="20"/>
          <w:szCs w:val="20"/>
          <w:color w:val="auto"/>
        </w:rPr>
      </w:pPr>
    </w:p>
    <w:p>
      <w:pPr>
        <w:ind w:right="380" w:firstLine="620"/>
        <w:spacing w:after="0" w:line="269" w:lineRule="auto"/>
        <w:rPr>
          <w:sz w:val="20"/>
          <w:szCs w:val="20"/>
          <w:color w:val="auto"/>
        </w:rPr>
      </w:pPr>
      <w:r>
        <w:rPr>
          <w:rFonts w:ascii="Arial" w:cs="Arial" w:eastAsia="Arial" w:hAnsi="Arial"/>
          <w:sz w:val="17"/>
          <w:szCs w:val="17"/>
          <w:color w:val="auto"/>
        </w:rPr>
        <w:t>Management believes the Company is not exposed to significant credit risk due to the financial position of the depository institutions in which those deposits are held.</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73" w:lineRule="exact"/>
        <w:rPr>
          <w:sz w:val="20"/>
          <w:szCs w:val="20"/>
          <w:color w:val="auto"/>
        </w:rPr>
      </w:pPr>
    </w:p>
    <w:p>
      <w:pPr>
        <w:ind w:right="80" w:firstLine="620"/>
        <w:spacing w:after="0" w:line="258" w:lineRule="auto"/>
        <w:rPr>
          <w:sz w:val="20"/>
          <w:szCs w:val="20"/>
          <w:color w:val="auto"/>
        </w:rPr>
      </w:pPr>
      <w:r>
        <w:rPr>
          <w:rFonts w:ascii="Arial" w:cs="Arial" w:eastAsia="Arial" w:hAnsi="Arial"/>
          <w:sz w:val="17"/>
          <w:szCs w:val="17"/>
          <w:color w:val="auto"/>
        </w:rPr>
        <w:t>The Company’s financial instruments, in addition to those presented in Note 3, include cash equivalents, accounts payable, accrued liabilities, and long-term debt. The carrying amount of cash equivalents, accounts payable, and accrued liabilities approximate their fair values due to their short maturities. As the long-term debt is subject to variable interest rates that are based on market rates which regularly reset, the Company believes that the carrying value of the long-term debt approximates its fair value.</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23" w:name="page124"/>
    <w:bookmarkEnd w:id="1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60" w:firstLine="620"/>
        <w:spacing w:after="0" w:line="256" w:lineRule="auto"/>
        <w:rPr>
          <w:sz w:val="20"/>
          <w:szCs w:val="20"/>
          <w:color w:val="auto"/>
        </w:rPr>
      </w:pPr>
      <w:r>
        <w:rPr>
          <w:rFonts w:ascii="Arial" w:cs="Arial" w:eastAsia="Arial" w:hAnsi="Arial"/>
          <w:sz w:val="17"/>
          <w:szCs w:val="17"/>
          <w:color w:val="auto"/>
        </w:rPr>
        <w:t>Assets and liabilities recorded at fair value on a recurring basis on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19" w:lineRule="exact"/>
        <w:rPr>
          <w:sz w:val="20"/>
          <w:szCs w:val="20"/>
          <w:color w:val="auto"/>
        </w:rPr>
      </w:pPr>
    </w:p>
    <w:p>
      <w:pPr>
        <w:ind w:left="620" w:right="1000" w:firstLine="620"/>
        <w:spacing w:after="0" w:line="269" w:lineRule="auto"/>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117" w:lineRule="exact"/>
        <w:rPr>
          <w:sz w:val="20"/>
          <w:szCs w:val="20"/>
          <w:color w:val="auto"/>
        </w:rPr>
      </w:pPr>
    </w:p>
    <w:p>
      <w:pPr>
        <w:ind w:left="620" w:right="140" w:firstLine="620"/>
        <w:spacing w:after="0" w:line="261" w:lineRule="auto"/>
        <w:rPr>
          <w:sz w:val="20"/>
          <w:szCs w:val="20"/>
          <w:color w:val="auto"/>
        </w:rPr>
      </w:pPr>
      <w:r>
        <w:rPr>
          <w:rFonts w:ascii="Arial" w:cs="Arial" w:eastAsia="Arial" w:hAnsi="Arial"/>
          <w:sz w:val="17"/>
          <w:szCs w:val="17"/>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125" w:lineRule="exact"/>
        <w:rPr>
          <w:sz w:val="20"/>
          <w:szCs w:val="20"/>
          <w:color w:val="auto"/>
        </w:rPr>
      </w:pPr>
    </w:p>
    <w:p>
      <w:pPr>
        <w:ind w:left="620" w:right="40" w:firstLine="620"/>
        <w:spacing w:after="0" w:line="269" w:lineRule="auto"/>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73" w:lineRule="exact"/>
        <w:rPr>
          <w:sz w:val="20"/>
          <w:szCs w:val="20"/>
          <w:color w:val="auto"/>
        </w:rPr>
      </w:pPr>
    </w:p>
    <w:p>
      <w:pPr>
        <w:ind w:right="20" w:firstLine="620"/>
        <w:spacing w:after="0" w:line="257" w:lineRule="auto"/>
        <w:rPr>
          <w:sz w:val="20"/>
          <w:szCs w:val="20"/>
          <w:color w:val="auto"/>
        </w:rPr>
      </w:pPr>
      <w:r>
        <w:rPr>
          <w:rFonts w:ascii="Arial" w:cs="Arial" w:eastAsia="Arial" w:hAnsi="Arial"/>
          <w:sz w:val="17"/>
          <w:szCs w:val="17"/>
          <w:color w:val="auto"/>
        </w:rPr>
        <w:t>Property and equipment are stated at cost less accumulated depreciation. Depreciation on property and equipment is calculated using the straight-line method over the estimated useful lives of the assets which range from three to five years. Leasehold improvements are depreciated on a straight-line basis over the shorter of their estimated useful lives or lease terms. Maintenance and repairs are expensed as incurred. The Company reviews the carrying values of its property and equipment for possible impairment whenever events or changes in circumstances indicate that the carrying amount of an asset may not be recoverable. There were no impairments recognized during the years ended December 31, 2021 and 2020.</w:t>
      </w:r>
    </w:p>
    <w:p>
      <w:pPr>
        <w:spacing w:after="0" w:line="31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Leases</w:t>
      </w:r>
    </w:p>
    <w:p>
      <w:pPr>
        <w:spacing w:after="0" w:line="160"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The Company determines if an arrangement is or contains a lease at inception. Right-of-use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lease payments over the lease term. The Company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is adjusted for lease incentives and initial direct costs incurred, as applicable. Lease expense for the Company’s operating leases is recognized on a straight-line basis over the lease term.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132" w:lineRule="exact"/>
        <w:rPr>
          <w:sz w:val="20"/>
          <w:szCs w:val="20"/>
          <w:color w:val="auto"/>
        </w:rPr>
      </w:pPr>
    </w:p>
    <w:p>
      <w:pPr>
        <w:ind w:right="140" w:firstLine="620"/>
        <w:spacing w:after="0" w:line="261" w:lineRule="auto"/>
        <w:rPr>
          <w:sz w:val="20"/>
          <w:szCs w:val="20"/>
          <w:color w:val="auto"/>
        </w:rPr>
      </w:pPr>
      <w:r>
        <w:rPr>
          <w:rFonts w:ascii="Arial" w:cs="Arial" w:eastAsia="Arial" w:hAnsi="Arial"/>
          <w:sz w:val="17"/>
          <w:szCs w:val="17"/>
          <w:color w:val="auto"/>
        </w:rPr>
        <w:t>The Company’s lease agreements includes lease and non-lease components and the Company has elected to not separate such components for all classes of assets. Further, the Company elected the short-term lease exception policy, permitting it to not apply the recognition requirements of this standard to leases with terms of 12 months or less (short-term leases) for all classes of assets.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4" w:name="page125"/>
    <w:bookmarkEnd w:id="1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Nonclinical and Clinical Accruals and Costs</w:t>
      </w:r>
    </w:p>
    <w:p>
      <w:pPr>
        <w:spacing w:after="0" w:line="160" w:lineRule="exact"/>
        <w:rPr>
          <w:sz w:val="20"/>
          <w:szCs w:val="20"/>
          <w:color w:val="auto"/>
        </w:rPr>
      </w:pPr>
    </w:p>
    <w:p>
      <w:pPr>
        <w:ind w:right="200" w:firstLine="620"/>
        <w:spacing w:after="0" w:line="256" w:lineRule="auto"/>
        <w:rPr>
          <w:sz w:val="20"/>
          <w:szCs w:val="20"/>
          <w:color w:val="auto"/>
        </w:rPr>
      </w:pPr>
      <w:r>
        <w:rPr>
          <w:rFonts w:ascii="Arial" w:cs="Arial" w:eastAsia="Arial" w:hAnsi="Arial"/>
          <w:sz w:val="17"/>
          <w:szCs w:val="17"/>
          <w:color w:val="auto"/>
        </w:rPr>
        <w:t>The Company records accrued liabilities for estimated costs of research and development activities conducted by third-party service providers, which include the conduct of nonclinical studies, clinical trials, and contract manufacturing activities.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For the years ended December 31, 2021, 2020 and 2019, the Company has not experienced any material differences between accrued costs and actual costs incurred.</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173" w:lineRule="exact"/>
        <w:rPr>
          <w:sz w:val="20"/>
          <w:szCs w:val="20"/>
          <w:color w:val="auto"/>
        </w:rPr>
      </w:pPr>
    </w:p>
    <w:p>
      <w:pPr>
        <w:ind w:right="160" w:firstLine="620"/>
        <w:spacing w:after="0" w:line="256" w:lineRule="auto"/>
        <w:rPr>
          <w:sz w:val="20"/>
          <w:szCs w:val="20"/>
          <w:color w:val="auto"/>
        </w:rPr>
      </w:pPr>
      <w:r>
        <w:rPr>
          <w:rFonts w:ascii="Arial" w:cs="Arial" w:eastAsia="Arial" w:hAnsi="Arial"/>
          <w:sz w:val="17"/>
          <w:szCs w:val="17"/>
          <w:color w:val="auto"/>
        </w:rPr>
        <w:t>Prior to its IPO, the Company classified its outstanding convertible preferred stock outside of stockholders’ equity (deficit) on its balance sheets as the requirements of triggering a deemed liquidation event, as defined within its amended and restated certificate of incorporation, were not entirely within the Company’s control. In the event of such a deemed liquidation event, the proceeds from the event were to be distributed in accordance with the liquidation preferences, provided that the holders of convertible preferred stock had not converted their shares into common stock. The Company recorded the issuance of convertible preferred stock at the issuance price less related issuance costs. The Company did not adjust the carrying values of the convertible preferred stock to the liquidation preferences of such shares because of the uncertainty as to whether or when a deemed liquidation event may have occurred. In connection with the IPO in February 2020, the Company’s outstanding shares of convertible preferred stock were automatically converted into 24,385,388 shares of common stock.</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73"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Research and development expenses include costs directly attributable to the conduct of research and development programs, including the cost of salaries, payroll taxes, employee benefits, license fees, stock-based compensation expense, materials, supplies, and the cost of services provided by outside contractors. All costs associated with research and development are expensed as incurred. Payments made prior to the receipt of goods or services to be used in research and development are capitalized until the goods are received or services are rendered. Such payments are evaluated for current or long-term classification based on when they will be realized.</w:t>
      </w:r>
    </w:p>
    <w:p>
      <w:pPr>
        <w:spacing w:after="0" w:line="129" w:lineRule="exact"/>
        <w:rPr>
          <w:sz w:val="20"/>
          <w:szCs w:val="20"/>
          <w:color w:val="auto"/>
        </w:rPr>
      </w:pPr>
    </w:p>
    <w:p>
      <w:pPr>
        <w:ind w:right="100" w:firstLine="620"/>
        <w:spacing w:after="0" w:line="256" w:lineRule="auto"/>
        <w:rPr>
          <w:sz w:val="20"/>
          <w:szCs w:val="20"/>
          <w:color w:val="auto"/>
        </w:rPr>
      </w:pPr>
      <w:r>
        <w:rPr>
          <w:rFonts w:ascii="Arial" w:cs="Arial" w:eastAsia="Arial" w:hAnsi="Arial"/>
          <w:sz w:val="17"/>
          <w:szCs w:val="17"/>
          <w:color w:val="auto"/>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when paid or become payable, provided there is no alternative future use of the rights in other research and development projects.</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73" w:lineRule="exact"/>
        <w:rPr>
          <w:sz w:val="20"/>
          <w:szCs w:val="20"/>
          <w:color w:val="auto"/>
        </w:rPr>
      </w:pPr>
    </w:p>
    <w:p>
      <w:pPr>
        <w:ind w:right="80" w:firstLine="620"/>
        <w:spacing w:after="0" w:line="256" w:lineRule="auto"/>
        <w:rPr>
          <w:sz w:val="20"/>
          <w:szCs w:val="20"/>
          <w:color w:val="auto"/>
        </w:rPr>
      </w:pPr>
      <w:r>
        <w:rPr>
          <w:rFonts w:ascii="Arial" w:cs="Arial" w:eastAsia="Arial" w:hAnsi="Arial"/>
          <w:sz w:val="17"/>
          <w:szCs w:val="17"/>
          <w:color w:val="auto"/>
        </w:rPr>
        <w:t>The Company accounts for share-based payments at fair value. The fair value of stock options is measured using the Black-Scholes option-pricing model. For share-based awards that vest subject to the satisfaction of a service requirement, the fair value measurement date for such awards is the date of grant and the expense is recognized on a straight-line basis, over the expected vesting period. For share-based awards that vest subject to a performance condition, the Company will recognize compensation cost for awards if and when the Company concludes that it is probable that the awards with a performance condition will be achieved on an accelerated attribution method. The Company accounts for forfeitures as they occur.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5" w:name="page126"/>
    <w:bookmarkEnd w:id="1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Income Taxes</w:t>
      </w:r>
    </w:p>
    <w:p>
      <w:pPr>
        <w:spacing w:after="0" w:line="160"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Income taxes are accounted for using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The Company records a valuation allowance to reduce deferred tax assets to an amount for which realization is more likely than not. Due to the Company’s historical operating performance and the recorded cumulative net losses in prior fiscal periods, the net deferred tax assets have been fully offset by a valuation allowance.</w:t>
      </w:r>
    </w:p>
    <w:p>
      <w:pPr>
        <w:spacing w:after="0" w:line="130" w:lineRule="exact"/>
        <w:rPr>
          <w:sz w:val="20"/>
          <w:szCs w:val="20"/>
          <w:color w:val="auto"/>
        </w:rPr>
      </w:pPr>
    </w:p>
    <w:p>
      <w:pPr>
        <w:ind w:right="120" w:firstLine="620"/>
        <w:spacing w:after="0" w:line="258" w:lineRule="auto"/>
        <w:rPr>
          <w:sz w:val="20"/>
          <w:szCs w:val="20"/>
          <w:color w:val="auto"/>
        </w:rPr>
      </w:pPr>
      <w:r>
        <w:rPr>
          <w:rFonts w:ascii="Arial" w:cs="Arial" w:eastAsia="Arial" w:hAnsi="Arial"/>
          <w:sz w:val="17"/>
          <w:szCs w:val="17"/>
          <w:color w:val="auto"/>
        </w:rPr>
        <w:t>The Company recognizes the tax benefit from an uncertain tax position if it is more likely than not that the tax position will be sustained upon examination by the tax authorities, based on the merits of the position. The Company’s policy is to recognize interest and penalties related to the underpayment of income taxes as a component of income tax expense or benefit. To date, there have been no interest or penalties incurred in relation to the unrecognized tax benefits.</w:t>
      </w:r>
    </w:p>
    <w:p>
      <w:pPr>
        <w:spacing w:after="0" w:line="129"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The U.S. Congress enacted the American Rescue Plan Act on March 10, 2021, Families First Coronavirus Response Act (FFCR Act) on March 18, 2020, and the Coronavirus Aid, Relief, and Economic Security Act (CARES Act) on March 27, 2020. The American Rescue Plan Act is a follow-up to the CARES Act, which continue the emergency economic stimulus package and includes spending and tax breaks to strengthen the U.S. economy and fund a nationwide effort to curtail the effect of COVID-19. The American Rescue Plan Act, FFCR Act, and CARES Act include numerous tax-related provisions, including modifications to the limitations on business interest expense and net operating losses (NOLs), certain refundable employee retention credits, as well as a payment delay of employer payroll taxes in 2020 after the date of enactment. On June 29, 2020, the California State Assembly Bill 85 (Trailer Bill) was enacted which suspends the use of California NOL deductions and certain tax credits, including research and development credits, for the 2020, 2021, and 2022 tax years. The Company does not expect the American Rescue Plan Act, FFCR Act, CARES Act, or Trailer Bill to have a material impact on the Company’s financial statements.</w:t>
      </w:r>
    </w:p>
    <w:p>
      <w:pPr>
        <w:spacing w:after="0" w:line="10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Variable Interest Entities</w:t>
      </w:r>
    </w:p>
    <w:p>
      <w:pPr>
        <w:spacing w:after="0" w:line="173"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The Company reviews agreements it enters into with third-party entities, pursuant to which the Company may have a variable interest in the entity, in order to determine if the entity is a variable interest entity (VIE). If the entity is a VIE, the Company assesses whether or not it is the primary beneficiary of that entity.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If the Company determines it is the primary beneficiary of a VIE, it consolidates that VIE into the Company’s financial statements. The Company’s determination about whether it should consolidate such VIEs is made continuously as changes to existing relationships or future transactions may result in a consolidation or deconsolidation event. The Company currently does not consolidate any VIEs.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60" w:lineRule="exact"/>
        <w:rPr>
          <w:sz w:val="20"/>
          <w:szCs w:val="20"/>
          <w:color w:val="auto"/>
        </w:rPr>
      </w:pPr>
    </w:p>
    <w:p>
      <w:pPr>
        <w:ind w:right="140" w:firstLine="620"/>
        <w:spacing w:after="0" w:line="257" w:lineRule="auto"/>
        <w:rPr>
          <w:sz w:val="20"/>
          <w:szCs w:val="20"/>
          <w:color w:val="auto"/>
        </w:rPr>
      </w:pPr>
      <w:r>
        <w:rPr>
          <w:rFonts w:ascii="Arial" w:cs="Arial" w:eastAsia="Arial" w:hAnsi="Arial"/>
          <w:sz w:val="17"/>
          <w:szCs w:val="17"/>
          <w:color w:val="auto"/>
        </w:rPr>
        <w:t>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share equivalents outstanding for the period determined using the treasury-stock method. Since the Company was in a loss position for all periods presented, basic net loss per share is the same as diluted net loss per share since the effects of potentially dilutive securities are antidilutive. Shares of common stock subject to repurchase are excluded from the weighted-average shares.</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73" w:lineRule="exact"/>
        <w:rPr>
          <w:sz w:val="20"/>
          <w:szCs w:val="20"/>
          <w:color w:val="auto"/>
        </w:rPr>
      </w:pPr>
    </w:p>
    <w:p>
      <w:pPr>
        <w:ind w:right="280" w:firstLine="620"/>
        <w:spacing w:after="0" w:line="269" w:lineRule="auto"/>
        <w:rPr>
          <w:sz w:val="20"/>
          <w:szCs w:val="20"/>
          <w:color w:val="auto"/>
        </w:rPr>
      </w:pPr>
      <w:r>
        <w:rPr>
          <w:rFonts w:ascii="Arial" w:cs="Arial" w:eastAsia="Arial" w:hAnsi="Arial"/>
          <w:sz w:val="17"/>
          <w:szCs w:val="17"/>
          <w:color w:val="auto"/>
        </w:rPr>
        <w:t>There have been no new accounting pronouncements issued or effective that are expected to have a material impact on the Company's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6" w:name="page127"/>
    <w:bookmarkEnd w:id="1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3. Fair Value Measurements</w:t>
      </w:r>
    </w:p>
    <w:p>
      <w:pPr>
        <w:spacing w:after="0" w:line="160" w:lineRule="exact"/>
        <w:rPr>
          <w:sz w:val="20"/>
          <w:szCs w:val="20"/>
          <w:color w:val="auto"/>
        </w:rPr>
      </w:pPr>
    </w:p>
    <w:p>
      <w:pPr>
        <w:ind w:right="140" w:firstLine="620"/>
        <w:spacing w:after="0" w:line="269" w:lineRule="auto"/>
        <w:rPr>
          <w:sz w:val="20"/>
          <w:szCs w:val="20"/>
          <w:color w:val="auto"/>
        </w:rPr>
      </w:pPr>
      <w:r>
        <w:rPr>
          <w:rFonts w:ascii="Arial" w:cs="Arial" w:eastAsia="Arial" w:hAnsi="Arial"/>
          <w:sz w:val="17"/>
          <w:szCs w:val="17"/>
          <w:color w:val="auto"/>
        </w:rPr>
        <w:t>The following table sets forth the Company’s financial instruments that were measured at fair value on a recurring basis by level within the fair value hierarchy (in thousands):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Assets: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Money market funds</w:t>
      </w:r>
      <w:r>
        <w:rPr>
          <w:rFonts w:ascii="Arial" w:cs="Arial" w:eastAsia="Arial" w:hAnsi="Arial"/>
          <w:sz w:val="22"/>
          <w:szCs w:val="22"/>
          <w:color w:val="auto"/>
          <w:vertAlign w:val="superscript"/>
        </w:rPr>
        <w:t>(1)</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Commercial paper</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Corporate debt securities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U.S. Treasury securities</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assets</w:t>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Assets: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December 31,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9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Total</w:t>
            </w:r>
          </w:p>
        </w:tc>
      </w:tr>
      <w:tr>
        <w:trPr>
          <w:trHeight w:val="458"/>
        </w:trPr>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95,145</w:t>
            </w:r>
          </w:p>
        </w:tc>
        <w:tc>
          <w:tcPr>
            <w:tcW w:w="100" w:type="dxa"/>
            <w:vAlign w:val="bottom"/>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803"/>
              <w:spacing w:after="0"/>
              <w:rPr>
                <w:sz w:val="20"/>
                <w:szCs w:val="20"/>
                <w:color w:val="auto"/>
              </w:rPr>
            </w:pPr>
            <w:r>
              <w:rPr>
                <w:rFonts w:ascii="Arial" w:cs="Arial" w:eastAsia="Arial" w:hAnsi="Arial"/>
                <w:sz w:val="17"/>
                <w:szCs w:val="17"/>
                <w:color w:val="auto"/>
                <w:w w:val="84"/>
              </w:rPr>
              <w:t>$</w:t>
            </w: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95,145</w:t>
            </w:r>
          </w:p>
        </w:tc>
      </w:tr>
      <w:tr>
        <w:trPr>
          <w:trHeight w:val="220"/>
        </w:trPr>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119,413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119,413</w:t>
            </w:r>
          </w:p>
        </w:tc>
      </w:tr>
      <w:tr>
        <w:trPr>
          <w:trHeight w:val="258"/>
        </w:trPr>
        <w:tc>
          <w:tcPr>
            <w:tcW w:w="28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114,324</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114,324</w:t>
            </w:r>
          </w:p>
        </w:tc>
      </w:tr>
      <w:tr>
        <w:trPr>
          <w:trHeight w:val="258"/>
        </w:trPr>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58,177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58,177</w:t>
            </w:r>
          </w:p>
        </w:tc>
      </w:tr>
      <w:tr>
        <w:trPr>
          <w:trHeight w:val="213"/>
        </w:trPr>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153,322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233,737</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387,059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9"/>
        </w:trPr>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94"/>
        </w:trPr>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-1287780</wp:posOffset>
            </wp:positionV>
            <wp:extent cx="7138035" cy="1397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-984250</wp:posOffset>
            </wp:positionV>
            <wp:extent cx="7138035" cy="139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-680085</wp:posOffset>
            </wp:positionV>
            <wp:extent cx="7138035" cy="163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7138035" cy="163830"/>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-7620</wp:posOffset>
            </wp:positionV>
            <wp:extent cx="7138035" cy="163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7138035" cy="163830"/>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4900" w:space="720"/>
            <w:col w:w="562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5620" w:type="dxa"/>
            <w:vAlign w:val="bottom"/>
          </w:tcPr>
          <w:p>
            <w:pPr>
              <w:ind w:left="340"/>
              <w:spacing w:after="0"/>
              <w:rPr>
                <w:sz w:val="20"/>
                <w:szCs w:val="20"/>
                <w:color w:val="auto"/>
              </w:rPr>
            </w:pPr>
            <w:r>
              <w:rPr>
                <w:rFonts w:ascii="Arial" w:cs="Arial" w:eastAsia="Arial" w:hAnsi="Arial"/>
                <w:sz w:val="17"/>
                <w:szCs w:val="17"/>
                <w:color w:val="auto"/>
              </w:rPr>
              <w:t>Money market funds</w:t>
            </w:r>
            <w:r>
              <w:rPr>
                <w:rFonts w:ascii="Arial" w:cs="Arial" w:eastAsia="Arial" w:hAnsi="Arial"/>
                <w:sz w:val="22"/>
                <w:szCs w:val="22"/>
                <w:color w:val="auto"/>
                <w:vertAlign w:val="superscript"/>
              </w:rPr>
              <w:t>(1)</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65,082</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65,082</w:t>
            </w:r>
          </w:p>
        </w:tc>
      </w:tr>
      <w:tr>
        <w:trPr>
          <w:trHeight w:val="220"/>
        </w:trPr>
        <w:tc>
          <w:tcPr>
            <w:tcW w:w="5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Commercial paper</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45,518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45,518</w:t>
            </w:r>
          </w:p>
        </w:tc>
      </w:tr>
      <w:tr>
        <w:trPr>
          <w:trHeight w:val="258"/>
        </w:trPr>
        <w:tc>
          <w:tcPr>
            <w:tcW w:w="56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U.S. Treasury securities</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173,841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173,841</w:t>
            </w:r>
          </w:p>
        </w:tc>
      </w:tr>
      <w:tr>
        <w:trPr>
          <w:trHeight w:val="233"/>
        </w:trPr>
        <w:tc>
          <w:tcPr>
            <w:tcW w:w="56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assets</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238,923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45,518</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284,441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17" w:lineRule="exact"/>
        <w:rPr>
          <w:sz w:val="20"/>
          <w:szCs w:val="20"/>
          <w:color w:val="auto"/>
        </w:rPr>
      </w:pPr>
    </w:p>
    <w:p>
      <w:pPr>
        <w:ind w:left="620" w:hanging="617"/>
        <w:spacing w:after="0"/>
        <w:tabs>
          <w:tab w:leader="none" w:pos="6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131" w:lineRule="exact"/>
        <w:rPr>
          <w:sz w:val="20"/>
          <w:szCs w:val="20"/>
          <w:color w:val="auto"/>
        </w:rPr>
      </w:pPr>
    </w:p>
    <w:p>
      <w:pPr>
        <w:ind w:right="860" w:firstLine="620"/>
        <w:spacing w:after="0" w:line="269" w:lineRule="auto"/>
        <w:rPr>
          <w:sz w:val="20"/>
          <w:szCs w:val="20"/>
          <w:color w:val="auto"/>
        </w:rPr>
      </w:pPr>
      <w:r>
        <w:rPr>
          <w:rFonts w:ascii="Arial" w:cs="Arial" w:eastAsia="Arial" w:hAnsi="Arial"/>
          <w:sz w:val="17"/>
          <w:szCs w:val="17"/>
          <w:color w:val="auto"/>
        </w:rPr>
        <w:t>Money market funds and U.S. Treasury securities are valued based on quoted market prices in active markets, with no valuation adjustment.</w:t>
      </w:r>
    </w:p>
    <w:p>
      <w:pPr>
        <w:spacing w:after="0" w:line="117" w:lineRule="exact"/>
        <w:rPr>
          <w:sz w:val="20"/>
          <w:szCs w:val="20"/>
          <w:color w:val="auto"/>
        </w:rPr>
      </w:pPr>
    </w:p>
    <w:p>
      <w:pPr>
        <w:ind w:right="40" w:firstLine="620"/>
        <w:spacing w:after="0" w:line="258" w:lineRule="auto"/>
        <w:rPr>
          <w:sz w:val="20"/>
          <w:szCs w:val="20"/>
          <w:color w:val="auto"/>
        </w:rPr>
      </w:pPr>
      <w:r>
        <w:rPr>
          <w:rFonts w:ascii="Arial" w:cs="Arial" w:eastAsia="Arial" w:hAnsi="Arial"/>
          <w:sz w:val="17"/>
          <w:szCs w:val="17"/>
          <w:color w:val="auto"/>
        </w:rPr>
        <w:t>Commercial paper and corporate debt securities are valued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322" w:lineRule="exact"/>
        <w:rPr>
          <w:sz w:val="20"/>
          <w:szCs w:val="20"/>
          <w:color w:val="auto"/>
        </w:rPr>
      </w:pPr>
    </w:p>
    <w:p>
      <w:pPr>
        <w:ind w:right="340" w:firstLine="620"/>
        <w:spacing w:after="0" w:line="269" w:lineRule="auto"/>
        <w:rPr>
          <w:sz w:val="20"/>
          <w:szCs w:val="20"/>
          <w:color w:val="auto"/>
        </w:rPr>
      </w:pPr>
      <w:r>
        <w:rPr>
          <w:rFonts w:ascii="Arial" w:cs="Arial" w:eastAsia="Arial" w:hAnsi="Arial"/>
          <w:sz w:val="17"/>
          <w:szCs w:val="17"/>
          <w:color w:val="auto"/>
        </w:rPr>
        <w:t>The following table summarizes the estimated value of the Company’s cash, cash equivalents and marketable securities, and the gross unrealized holding gains and losses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35"/>
        </w:trPr>
        <w:tc>
          <w:tcPr>
            <w:tcW w:w="5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1"/>
                <w:szCs w:val="11"/>
                <w:color w:val="auto"/>
              </w:rPr>
            </w:pPr>
          </w:p>
        </w:tc>
        <w:tc>
          <w:tcPr>
            <w:tcW w:w="12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1"/>
                <w:szCs w:val="11"/>
                <w:color w:val="auto"/>
              </w:rPr>
            </w:pPr>
          </w:p>
        </w:tc>
        <w:tc>
          <w:tcPr>
            <w:tcW w:w="12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1"/>
                <w:szCs w:val="11"/>
                <w:color w:val="auto"/>
              </w:rPr>
            </w:pPr>
          </w:p>
        </w:tc>
        <w:tc>
          <w:tcPr>
            <w:tcW w:w="1100" w:type="dxa"/>
            <w:vAlign w:val="bottom"/>
          </w:tcPr>
          <w:p>
            <w:pPr>
              <w:jc w:val="right"/>
              <w:ind w:right="258"/>
              <w:spacing w:after="0" w:line="135" w:lineRule="exact"/>
              <w:rPr>
                <w:sz w:val="20"/>
                <w:szCs w:val="20"/>
                <w:color w:val="auto"/>
              </w:rPr>
            </w:pPr>
            <w:r>
              <w:rPr>
                <w:rFonts w:ascii="Arial" w:cs="Arial" w:eastAsia="Arial" w:hAnsi="Arial"/>
                <w:sz w:val="14"/>
                <w:szCs w:val="14"/>
                <w:b w:val="1"/>
                <w:bCs w:val="1"/>
                <w:color w:val="auto"/>
              </w:rPr>
              <w:t>Estimated</w:t>
            </w:r>
          </w:p>
        </w:tc>
      </w:tr>
      <w:tr>
        <w:trPr>
          <w:trHeight w:val="168"/>
        </w:trPr>
        <w:tc>
          <w:tcPr>
            <w:tcW w:w="5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7"/>
              </w:rPr>
              <w:t>cost</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fair value</w:t>
            </w:r>
          </w:p>
        </w:tc>
      </w:tr>
      <w:tr>
        <w:trPr>
          <w:trHeight w:val="20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0"/>
        </w:trPr>
        <w:tc>
          <w:tcPr>
            <w:tcW w:w="5600" w:type="dxa"/>
            <w:vAlign w:val="bottom"/>
          </w:tcPr>
          <w:p>
            <w:pPr>
              <w:ind w:left="340"/>
              <w:spacing w:after="0" w:line="220" w:lineRule="exact"/>
              <w:rPr>
                <w:sz w:val="20"/>
                <w:szCs w:val="20"/>
                <w:color w:val="auto"/>
              </w:rPr>
            </w:pPr>
            <w:r>
              <w:rPr>
                <w:rFonts w:ascii="Arial" w:cs="Arial" w:eastAsia="Arial" w:hAnsi="Arial"/>
                <w:sz w:val="17"/>
                <w:szCs w:val="17"/>
                <w:color w:val="auto"/>
              </w:rPr>
              <w:t>Money market funds</w:t>
            </w:r>
            <w:r>
              <w:rPr>
                <w:rFonts w:ascii="Arial" w:cs="Arial" w:eastAsia="Arial" w:hAnsi="Arial"/>
                <w:sz w:val="22"/>
                <w:szCs w:val="22"/>
                <w:color w:val="auto"/>
                <w:vertAlign w:val="superscript"/>
              </w:rPr>
              <w:t>(1)</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95,145</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95,145</w:t>
            </w:r>
          </w:p>
        </w:tc>
      </w:tr>
      <w:tr>
        <w:trPr>
          <w:trHeight w:val="220"/>
        </w:trPr>
        <w:tc>
          <w:tcPr>
            <w:tcW w:w="5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Corporate debt securities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1,304</w:t>
            </w:r>
          </w:p>
        </w:tc>
      </w:tr>
      <w:tr>
        <w:trPr>
          <w:trHeight w:val="213"/>
        </w:trPr>
        <w:tc>
          <w:tcPr>
            <w:tcW w:w="5600" w:type="dxa"/>
            <w:vAlign w:val="bottom"/>
          </w:tcPr>
          <w:p>
            <w:pPr>
              <w:ind w:left="640"/>
              <w:spacing w:after="0"/>
              <w:rPr>
                <w:sz w:val="20"/>
                <w:szCs w:val="20"/>
                <w:color w:val="auto"/>
              </w:rPr>
            </w:pPr>
            <w:r>
              <w:rPr>
                <w:rFonts w:ascii="Arial" w:cs="Arial" w:eastAsia="Arial" w:hAnsi="Arial"/>
                <w:sz w:val="17"/>
                <w:szCs w:val="17"/>
                <w:color w:val="auto"/>
              </w:rPr>
              <w:t>Total cash and cash equivalents</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96,449</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96,449</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560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Marketable securities: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0"/>
        </w:trPr>
        <w:tc>
          <w:tcPr>
            <w:tcW w:w="5600" w:type="dxa"/>
            <w:vAlign w:val="bottom"/>
          </w:tcPr>
          <w:p>
            <w:pPr>
              <w:ind w:left="340"/>
              <w:spacing w:after="0"/>
              <w:rPr>
                <w:sz w:val="20"/>
                <w:szCs w:val="20"/>
                <w:color w:val="auto"/>
              </w:rPr>
            </w:pPr>
            <w:r>
              <w:rPr>
                <w:rFonts w:ascii="Arial" w:cs="Arial" w:eastAsia="Arial" w:hAnsi="Arial"/>
                <w:sz w:val="17"/>
                <w:szCs w:val="17"/>
                <w:color w:val="auto"/>
              </w:rPr>
              <w:t>Commercial paper</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119,413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119,413</w:t>
            </w:r>
          </w:p>
        </w:tc>
      </w:tr>
      <w:tr>
        <w:trPr>
          <w:trHeight w:val="220"/>
        </w:trPr>
        <w:tc>
          <w:tcPr>
            <w:tcW w:w="5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Corporate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113,020</w:t>
            </w:r>
          </w:p>
        </w:tc>
      </w:tr>
      <w:tr>
        <w:trPr>
          <w:trHeight w:val="258"/>
        </w:trPr>
        <w:tc>
          <w:tcPr>
            <w:tcW w:w="56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U.S. Treasury securities</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58,307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(130)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58,177</w:t>
            </w:r>
          </w:p>
        </w:tc>
      </w:tr>
      <w:tr>
        <w:trPr>
          <w:trHeight w:val="233"/>
        </w:trPr>
        <w:tc>
          <w:tcPr>
            <w:tcW w:w="56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marketable securities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290,865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(255)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290,610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17" w:lineRule="exact"/>
        <w:rPr>
          <w:sz w:val="20"/>
          <w:szCs w:val="20"/>
          <w:color w:val="auto"/>
        </w:rPr>
      </w:pPr>
    </w:p>
    <w:p>
      <w:pPr>
        <w:ind w:left="620" w:hanging="617"/>
        <w:spacing w:after="0"/>
        <w:tabs>
          <w:tab w:leader="none" w:pos="6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7" w:name="page128"/>
    <w:bookmarkEnd w:id="1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Unrealized</w:t>
            </w:r>
          </w:p>
        </w:tc>
        <w:tc>
          <w:tcPr>
            <w:tcW w:w="10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ind w:right="259"/>
              <w:spacing w:after="0" w:line="135"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8"/>
        </w:trPr>
        <w:tc>
          <w:tcPr>
            <w:tcW w:w="56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cost</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gains</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losses</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0"/>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80" w:type="dxa"/>
            <w:vAlign w:val="bottom"/>
            <w:tcBorders>
              <w:bottom w:val="single" w:sz="8" w:color="CCEEFF"/>
            </w:tcBorders>
          </w:tcPr>
          <w:p>
            <w:pPr>
              <w:ind w:left="340"/>
              <w:spacing w:after="0" w:line="220" w:lineRule="exact"/>
              <w:rPr>
                <w:sz w:val="20"/>
                <w:szCs w:val="20"/>
                <w:color w:val="auto"/>
              </w:rPr>
            </w:pPr>
            <w:r>
              <w:rPr>
                <w:rFonts w:ascii="Arial" w:cs="Arial" w:eastAsia="Arial" w:hAnsi="Arial"/>
                <w:sz w:val="17"/>
                <w:szCs w:val="17"/>
                <w:color w:val="auto"/>
              </w:rPr>
              <w:t>Money market funds</w:t>
            </w:r>
            <w:r>
              <w:rPr>
                <w:rFonts w:ascii="Arial" w:cs="Arial" w:eastAsia="Arial" w:hAnsi="Arial"/>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65,082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65,082</w:t>
            </w:r>
          </w:p>
        </w:tc>
        <w:tc>
          <w:tcPr>
            <w:tcW w:w="0" w:type="dxa"/>
            <w:vAlign w:val="bottom"/>
          </w:tcPr>
          <w:p>
            <w:pPr>
              <w:spacing w:after="0"/>
              <w:rPr>
                <w:sz w:val="1"/>
                <w:szCs w:val="1"/>
                <w:color w:val="auto"/>
              </w:rPr>
            </w:pPr>
          </w:p>
        </w:tc>
      </w:tr>
      <w:tr>
        <w:trPr>
          <w:trHeight w:val="233"/>
        </w:trPr>
        <w:tc>
          <w:tcPr>
            <w:tcW w:w="56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cash and cash equivalents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65,082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65,082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Marketable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45,518</w:t>
            </w:r>
          </w:p>
        </w:tc>
        <w:tc>
          <w:tcPr>
            <w:tcW w:w="0" w:type="dxa"/>
            <w:vAlign w:val="bottom"/>
          </w:tcPr>
          <w:p>
            <w:pPr>
              <w:spacing w:after="0"/>
              <w:rPr>
                <w:sz w:val="1"/>
                <w:szCs w:val="1"/>
                <w:color w:val="auto"/>
              </w:rPr>
            </w:pPr>
          </w:p>
        </w:tc>
      </w:tr>
      <w:tr>
        <w:trPr>
          <w:trHeight w:val="220"/>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U.S. Treasury securities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173,843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173,841</w:t>
            </w:r>
          </w:p>
        </w:tc>
        <w:tc>
          <w:tcPr>
            <w:tcW w:w="0" w:type="dxa"/>
            <w:vAlign w:val="bottom"/>
          </w:tcPr>
          <w:p>
            <w:pPr>
              <w:spacing w:after="0"/>
              <w:rPr>
                <w:sz w:val="1"/>
                <w:szCs w:val="1"/>
                <w:color w:val="auto"/>
              </w:rPr>
            </w:pPr>
          </w:p>
        </w:tc>
      </w:tr>
      <w:tr>
        <w:trPr>
          <w:trHeight w:val="238"/>
        </w:trPr>
        <w:tc>
          <w:tcPr>
            <w:tcW w:w="56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marketable securities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219,361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219,359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17" w:lineRule="exact"/>
        <w:rPr>
          <w:sz w:val="20"/>
          <w:szCs w:val="20"/>
          <w:color w:val="auto"/>
        </w:rPr>
      </w:pPr>
    </w:p>
    <w:p>
      <w:pPr>
        <w:ind w:left="620" w:hanging="617"/>
        <w:spacing w:after="0"/>
        <w:tabs>
          <w:tab w:leader="none" w:pos="6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131" w:lineRule="exact"/>
        <w:rPr>
          <w:sz w:val="20"/>
          <w:szCs w:val="20"/>
          <w:color w:val="auto"/>
        </w:rPr>
      </w:pPr>
    </w:p>
    <w:p>
      <w:pPr>
        <w:ind w:right="260" w:firstLine="620"/>
        <w:spacing w:after="0" w:line="258" w:lineRule="auto"/>
        <w:rPr>
          <w:sz w:val="20"/>
          <w:szCs w:val="20"/>
          <w:color w:val="auto"/>
        </w:rPr>
      </w:pPr>
      <w:r>
        <w:rPr>
          <w:rFonts w:ascii="Arial" w:cs="Arial" w:eastAsia="Arial" w:hAnsi="Arial"/>
          <w:sz w:val="17"/>
          <w:szCs w:val="17"/>
          <w:color w:val="auto"/>
        </w:rPr>
        <w:t>Realized gains or losses on investments for the years ended December 31, 2021 and 2020 were not material. As of December 31, 2021 and 2020, unrealized losses on marketable securities were not material, and accordingly, no allowance for credit losses were recorded. As of December 31, 2021 and 2020, all securities have a maturity of 18 months or less and all securities with gross unrealized losses have been in a continuous loss position for less than one year.</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 Balance Sheet Components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Prepaid Expenses and Other Current Assets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Prepaid expenses and other current assets consist of the following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Prepaid clinical trial costs</w:t>
            </w:r>
          </w:p>
        </w:tc>
        <w:tc>
          <w:tcPr>
            <w:tcW w:w="2560" w:type="dxa"/>
            <w:vAlign w:val="bottom"/>
            <w:gridSpan w:val="2"/>
            <w:shd w:val="clear" w:color="auto" w:fill="CCEEFF"/>
          </w:tcPr>
          <w:p>
            <w:pPr>
              <w:jc w:val="right"/>
              <w:ind w:right="1131"/>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4,865</w:t>
            </w:r>
          </w:p>
        </w:tc>
        <w:tc>
          <w:tcPr>
            <w:tcW w:w="0" w:type="dxa"/>
            <w:vAlign w:val="bottom"/>
          </w:tcPr>
          <w:p>
            <w:pPr>
              <w:spacing w:after="0"/>
              <w:rPr>
                <w:sz w:val="1"/>
                <w:szCs w:val="1"/>
                <w:color w:val="auto"/>
              </w:rPr>
            </w:pPr>
          </w:p>
        </w:tc>
      </w:tr>
      <w:tr>
        <w:trPr>
          <w:trHeight w:val="220"/>
        </w:trPr>
        <w:tc>
          <w:tcPr>
            <w:tcW w:w="5180" w:type="dxa"/>
            <w:vAlign w:val="bottom"/>
          </w:tcPr>
          <w:p>
            <w:pPr>
              <w:ind w:left="640"/>
              <w:spacing w:after="0"/>
              <w:rPr>
                <w:sz w:val="20"/>
                <w:szCs w:val="20"/>
                <w:color w:val="auto"/>
              </w:rPr>
            </w:pPr>
            <w:r>
              <w:rPr>
                <w:rFonts w:ascii="Arial" w:cs="Arial" w:eastAsia="Arial" w:hAnsi="Arial"/>
                <w:sz w:val="17"/>
                <w:szCs w:val="17"/>
                <w:color w:val="auto"/>
              </w:rPr>
              <w:t>Prepaid insurance</w:t>
            </w:r>
          </w:p>
        </w:tc>
        <w:tc>
          <w:tcPr>
            <w:tcW w:w="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Tax credits</w:t>
            </w:r>
          </w:p>
        </w:tc>
        <w:tc>
          <w:tcPr>
            <w:tcW w:w="6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0" w:type="dxa"/>
            <w:vAlign w:val="bottom"/>
          </w:tcPr>
          <w:p>
            <w:pPr>
              <w:spacing w:after="0"/>
              <w:rPr>
                <w:sz w:val="1"/>
                <w:szCs w:val="1"/>
                <w:color w:val="auto"/>
              </w:rPr>
            </w:pPr>
          </w:p>
        </w:tc>
      </w:tr>
      <w:tr>
        <w:trPr>
          <w:trHeight w:val="220"/>
        </w:trPr>
        <w:tc>
          <w:tcPr>
            <w:tcW w:w="51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Other prepaid expenses and current assets</w:t>
            </w:r>
          </w:p>
        </w:tc>
        <w:tc>
          <w:tcPr>
            <w:tcW w:w="62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1,219</w:t>
            </w:r>
          </w:p>
        </w:tc>
        <w:tc>
          <w:tcPr>
            <w:tcW w:w="0" w:type="dxa"/>
            <w:vAlign w:val="bottom"/>
          </w:tcPr>
          <w:p>
            <w:pPr>
              <w:spacing w:after="0"/>
              <w:rPr>
                <w:sz w:val="1"/>
                <w:szCs w:val="1"/>
                <w:color w:val="auto"/>
              </w:rPr>
            </w:pPr>
          </w:p>
        </w:tc>
      </w:tr>
      <w:tr>
        <w:trPr>
          <w:trHeight w:val="233"/>
        </w:trPr>
        <w:tc>
          <w:tcPr>
            <w:tcW w:w="5180" w:type="dxa"/>
            <w:vAlign w:val="bottom"/>
            <w:shd w:val="clear" w:color="auto" w:fill="CCEEFF"/>
          </w:tcPr>
          <w:p>
            <w:pPr>
              <w:ind w:left="960"/>
              <w:spacing w:after="0"/>
              <w:rPr>
                <w:sz w:val="20"/>
                <w:szCs w:val="20"/>
                <w:color w:val="auto"/>
              </w:rPr>
            </w:pPr>
            <w:r>
              <w:rPr>
                <w:rFonts w:ascii="Arial" w:cs="Arial" w:eastAsia="Arial" w:hAnsi="Arial"/>
                <w:sz w:val="17"/>
                <w:szCs w:val="17"/>
                <w:color w:val="auto"/>
              </w:rPr>
              <w:t>Total prepaid expenses and other current assets</w:t>
            </w:r>
          </w:p>
        </w:tc>
        <w:tc>
          <w:tcPr>
            <w:tcW w:w="2560" w:type="dxa"/>
            <w:vAlign w:val="bottom"/>
            <w:gridSpan w:val="2"/>
            <w:shd w:val="clear" w:color="auto" w:fill="CCEEFF"/>
          </w:tcPr>
          <w:p>
            <w:pPr>
              <w:jc w:val="right"/>
              <w:ind w:right="1131"/>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7"/>
                <w:szCs w:val="17"/>
                <w:b w:val="1"/>
                <w:bCs w:val="1"/>
                <w:i w:val="1"/>
                <w:iCs w:val="1"/>
                <w:color w:val="auto"/>
              </w:rPr>
              <w:t>Accrued Liabilities</w:t>
            </w:r>
          </w:p>
        </w:tc>
        <w:tc>
          <w:tcPr>
            <w:tcW w:w="6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1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180" w:type="dxa"/>
            <w:vAlign w:val="bottom"/>
          </w:tcPr>
          <w:p>
            <w:pPr>
              <w:ind w:left="620"/>
              <w:spacing w:after="0"/>
              <w:rPr>
                <w:sz w:val="20"/>
                <w:szCs w:val="20"/>
                <w:color w:val="auto"/>
              </w:rPr>
            </w:pPr>
            <w:r>
              <w:rPr>
                <w:rFonts w:ascii="Arial" w:cs="Arial" w:eastAsia="Arial" w:hAnsi="Arial"/>
                <w:sz w:val="17"/>
                <w:szCs w:val="17"/>
                <w:color w:val="auto"/>
              </w:rPr>
              <w:t>Accrued liabilities consist of the following (in thousands):</w:t>
            </w: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1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Clinical trial accruals</w:t>
            </w:r>
          </w:p>
        </w:tc>
        <w:tc>
          <w:tcPr>
            <w:tcW w:w="2560" w:type="dxa"/>
            <w:vAlign w:val="bottom"/>
            <w:gridSpan w:val="2"/>
            <w:shd w:val="clear" w:color="auto" w:fill="CCEEFF"/>
          </w:tcPr>
          <w:p>
            <w:pPr>
              <w:jc w:val="right"/>
              <w:ind w:right="1151"/>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9,754</w:t>
            </w:r>
          </w:p>
        </w:tc>
        <w:tc>
          <w:tcPr>
            <w:tcW w:w="0" w:type="dxa"/>
            <w:vAlign w:val="bottom"/>
          </w:tcPr>
          <w:p>
            <w:pPr>
              <w:spacing w:after="0"/>
              <w:rPr>
                <w:sz w:val="1"/>
                <w:szCs w:val="1"/>
                <w:color w:val="auto"/>
              </w:rPr>
            </w:pPr>
          </w:p>
        </w:tc>
      </w:tr>
      <w:tr>
        <w:trPr>
          <w:trHeight w:val="258"/>
        </w:trPr>
        <w:tc>
          <w:tcPr>
            <w:tcW w:w="5180" w:type="dxa"/>
            <w:vAlign w:val="bottom"/>
          </w:tcPr>
          <w:p>
            <w:pPr>
              <w:ind w:left="640"/>
              <w:spacing w:after="0"/>
              <w:rPr>
                <w:sz w:val="20"/>
                <w:szCs w:val="20"/>
                <w:color w:val="auto"/>
              </w:rPr>
            </w:pPr>
            <w:r>
              <w:rPr>
                <w:rFonts w:ascii="Arial" w:cs="Arial" w:eastAsia="Arial" w:hAnsi="Arial"/>
                <w:sz w:val="17"/>
                <w:szCs w:val="17"/>
                <w:color w:val="auto"/>
              </w:rPr>
              <w:t>Accrued compensation</w:t>
            </w:r>
          </w:p>
        </w:tc>
        <w:tc>
          <w:tcPr>
            <w:tcW w:w="6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9,130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4,434</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Accrued expenses and other current liabilities</w:t>
            </w:r>
          </w:p>
        </w:tc>
        <w:tc>
          <w:tcPr>
            <w:tcW w:w="62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1,274</w:t>
            </w:r>
          </w:p>
        </w:tc>
        <w:tc>
          <w:tcPr>
            <w:tcW w:w="0" w:type="dxa"/>
            <w:vAlign w:val="bottom"/>
          </w:tcPr>
          <w:p>
            <w:pPr>
              <w:spacing w:after="0"/>
              <w:rPr>
                <w:sz w:val="1"/>
                <w:szCs w:val="1"/>
                <w:color w:val="auto"/>
              </w:rPr>
            </w:pPr>
          </w:p>
        </w:tc>
      </w:tr>
      <w:tr>
        <w:trPr>
          <w:trHeight w:val="213"/>
        </w:trPr>
        <w:tc>
          <w:tcPr>
            <w:tcW w:w="5180" w:type="dxa"/>
            <w:vAlign w:val="bottom"/>
          </w:tcPr>
          <w:p>
            <w:pPr>
              <w:ind w:left="960"/>
              <w:spacing w:after="0"/>
              <w:rPr>
                <w:sz w:val="20"/>
                <w:szCs w:val="20"/>
                <w:color w:val="auto"/>
              </w:rPr>
            </w:pPr>
            <w:r>
              <w:rPr>
                <w:rFonts w:ascii="Arial" w:cs="Arial" w:eastAsia="Arial" w:hAnsi="Arial"/>
                <w:sz w:val="17"/>
                <w:szCs w:val="17"/>
                <w:color w:val="auto"/>
              </w:rPr>
              <w:t>Total accrued liabilities</w:t>
            </w:r>
          </w:p>
        </w:tc>
        <w:tc>
          <w:tcPr>
            <w:tcW w:w="2560" w:type="dxa"/>
            <w:vAlign w:val="bottom"/>
            <w:gridSpan w:val="2"/>
          </w:tcPr>
          <w:p>
            <w:pPr>
              <w:jc w:val="right"/>
              <w:ind w:right="1151"/>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25,540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15,462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180" w:type="dxa"/>
            <w:vAlign w:val="bottom"/>
          </w:tcPr>
          <w:p>
            <w:pPr>
              <w:spacing w:after="0"/>
              <w:rPr>
                <w:sz w:val="24"/>
                <w:szCs w:val="24"/>
                <w:color w:val="auto"/>
              </w:rPr>
            </w:pPr>
          </w:p>
        </w:tc>
        <w:tc>
          <w:tcPr>
            <w:tcW w:w="2560" w:type="dxa"/>
            <w:vAlign w:val="bottom"/>
            <w:gridSpan w:val="2"/>
          </w:tcPr>
          <w:p>
            <w:pPr>
              <w:jc w:val="right"/>
              <w:ind w:right="1871"/>
              <w:spacing w:after="0"/>
              <w:rPr>
                <w:sz w:val="20"/>
                <w:szCs w:val="20"/>
                <w:color w:val="auto"/>
              </w:rPr>
            </w:pPr>
            <w:r>
              <w:rPr>
                <w:rFonts w:ascii="Arial" w:cs="Arial" w:eastAsia="Arial" w:hAnsi="Arial"/>
                <w:sz w:val="17"/>
                <w:szCs w:val="17"/>
                <w:color w:val="auto"/>
              </w:rPr>
              <w:t>F-14</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8" w:name="page129"/>
    <w:bookmarkEnd w:id="1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5. Property and Equipment, net</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Property and equipment, net consists of the following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40" w:type="dxa"/>
            <w:vAlign w:val="bottom"/>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Borders>
              <w:bottom w:val="single" w:sz="8" w:color="auto"/>
            </w:tcBorders>
          </w:tcPr>
          <w:p>
            <w:pPr>
              <w:spacing w:after="0"/>
              <w:rPr>
                <w:sz w:val="15"/>
                <w:szCs w:val="15"/>
                <w:color w:val="auto"/>
              </w:rPr>
            </w:pPr>
          </w:p>
        </w:tc>
      </w:tr>
      <w:tr>
        <w:trPr>
          <w:trHeight w:val="174"/>
        </w:trPr>
        <w:tc>
          <w:tcPr>
            <w:tcW w:w="584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2020</w:t>
            </w:r>
          </w:p>
        </w:tc>
      </w:tr>
      <w:tr>
        <w:trPr>
          <w:trHeight w:val="213"/>
        </w:trPr>
        <w:tc>
          <w:tcPr>
            <w:tcW w:w="58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Computer hardware</w:t>
            </w:r>
          </w:p>
        </w:tc>
        <w:tc>
          <w:tcPr>
            <w:tcW w:w="1960" w:type="dxa"/>
            <w:vAlign w:val="bottom"/>
            <w:shd w:val="clear" w:color="auto" w:fill="CCEEFF"/>
          </w:tcPr>
          <w:p>
            <w:pPr>
              <w:jc w:val="right"/>
              <w:ind w:right="11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58"/>
        </w:trPr>
        <w:tc>
          <w:tcPr>
            <w:tcW w:w="5840" w:type="dxa"/>
            <w:vAlign w:val="bottom"/>
          </w:tcPr>
          <w:p>
            <w:pPr>
              <w:ind w:left="640"/>
              <w:spacing w:after="0"/>
              <w:rPr>
                <w:sz w:val="20"/>
                <w:szCs w:val="20"/>
                <w:color w:val="auto"/>
              </w:rPr>
            </w:pPr>
            <w:r>
              <w:rPr>
                <w:rFonts w:ascii="Arial" w:cs="Arial" w:eastAsia="Arial" w:hAnsi="Arial"/>
                <w:sz w:val="17"/>
                <w:szCs w:val="17"/>
                <w:color w:val="auto"/>
              </w:rPr>
              <w:t>Furniture and fixtures</w:t>
            </w:r>
          </w:p>
        </w:tc>
        <w:tc>
          <w:tcPr>
            <w:tcW w:w="19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346</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230</w:t>
            </w:r>
          </w:p>
        </w:tc>
      </w:tr>
      <w:tr>
        <w:trPr>
          <w:trHeight w:val="258"/>
        </w:trPr>
        <w:tc>
          <w:tcPr>
            <w:tcW w:w="58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Software</w:t>
            </w:r>
          </w:p>
        </w:tc>
        <w:tc>
          <w:tcPr>
            <w:tcW w:w="19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840" w:type="dxa"/>
            <w:vAlign w:val="bottom"/>
          </w:tcPr>
          <w:p>
            <w:pPr>
              <w:ind w:left="640"/>
              <w:spacing w:after="0"/>
              <w:rPr>
                <w:sz w:val="20"/>
                <w:szCs w:val="20"/>
                <w:color w:val="auto"/>
              </w:rPr>
            </w:pPr>
            <w:r>
              <w:rPr>
                <w:rFonts w:ascii="Arial" w:cs="Arial" w:eastAsia="Arial" w:hAnsi="Arial"/>
                <w:sz w:val="17"/>
                <w:szCs w:val="17"/>
                <w:color w:val="auto"/>
              </w:rPr>
              <w:t>Construction in process</w:t>
            </w:r>
          </w:p>
        </w:tc>
        <w:tc>
          <w:tcPr>
            <w:tcW w:w="196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298</w:t>
            </w:r>
          </w:p>
        </w:tc>
      </w:tr>
      <w:tr>
        <w:trPr>
          <w:trHeight w:val="258"/>
        </w:trPr>
        <w:tc>
          <w:tcPr>
            <w:tcW w:w="58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Leasehold improvements</w:t>
            </w:r>
          </w:p>
        </w:tc>
        <w:tc>
          <w:tcPr>
            <w:tcW w:w="19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0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1,280</w:t>
            </w:r>
          </w:p>
        </w:tc>
      </w:tr>
      <w:tr>
        <w:trPr>
          <w:trHeight w:val="213"/>
        </w:trPr>
        <w:tc>
          <w:tcPr>
            <w:tcW w:w="5840" w:type="dxa"/>
            <w:vAlign w:val="bottom"/>
          </w:tcPr>
          <w:p>
            <w:pPr>
              <w:ind w:left="960"/>
              <w:spacing w:after="0"/>
              <w:rPr>
                <w:sz w:val="20"/>
                <w:szCs w:val="20"/>
                <w:color w:val="auto"/>
              </w:rPr>
            </w:pPr>
            <w:r>
              <w:rPr>
                <w:rFonts w:ascii="Arial" w:cs="Arial" w:eastAsia="Arial" w:hAnsi="Arial"/>
                <w:sz w:val="17"/>
                <w:szCs w:val="17"/>
                <w:color w:val="auto"/>
              </w:rPr>
              <w:t>Property and equipment, gross</w:t>
            </w:r>
          </w:p>
        </w:tc>
        <w:tc>
          <w:tcPr>
            <w:tcW w:w="1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2,793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2,094</w:t>
            </w:r>
          </w:p>
        </w:tc>
      </w:tr>
      <w:tr>
        <w:trPr>
          <w:trHeight w:val="220"/>
        </w:trPr>
        <w:tc>
          <w:tcPr>
            <w:tcW w:w="58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Less accumulated depreciation</w:t>
            </w:r>
          </w:p>
        </w:tc>
        <w:tc>
          <w:tcPr>
            <w:tcW w:w="19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13"/>
        </w:trPr>
        <w:tc>
          <w:tcPr>
            <w:tcW w:w="5840" w:type="dxa"/>
            <w:vAlign w:val="bottom"/>
          </w:tcPr>
          <w:p>
            <w:pPr>
              <w:ind w:left="960"/>
              <w:spacing w:after="0"/>
              <w:rPr>
                <w:sz w:val="20"/>
                <w:szCs w:val="20"/>
                <w:color w:val="auto"/>
              </w:rPr>
            </w:pPr>
            <w:r>
              <w:rPr>
                <w:rFonts w:ascii="Arial" w:cs="Arial" w:eastAsia="Arial" w:hAnsi="Arial"/>
                <w:sz w:val="17"/>
                <w:szCs w:val="17"/>
                <w:color w:val="auto"/>
              </w:rPr>
              <w:t>Property and equipment, net</w:t>
            </w:r>
          </w:p>
        </w:tc>
        <w:tc>
          <w:tcPr>
            <w:tcW w:w="1960" w:type="dxa"/>
            <w:vAlign w:val="bottom"/>
            <w:tcBorders>
              <w:bottom w:val="single" w:sz="8" w:color="auto"/>
            </w:tcBorders>
          </w:tcPr>
          <w:p>
            <w:pPr>
              <w:jc w:val="right"/>
              <w:ind w:right="11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2,016</w:t>
            </w:r>
          </w:p>
        </w:tc>
      </w:tr>
      <w:tr>
        <w:trPr>
          <w:trHeight w:val="20"/>
        </w:trPr>
        <w:tc>
          <w:tcPr>
            <w:tcW w:w="58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120" w:firstLine="620"/>
        <w:spacing w:after="0" w:line="261" w:lineRule="auto"/>
        <w:rPr>
          <w:sz w:val="20"/>
          <w:szCs w:val="20"/>
          <w:color w:val="auto"/>
        </w:rPr>
      </w:pPr>
      <w:r>
        <w:rPr>
          <w:rFonts w:ascii="Arial" w:cs="Arial" w:eastAsia="Arial" w:hAnsi="Arial"/>
          <w:sz w:val="17"/>
          <w:szCs w:val="17"/>
          <w:color w:val="auto"/>
        </w:rPr>
        <w:t>Depreciation expense was $454,000, $ 122,000, and $ 68,000 for the years ended December 31, 2021, 2020, and 2019 respectively. Leasehold improvements are depreciated over the term of the lease, which is the shorter of the improvements' expected useful lives and the lease term. All other fixed asset depreciation is recorded using the straight-line method over the estimated useful lives of the assets (two to five years).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6. License Agreements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AstraZeneca License Agreement</w:t>
      </w:r>
    </w:p>
    <w:p>
      <w:pPr>
        <w:spacing w:after="0" w:line="173" w:lineRule="exact"/>
        <w:rPr>
          <w:sz w:val="20"/>
          <w:szCs w:val="20"/>
          <w:color w:val="auto"/>
        </w:rPr>
      </w:pPr>
    </w:p>
    <w:p>
      <w:pPr>
        <w:ind w:right="20" w:firstLine="620"/>
        <w:spacing w:after="0" w:line="255" w:lineRule="auto"/>
        <w:rPr>
          <w:sz w:val="20"/>
          <w:szCs w:val="20"/>
          <w:color w:val="auto"/>
        </w:rPr>
      </w:pPr>
      <w:r>
        <w:rPr>
          <w:rFonts w:ascii="Arial" w:cs="Arial" w:eastAsia="Arial" w:hAnsi="Arial"/>
          <w:sz w:val="17"/>
          <w:szCs w:val="17"/>
          <w:color w:val="auto"/>
        </w:rPr>
        <w:t>In July 2018, the Company entered into an exclusive license agreement, or the AstraZeneca License Agreement, with AstraZeneca AB (AstraZeneca), granting the Company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the Company has sole responsibility for development, regulatory, and commercialization activities for the AZ-Licensed Products in the Dermatology Field, at its expense, and it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121"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The Company paid AstraZeneca an upfront non-refundable cash payment of $1.0 million and issued 484,388 shares of Series B convertible preferred stock, valued at $3.0 million on the date of the AstraZeneca License Agreement, which were both recorded in research and development expense. The Company subsequently paid AstraZeneca the first milestone cash payment of $2.0 million upon the completion of a Phase 2b study of topical roflumilast cream in plaque psoriasis in August 2019 for the achievement of positive Phase 2 data for an AZ-Licensed Product, which was recorded in research and development expense. The Company has agreed to make additional cash payments to AstraZeneca of up to an aggregate of $12.5 million upon the achievement of specified regulatory approval milestones with respect to the AZ-Licensed Products, which includes $7.5 million upon FDA approval of the Company's first product, and payments up to an additional aggregate amount of $15.0 million upon the achievement of certain aggregate worldwide net sales milestones. With respect to any AZ-Licensed Products the Company commercializes under the AstraZeneca License Agreement, it will pay AstraZeneca a low to high single-digit percentage royalty rate on the Company’s, its affiliates’ and its sublicensees’ net sales of such AZ-Licensed Products, subject to specified reductions,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There were no payments made or due in connection with AZ-Licensed Products for the years ended December 31, 2021 and 2020.</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9" w:name="page130"/>
    <w:bookmarkEnd w:id="1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Hengrui Exclusive Option and License Agreement</w:t>
      </w:r>
    </w:p>
    <w:p>
      <w:pPr>
        <w:spacing w:after="0" w:line="160" w:lineRule="exact"/>
        <w:rPr>
          <w:sz w:val="20"/>
          <w:szCs w:val="20"/>
          <w:color w:val="auto"/>
        </w:rPr>
      </w:pPr>
    </w:p>
    <w:p>
      <w:pPr>
        <w:ind w:right="80" w:firstLine="620"/>
        <w:spacing w:after="0" w:line="255" w:lineRule="auto"/>
        <w:rPr>
          <w:sz w:val="20"/>
          <w:szCs w:val="20"/>
          <w:color w:val="auto"/>
        </w:rPr>
      </w:pPr>
      <w:r>
        <w:rPr>
          <w:rFonts w:ascii="Arial" w:cs="Arial" w:eastAsia="Arial" w:hAnsi="Arial"/>
          <w:sz w:val="17"/>
          <w:szCs w:val="17"/>
          <w:color w:val="auto"/>
        </w:rPr>
        <w:t>In January 2018, the Company entered into an exclusive option and license agreement, or the Hengrui License Agreement, with Jiangsu Hengrui Medicine Co., Ltd. (Hengrui), whereby Hengrui granted the Company an exclusive option to obtain certain exclusive rights to research, develop and commercialize products containing the compound designated by Hengrui as SHR0302, a Janus kinase type 1 inhibitor, in topical formulations for the treatment of skin diseases, disorders, and conditions in the United States, Japan, Canada and the European Union (including for clarity the United Kingdom). The Company made a $ 0.4 million upfront non-refundable cash payment to Hengrui upon execution of the Hengrui Option and License Agreement, which was recorded as research and development expense. In December 2019, the Company exercised its exclusive option under the agreement, for which it made a $1.5 million cash payment, which was recorded in research and development expense, and also contemporaneously amended the agreement to expand the territory to additionally include Canada. In addition, the Company has agreed to make cash payments of up to an aggregate of $20.5 million upon achievement of specified clinical development and regulatory approval milestones with respect to the licensed products and cash payments of up to an additional aggregate of $200.0 million in sales-based milestones based on certain aggregate annual net sales volumes with respect to a licensed product.</w:t>
      </w:r>
    </w:p>
    <w:p>
      <w:pPr>
        <w:spacing w:after="0" w:line="132" w:lineRule="exact"/>
        <w:rPr>
          <w:sz w:val="20"/>
          <w:szCs w:val="20"/>
          <w:color w:val="auto"/>
        </w:rPr>
      </w:pPr>
    </w:p>
    <w:p>
      <w:pPr>
        <w:ind w:right="80" w:firstLine="620"/>
        <w:spacing w:after="0" w:line="256" w:lineRule="auto"/>
        <w:rPr>
          <w:sz w:val="20"/>
          <w:szCs w:val="20"/>
          <w:color w:val="auto"/>
        </w:rPr>
      </w:pPr>
      <w:r>
        <w:rPr>
          <w:rFonts w:ascii="Arial" w:cs="Arial" w:eastAsia="Arial" w:hAnsi="Arial"/>
          <w:sz w:val="17"/>
          <w:szCs w:val="17"/>
          <w:color w:val="auto"/>
        </w:rPr>
        <w:t>With respect to any products the Company commercializes under the Hengrui License Agreement, it will pay tiered royalties to Hengrui on net sales of each licensed product by the Company, or its affiliates, or its sublicensees, ranging from mid single-digit to sub-teen percentage rates based on tiered annual net sales bands subject to specified reductions. The Company is obligated to pay royalties until the later of (1) expiration of the last valid claim of the licensed patent rights covering such licensed product in such country and (2) expiration of regulatory exclusivity for the relevant licensed product in the relevant country, on a licensed product-by-licensed product and country-by-country basis. Additionally, the Company is obligated to pay Hengrui a specified percentage, ranging from the low-thirties to the sub-teens, of certain non-royalty sublicensing income it receives from sublicensees of its rights to the licensed products, such percentage decreasing as the development stage of the licensed products advance.</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payments made or due in connection with Hengrui for the years ended December 31, 2021 and 2020.</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Hawkeye Collaboration Agreement</w:t>
      </w:r>
    </w:p>
    <w:p>
      <w:pPr>
        <w:spacing w:after="0" w:line="173" w:lineRule="exact"/>
        <w:rPr>
          <w:sz w:val="20"/>
          <w:szCs w:val="20"/>
          <w:color w:val="auto"/>
        </w:rPr>
      </w:pPr>
    </w:p>
    <w:p>
      <w:pPr>
        <w:ind w:right="100" w:firstLine="620"/>
        <w:spacing w:after="0" w:line="261" w:lineRule="auto"/>
        <w:rPr>
          <w:sz w:val="20"/>
          <w:szCs w:val="20"/>
          <w:color w:val="auto"/>
        </w:rPr>
      </w:pPr>
      <w:r>
        <w:rPr>
          <w:rFonts w:ascii="Arial" w:cs="Arial" w:eastAsia="Arial" w:hAnsi="Arial"/>
          <w:sz w:val="17"/>
          <w:szCs w:val="17"/>
          <w:color w:val="auto"/>
        </w:rPr>
        <w:t>In June 2019, the Company entered into a collaboration agreement, or Hawkeye Agreement, with Hawkeye Therapeutics, Inc. (Hawkeye), a related party with common ownership, for the development of one or more new applications of roflumilast. The Hawkeye Agreement grants Hawkeye an exclusive license to certain intellectual property developed under the agreement as it relates to the applications.</w:t>
      </w:r>
    </w:p>
    <w:p>
      <w:pPr>
        <w:spacing w:after="0" w:line="125"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Contemporaneously with the execution of the Hawkeye Agreement, the Company entered into a stock purchase agreement, purchasing 995,000 shares of Hawkeye’s common stock at $0.0001 per share, representing 19.9% of the outstanding common stock of Hawkeye at the time of the purchase. In the event that Hawkeye issues shares of Series A convertible preferred stock with proceeds over $5.0 million, Hawkeye is required to issue to the Company a number of fully-paid fully-vested shares of common stock determined by dividing (i) $2,000,000 by (ii) an amount equal to the cash price per share for Series A convertible preferred stock. Other than the potential issuance of this common stock, there are no upfront payments, milestones or royalties pursuant to the Hawkeye Agreement. The Company determined that Hawkeye is a VIE for which consolidation is not required as it is not the primary beneficiary.</w:t>
      </w:r>
    </w:p>
    <w:p>
      <w:pPr>
        <w:spacing w:after="0" w:line="97" w:lineRule="exact"/>
        <w:rPr>
          <w:sz w:val="20"/>
          <w:szCs w:val="20"/>
          <w:color w:val="auto"/>
        </w:rPr>
      </w:pPr>
    </w:p>
    <w:p>
      <w:pPr>
        <w:ind w:left="620" w:right="8280" w:hanging="617"/>
        <w:spacing w:after="0" w:line="440" w:lineRule="auto"/>
        <w:tabs>
          <w:tab w:leader="none" w:pos="191" w:val="left"/>
        </w:tabs>
        <w:numPr>
          <w:ilvl w:val="0"/>
          <w:numId w:val="6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Commitments and Contingencies Operating Lease</w:t>
      </w:r>
    </w:p>
    <w:p>
      <w:pPr>
        <w:spacing w:after="0" w:line="1" w:lineRule="exact"/>
        <w:rPr>
          <w:sz w:val="20"/>
          <w:szCs w:val="20"/>
          <w:color w:val="auto"/>
        </w:rPr>
      </w:pPr>
    </w:p>
    <w:p>
      <w:pPr>
        <w:ind w:right="660" w:firstLine="620"/>
        <w:spacing w:after="0" w:line="269" w:lineRule="auto"/>
        <w:rPr>
          <w:sz w:val="20"/>
          <w:szCs w:val="20"/>
          <w:color w:val="auto"/>
        </w:rPr>
      </w:pPr>
      <w:r>
        <w:rPr>
          <w:rFonts w:ascii="Arial" w:cs="Arial" w:eastAsia="Arial" w:hAnsi="Arial"/>
          <w:sz w:val="17"/>
          <w:szCs w:val="17"/>
          <w:color w:val="auto"/>
        </w:rPr>
        <w:t>The Company leases a facility in Westlake Village, California under an operating lease that commenced in February 2019 and was amended in April 2020 in order to relocate to a new expanded space comprising 22,643 square feet.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0" w:name="page131"/>
    <w:bookmarkEnd w:id="1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00" w:firstLine="620"/>
        <w:spacing w:after="0" w:line="258" w:lineRule="auto"/>
        <w:rPr>
          <w:sz w:val="20"/>
          <w:szCs w:val="20"/>
          <w:color w:val="auto"/>
        </w:rPr>
      </w:pPr>
      <w:r>
        <w:rPr>
          <w:rFonts w:ascii="Arial" w:cs="Arial" w:eastAsia="Arial" w:hAnsi="Arial"/>
          <w:sz w:val="17"/>
          <w:szCs w:val="17"/>
          <w:color w:val="auto"/>
        </w:rPr>
        <w:t>The Company recognized the ROU asset and lease liability for the new space on May 1, 2020. The lease payment term for the new space began on December 30, 2020. The lease payments terminate 91 months thereafter, with a renewal option for a term of five years. The Company will have a one-time option to cancel the lease after month 67. The renewal and one-time cancellation options have not been considered in the determination of the ROU asset or lease liability, as the Company did not consider it reasonably certain it would exercise these options.</w:t>
      </w:r>
    </w:p>
    <w:p>
      <w:pPr>
        <w:spacing w:after="0" w:line="116"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The lease is subject to fixed rate escalation increases with an initial base rent of $76,000 per month, and includes rent free periods aggregating approximately one year. As a result, the Company recognizes rent expense on a straight-line basis for the full amount of the commitment including the minimum rent increases over the life of the lease and the free rent period. The amended lease agreement provided for a leasehold improvement allowance up to $1.25 million, which the Company fully utilized by incurring related costs. This amount, along with $ 320,000 of additional costs incurred for leasehold improvements beyond the allowance, were capitalized and included in property and equipment as of December 31, 2020. The amended lease agreement also required the Company to have an available letter of credit of $1.5 million upon occupying the space, which is allowed to be reduced throughout the lease period as rent obligations are met. Accordingly, in November 2020, the Company entered into a letter of credit for $1.5 million, which it secured with a restricted cash account in the same amount.</w:t>
      </w:r>
    </w:p>
    <w:p>
      <w:pPr>
        <w:spacing w:after="0" w:line="128" w:lineRule="exact"/>
        <w:rPr>
          <w:sz w:val="20"/>
          <w:szCs w:val="20"/>
          <w:color w:val="auto"/>
        </w:rPr>
      </w:pPr>
    </w:p>
    <w:p>
      <w:pPr>
        <w:ind w:right="60" w:firstLine="620"/>
        <w:spacing w:after="0" w:line="269" w:lineRule="auto"/>
        <w:rPr>
          <w:sz w:val="20"/>
          <w:szCs w:val="20"/>
          <w:color w:val="auto"/>
        </w:rPr>
      </w:pPr>
      <w:r>
        <w:rPr>
          <w:rFonts w:ascii="Arial" w:cs="Arial" w:eastAsia="Arial" w:hAnsi="Arial"/>
          <w:sz w:val="17"/>
          <w:szCs w:val="17"/>
          <w:color w:val="auto"/>
        </w:rPr>
        <w:t>In association with commencement of this new lease, the Company recorded lease liabilities and ROU assets of $3.6 million on its balance sheet as of June 30, 2020. All leasehold improvements will be depreciated over the remaining term of the lease.</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annual rental payments of the Company’s operating lease liability as of December 31, 2021 are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Amounts</w:t>
            </w:r>
          </w:p>
        </w:tc>
      </w:tr>
      <w:tr>
        <w:trPr>
          <w:trHeight w:val="213"/>
        </w:trPr>
        <w:tc>
          <w:tcPr>
            <w:tcW w:w="92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2022</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w:t>
            </w:r>
          </w:p>
        </w:tc>
      </w:tr>
      <w:tr>
        <w:trPr>
          <w:trHeight w:val="220"/>
        </w:trPr>
        <w:tc>
          <w:tcPr>
            <w:tcW w:w="9200" w:type="dxa"/>
            <w:vAlign w:val="bottom"/>
          </w:tcPr>
          <w:p>
            <w:pPr>
              <w:ind w:left="640"/>
              <w:spacing w:after="0"/>
              <w:rPr>
                <w:sz w:val="20"/>
                <w:szCs w:val="20"/>
                <w:color w:val="auto"/>
              </w:rPr>
            </w:pPr>
            <w:r>
              <w:rPr>
                <w:rFonts w:ascii="Arial" w:cs="Arial" w:eastAsia="Arial" w:hAnsi="Arial"/>
                <w:sz w:val="17"/>
                <w:szCs w:val="17"/>
                <w:color w:val="auto"/>
              </w:rPr>
              <w:t>2023</w:t>
            </w:r>
          </w:p>
        </w:tc>
        <w:tc>
          <w:tcPr>
            <w:tcW w:w="8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964</w:t>
            </w:r>
          </w:p>
        </w:tc>
      </w:tr>
      <w:tr>
        <w:trPr>
          <w:trHeight w:val="220"/>
        </w:trPr>
        <w:tc>
          <w:tcPr>
            <w:tcW w:w="92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2024</w:t>
            </w:r>
          </w:p>
        </w:tc>
        <w:tc>
          <w:tcPr>
            <w:tcW w:w="8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w:t>
            </w:r>
          </w:p>
        </w:tc>
      </w:tr>
      <w:tr>
        <w:trPr>
          <w:trHeight w:val="220"/>
        </w:trPr>
        <w:tc>
          <w:tcPr>
            <w:tcW w:w="9200" w:type="dxa"/>
            <w:vAlign w:val="bottom"/>
          </w:tcPr>
          <w:p>
            <w:pPr>
              <w:ind w:left="640"/>
              <w:spacing w:after="0"/>
              <w:rPr>
                <w:sz w:val="20"/>
                <w:szCs w:val="20"/>
                <w:color w:val="auto"/>
              </w:rPr>
            </w:pPr>
            <w:r>
              <w:rPr>
                <w:rFonts w:ascii="Arial" w:cs="Arial" w:eastAsia="Arial" w:hAnsi="Arial"/>
                <w:sz w:val="17"/>
                <w:szCs w:val="17"/>
                <w:color w:val="auto"/>
              </w:rPr>
              <w:t>2025</w:t>
            </w:r>
          </w:p>
        </w:tc>
        <w:tc>
          <w:tcPr>
            <w:tcW w:w="8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1,025</w:t>
            </w:r>
          </w:p>
        </w:tc>
      </w:tr>
      <w:tr>
        <w:trPr>
          <w:trHeight w:val="220"/>
        </w:trPr>
        <w:tc>
          <w:tcPr>
            <w:tcW w:w="92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2026</w:t>
            </w:r>
          </w:p>
        </w:tc>
        <w:tc>
          <w:tcPr>
            <w:tcW w:w="8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w:t>
            </w:r>
          </w:p>
        </w:tc>
      </w:tr>
      <w:tr>
        <w:trPr>
          <w:trHeight w:val="220"/>
        </w:trPr>
        <w:tc>
          <w:tcPr>
            <w:tcW w:w="920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Thereafter</w:t>
            </w:r>
          </w:p>
        </w:tc>
        <w:tc>
          <w:tcPr>
            <w:tcW w:w="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1,740</w:t>
            </w:r>
          </w:p>
        </w:tc>
      </w:tr>
      <w:tr>
        <w:trPr>
          <w:trHeight w:val="213"/>
        </w:trPr>
        <w:tc>
          <w:tcPr>
            <w:tcW w:w="92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minimum lease payments</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6,558</w:t>
            </w:r>
          </w:p>
        </w:tc>
      </w:tr>
      <w:tr>
        <w:trPr>
          <w:trHeight w:val="220"/>
        </w:trPr>
        <w:tc>
          <w:tcPr>
            <w:tcW w:w="920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Less: Amounts representing interest</w:t>
            </w:r>
          </w:p>
        </w:tc>
        <w:tc>
          <w:tcPr>
            <w:tcW w:w="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(1,351)</w:t>
            </w:r>
          </w:p>
        </w:tc>
      </w:tr>
      <w:tr>
        <w:trPr>
          <w:trHeight w:val="238"/>
        </w:trPr>
        <w:tc>
          <w:tcPr>
            <w:tcW w:w="92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7"/>
                <w:szCs w:val="17"/>
                <w:color w:val="auto"/>
              </w:rPr>
              <w:t>Present value of future minimum lease payments</w:t>
            </w: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5,207</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9200" w:type="dxa"/>
            <w:vAlign w:val="bottom"/>
          </w:tcPr>
          <w:p>
            <w:pPr>
              <w:ind w:left="640"/>
              <w:spacing w:after="0" w:line="191" w:lineRule="exact"/>
              <w:rPr>
                <w:sz w:val="20"/>
                <w:szCs w:val="20"/>
                <w:color w:val="auto"/>
              </w:rPr>
            </w:pPr>
            <w:r>
              <w:rPr>
                <w:rFonts w:ascii="Arial" w:cs="Arial" w:eastAsia="Arial" w:hAnsi="Arial"/>
                <w:sz w:val="17"/>
                <w:szCs w:val="17"/>
                <w:color w:val="auto"/>
              </w:rPr>
              <w:t>Current portion operating lease liability</w:t>
            </w:r>
          </w:p>
        </w:tc>
        <w:tc>
          <w:tcPr>
            <w:tcW w:w="88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Arial" w:cs="Arial" w:eastAsia="Arial" w:hAnsi="Arial"/>
                <w:sz w:val="17"/>
                <w:szCs w:val="17"/>
                <w:color w:val="auto"/>
              </w:rPr>
              <w:t>433</w:t>
            </w:r>
          </w:p>
        </w:tc>
      </w:tr>
      <w:tr>
        <w:trPr>
          <w:trHeight w:val="220"/>
        </w:trPr>
        <w:tc>
          <w:tcPr>
            <w:tcW w:w="92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Operating lease liability, noncurrent</w:t>
            </w:r>
          </w:p>
        </w:tc>
        <w:tc>
          <w:tcPr>
            <w:tcW w:w="8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4,774</w:t>
            </w:r>
          </w:p>
        </w:tc>
      </w:tr>
      <w:tr>
        <w:trPr>
          <w:trHeight w:val="213"/>
        </w:trPr>
        <w:tc>
          <w:tcPr>
            <w:tcW w:w="9200" w:type="dxa"/>
            <w:vAlign w:val="bottom"/>
          </w:tcPr>
          <w:p>
            <w:pPr>
              <w:ind w:left="960"/>
              <w:spacing w:after="0"/>
              <w:rPr>
                <w:sz w:val="20"/>
                <w:szCs w:val="20"/>
                <w:color w:val="auto"/>
              </w:rPr>
            </w:pPr>
            <w:r>
              <w:rPr>
                <w:rFonts w:ascii="Arial" w:cs="Arial" w:eastAsia="Arial" w:hAnsi="Arial"/>
                <w:sz w:val="17"/>
                <w:szCs w:val="17"/>
                <w:color w:val="auto"/>
              </w:rPr>
              <w:t>Total operating lease liability</w:t>
            </w: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5,207</w:t>
            </w:r>
          </w:p>
        </w:tc>
      </w:tr>
      <w:tr>
        <w:trPr>
          <w:trHeight w:val="20"/>
        </w:trPr>
        <w:tc>
          <w:tcPr>
            <w:tcW w:w="9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340" w:firstLine="620"/>
        <w:spacing w:after="0" w:line="261" w:lineRule="auto"/>
        <w:rPr>
          <w:sz w:val="20"/>
          <w:szCs w:val="20"/>
          <w:color w:val="auto"/>
        </w:rPr>
      </w:pPr>
      <w:r>
        <w:rPr>
          <w:rFonts w:ascii="Arial" w:cs="Arial" w:eastAsia="Arial" w:hAnsi="Arial"/>
          <w:sz w:val="17"/>
          <w:szCs w:val="17"/>
          <w:color w:val="auto"/>
        </w:rPr>
        <w:t>Straight-line rent expense recognized for operating leases was $686,000, $602,000, and $151,000 for the years ended December 31, 2021, 2020, and 2019, respectively. There were no significant variable lease payments, including non-lease components such as common area maintenance fees, recognized as rent expense for operating leases for the years ended December 31, 2021, 2020, and 2019.</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1" w:name="page132"/>
    <w:bookmarkEnd w:id="1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40" w:firstLine="620"/>
        <w:spacing w:after="0" w:line="269" w:lineRule="auto"/>
        <w:rPr>
          <w:sz w:val="20"/>
          <w:szCs w:val="20"/>
          <w:color w:val="auto"/>
        </w:rPr>
      </w:pPr>
      <w:r>
        <w:rPr>
          <w:rFonts w:ascii="Arial" w:cs="Arial" w:eastAsia="Arial" w:hAnsi="Arial"/>
          <w:sz w:val="17"/>
          <w:szCs w:val="17"/>
          <w:color w:val="auto"/>
        </w:rPr>
        <w:t>The following information represents supplemental disclosure for the statement of cash flows related to the Company’s operating lease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38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6"/>
              </w:rPr>
              <w:t>December 31,</w:t>
            </w:r>
          </w:p>
        </w:tc>
        <w:tc>
          <w:tcPr>
            <w:tcW w:w="15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r>
      <w:tr>
        <w:trPr>
          <w:trHeight w:val="174"/>
        </w:trPr>
        <w:tc>
          <w:tcPr>
            <w:tcW w:w="53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5"/>
                <w:szCs w:val="15"/>
                <w:color w:val="auto"/>
              </w:rPr>
            </w:pPr>
          </w:p>
        </w:tc>
      </w:tr>
      <w:tr>
        <w:trPr>
          <w:trHeight w:val="200"/>
        </w:trPr>
        <w:tc>
          <w:tcPr>
            <w:tcW w:w="5380" w:type="dxa"/>
            <w:vAlign w:val="bottom"/>
            <w:shd w:val="clear" w:color="auto" w:fill="CCEEFF"/>
          </w:tcPr>
          <w:p>
            <w:pPr>
              <w:ind w:left="640"/>
              <w:spacing w:after="0"/>
              <w:rPr>
                <w:sz w:val="20"/>
                <w:szCs w:val="20"/>
                <w:color w:val="auto"/>
              </w:rPr>
            </w:pPr>
            <w:r>
              <w:rPr>
                <w:rFonts w:ascii="Arial" w:cs="Arial" w:eastAsia="Arial" w:hAnsi="Arial"/>
                <w:sz w:val="17"/>
                <w:szCs w:val="17"/>
                <w:b w:val="1"/>
                <w:bCs w:val="1"/>
                <w:color w:val="auto"/>
              </w:rPr>
              <w:t>Cash flows from operating activities</w:t>
            </w: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180"/>
        </w:trPr>
        <w:tc>
          <w:tcPr>
            <w:tcW w:w="5380" w:type="dxa"/>
            <w:vAlign w:val="bottom"/>
          </w:tcPr>
          <w:p>
            <w:pPr>
              <w:ind w:left="640"/>
              <w:spacing w:after="0" w:line="180" w:lineRule="exact"/>
              <w:rPr>
                <w:sz w:val="20"/>
                <w:szCs w:val="20"/>
                <w:color w:val="auto"/>
              </w:rPr>
            </w:pPr>
            <w:r>
              <w:rPr>
                <w:rFonts w:ascii="Arial" w:cs="Arial" w:eastAsia="Arial" w:hAnsi="Arial"/>
                <w:sz w:val="17"/>
                <w:szCs w:val="17"/>
                <w:color w:val="auto"/>
              </w:rPr>
              <w:t>Cash paid for amounts included in the measurement of lease</w:t>
            </w: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08"/>
        </w:trPr>
        <w:tc>
          <w:tcPr>
            <w:tcW w:w="538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1460" w:type="dxa"/>
            <w:vAlign w:val="bottom"/>
          </w:tcPr>
          <w:p>
            <w:pPr>
              <w:jc w:val="right"/>
              <w:ind w:right="643"/>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18"/>
                <w:szCs w:val="18"/>
                <w:color w:val="auto"/>
              </w:rPr>
            </w:pPr>
          </w:p>
        </w:tc>
        <w:tc>
          <w:tcPr>
            <w:tcW w:w="1500" w:type="dxa"/>
            <w:vAlign w:val="bottom"/>
          </w:tcPr>
          <w:p>
            <w:pPr>
              <w:jc w:val="right"/>
              <w:ind w:right="683"/>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141</w:t>
            </w:r>
          </w:p>
        </w:tc>
      </w:tr>
      <w:tr>
        <w:trPr>
          <w:trHeight w:val="426"/>
        </w:trPr>
        <w:tc>
          <w:tcPr>
            <w:tcW w:w="6840" w:type="dxa"/>
            <w:vAlign w:val="bottom"/>
            <w:gridSpan w:val="2"/>
          </w:tcPr>
          <w:p>
            <w:pPr>
              <w:ind w:left="620"/>
              <w:spacing w:after="0"/>
              <w:rPr>
                <w:sz w:val="20"/>
                <w:szCs w:val="20"/>
                <w:color w:val="auto"/>
              </w:rPr>
            </w:pPr>
            <w:r>
              <w:rPr>
                <w:rFonts w:ascii="Arial" w:cs="Arial" w:eastAsia="Arial" w:hAnsi="Arial"/>
                <w:sz w:val="17"/>
                <w:szCs w:val="17"/>
                <w:color w:val="auto"/>
              </w:rPr>
              <w:t>The following summarizes additional information related to the operating lease: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6"/>
        </w:trPr>
        <w:tc>
          <w:tcPr>
            <w:tcW w:w="538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Borders>
              <w:bottom w:val="single" w:sz="8" w:color="auto"/>
            </w:tcBorders>
          </w:tcPr>
          <w:p>
            <w:pPr>
              <w:spacing w:after="0"/>
              <w:rPr>
                <w:sz w:val="17"/>
                <w:szCs w:val="17"/>
                <w:color w:val="auto"/>
              </w:rPr>
            </w:pPr>
          </w:p>
        </w:tc>
      </w:tr>
      <w:tr>
        <w:trPr>
          <w:trHeight w:val="213"/>
        </w:trPr>
        <w:tc>
          <w:tcPr>
            <w:tcW w:w="53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Weighted-average remaining lease term (in years)</w:t>
            </w: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20"/>
        </w:trPr>
        <w:tc>
          <w:tcPr>
            <w:tcW w:w="5380" w:type="dxa"/>
            <w:vAlign w:val="bottom"/>
          </w:tcPr>
          <w:p>
            <w:pPr>
              <w:ind w:left="640"/>
              <w:spacing w:after="0"/>
              <w:rPr>
                <w:sz w:val="20"/>
                <w:szCs w:val="20"/>
                <w:color w:val="auto"/>
              </w:rPr>
            </w:pPr>
            <w:r>
              <w:rPr>
                <w:rFonts w:ascii="Arial" w:cs="Arial" w:eastAsia="Arial" w:hAnsi="Arial"/>
                <w:sz w:val="17"/>
                <w:szCs w:val="17"/>
                <w:color w:val="auto"/>
              </w:rPr>
              <w:t>Weighted-average discount rate</w:t>
            </w: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383"/>
              <w:spacing w:after="0"/>
              <w:rPr>
                <w:sz w:val="20"/>
                <w:szCs w:val="20"/>
                <w:color w:val="auto"/>
              </w:rPr>
            </w:pPr>
            <w:r>
              <w:rPr>
                <w:rFonts w:ascii="Arial" w:cs="Arial" w:eastAsia="Arial" w:hAnsi="Arial"/>
                <w:sz w:val="17"/>
                <w:szCs w:val="17"/>
                <w:color w:val="auto"/>
              </w:rPr>
              <w:t>7.0</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Manufacturing Agreements</w:t>
      </w:r>
    </w:p>
    <w:p>
      <w:pPr>
        <w:spacing w:after="0" w:line="173" w:lineRule="exact"/>
        <w:rPr>
          <w:sz w:val="20"/>
          <w:szCs w:val="20"/>
          <w:color w:val="auto"/>
        </w:rPr>
      </w:pPr>
    </w:p>
    <w:p>
      <w:pPr>
        <w:ind w:right="400" w:firstLine="620"/>
        <w:spacing w:after="0" w:line="253" w:lineRule="auto"/>
        <w:rPr>
          <w:sz w:val="20"/>
          <w:szCs w:val="20"/>
          <w:color w:val="auto"/>
        </w:rPr>
      </w:pPr>
      <w:r>
        <w:rPr>
          <w:rFonts w:ascii="Arial" w:cs="Arial" w:eastAsia="Arial" w:hAnsi="Arial"/>
          <w:sz w:val="17"/>
          <w:szCs w:val="17"/>
          <w:color w:val="auto"/>
        </w:rPr>
        <w:t>The Company has entered into manufacturing supply agreements for the commercial supply of roflumilast cream which include certain minimum purchase commitments. Firm future purchase commitments under these agreements are approximately $8.2 million for 2022 and</w:t>
      </w:r>
    </w:p>
    <w:p>
      <w:pPr>
        <w:spacing w:after="0" w:line="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$0.6 million per year for 2023, 2024 and 2025. This amount does not represent all of the Company’s anticipated purchases, but instead represents only the contractually obligated minimum purchases or firm commitments of non-cancelable minimum amounts.</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60" w:lineRule="exact"/>
        <w:rPr>
          <w:sz w:val="20"/>
          <w:szCs w:val="20"/>
          <w:color w:val="auto"/>
        </w:rPr>
      </w:pPr>
    </w:p>
    <w:p>
      <w:pPr>
        <w:ind w:firstLine="620"/>
        <w:spacing w:after="0" w:line="255"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the provisions of the Company's Bylaws and the Delaware General Corporation Law. The Company currently has directors’ and officers’ insurance coverage that reduces its exposure and enables the Company to recover a portion of any future amounts paid. The Company believes any potential loss exposure under these indemnification agreements in excess of applicable insurance coverage is minimal.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2" w:name="page133"/>
    <w:bookmarkEnd w:id="1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8. Long-term debt</w:t>
      </w:r>
    </w:p>
    <w:p>
      <w:pPr>
        <w:spacing w:after="0" w:line="160" w:lineRule="exact"/>
        <w:rPr>
          <w:sz w:val="20"/>
          <w:szCs w:val="20"/>
          <w:color w:val="auto"/>
        </w:rPr>
      </w:pPr>
    </w:p>
    <w:p>
      <w:pPr>
        <w:ind w:right="80" w:firstLine="620"/>
        <w:spacing w:after="0" w:line="253" w:lineRule="auto"/>
        <w:rPr>
          <w:sz w:val="20"/>
          <w:szCs w:val="20"/>
          <w:color w:val="auto"/>
        </w:rPr>
      </w:pPr>
      <w:r>
        <w:rPr>
          <w:rFonts w:ascii="Arial" w:cs="Arial" w:eastAsia="Arial" w:hAnsi="Arial"/>
          <w:sz w:val="17"/>
          <w:szCs w:val="17"/>
          <w:color w:val="auto"/>
        </w:rPr>
        <w:t>On December 22, 2021, the Company entered into a Loan Agreement with SLR and the lenders party thereto. The lenders agreed to extend term loans to the Company in an aggregate principal amount of up to $225.0 million, comprised of (i) a tranche A term loan of $75.0 million,</w:t>
      </w:r>
    </w:p>
    <w:p>
      <w:pPr>
        <w:spacing w:after="0" w:line="1" w:lineRule="exact"/>
        <w:rPr>
          <w:sz w:val="20"/>
          <w:szCs w:val="20"/>
          <w:color w:val="auto"/>
        </w:rPr>
      </w:pPr>
    </w:p>
    <w:p>
      <w:pPr>
        <w:ind w:left="240" w:hanging="237"/>
        <w:spacing w:after="0"/>
        <w:tabs>
          <w:tab w:leader="none" w:pos="2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tranche B-1 term loan of $50.0 million, (iii) a tranche B-2 term loan of up to $75.0 million, available in minimum increments of $15.0 million, and</w:t>
      </w:r>
    </w:p>
    <w:p>
      <w:pPr>
        <w:spacing w:after="0" w:line="11" w:lineRule="exact"/>
        <w:rPr>
          <w:rFonts w:ascii="Arial" w:cs="Arial" w:eastAsia="Arial" w:hAnsi="Arial"/>
          <w:sz w:val="17"/>
          <w:szCs w:val="17"/>
          <w:color w:val="auto"/>
        </w:rPr>
      </w:pPr>
    </w:p>
    <w:p>
      <w:pPr>
        <w:ind w:right="400" w:firstLine="3"/>
        <w:spacing w:after="0" w:line="261" w:lineRule="auto"/>
        <w:tabs>
          <w:tab w:leader="none" w:pos="287"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tranche C term loan of up to $25.0 million (Term Loans). As security for the obligations under the Loan Agreement, the Company granted SLR, for the benefit of the lenders, a continuing security interest in substantially all of the Company's assets, including its intellectual property, subject to certain exceptions.</w:t>
      </w:r>
    </w:p>
    <w:p>
      <w:pPr>
        <w:spacing w:after="0" w:line="125"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The tranche A term loan under the Loan Agreement was funded on December 22, 2021 in the amount of $75.0 million. Each tranche B term loan is available following delivery to SLR of satisfactory evidence that the Company has received FDA approval of roflumilast cream for an indication relating to the treatment of patients with plaque psoriasis (FDA Approval). The tranche B-1 term loan will remain available for funding until the earlier of (i) 15 days after the Company has received FDA Approval and (ii) June 30, 2023. The tranche B-2 term loan will remain available for funding until June 30, 2023. The tranche C term loan is available following the achievement of a net product revenue milestone of $110.0 million, calculated on a trailing six month basis. The tranche C term loan will remain available for funding until September 30, 2024.</w:t>
      </w:r>
    </w:p>
    <w:p>
      <w:pPr>
        <w:spacing w:after="0" w:line="132"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Principal amounts outstanding under the Term Loans will accrue interest at a floating rate equal to the applicable rate in effect from time to time, as determined by SLR on the third business day prior to the funding date of the applicable Term Loan and on the first business day of the month prior to each payment date of each Term Loan. The applicable rate is a per annum interest rate equal to 7.45% plus the greater of (a) 0.10% and (b) the per annum rate published by the Intercontinental Exchange Benchmark Administration Ltd. (or on any successor or substitute published rate) for a term of one month, subject to a replacement with an alternate benchmark rate and spread in certain circumstances. On December 31, 2021, the rate was 7.55%. The maturity date for each term loan is January 1, 2027.</w:t>
      </w:r>
    </w:p>
    <w:p>
      <w:pPr>
        <w:spacing w:after="0" w:line="119" w:lineRule="exact"/>
        <w:rPr>
          <w:sz w:val="20"/>
          <w:szCs w:val="20"/>
          <w:color w:val="auto"/>
        </w:rPr>
      </w:pPr>
    </w:p>
    <w:p>
      <w:pPr>
        <w:ind w:right="60" w:firstLine="620"/>
        <w:spacing w:after="0" w:line="253" w:lineRule="auto"/>
        <w:rPr>
          <w:sz w:val="20"/>
          <w:szCs w:val="20"/>
          <w:color w:val="auto"/>
        </w:rPr>
      </w:pPr>
      <w:r>
        <w:rPr>
          <w:rFonts w:ascii="Arial" w:cs="Arial" w:eastAsia="Arial" w:hAnsi="Arial"/>
          <w:sz w:val="17"/>
          <w:szCs w:val="17"/>
          <w:color w:val="auto"/>
        </w:rPr>
        <w:t>Commencing on February 1, 2022, interest payments are payable monthly following the funding of any Term Loan. Any principal amounts outstanding under the Term Loans, if not repaid sooner, are due and payable on January 1, 202, or the Maturity Date. The Company may voluntarily prepay principal amounts outstanding under the Term Loans in minimum increments of $5.0 million, subject to a prepayment premium of</w:t>
      </w:r>
    </w:p>
    <w:p>
      <w:pPr>
        <w:spacing w:after="0" w:line="2" w:lineRule="exact"/>
        <w:rPr>
          <w:sz w:val="20"/>
          <w:szCs w:val="20"/>
          <w:color w:val="auto"/>
        </w:rPr>
      </w:pPr>
    </w:p>
    <w:p>
      <w:pPr>
        <w:ind w:right="180" w:firstLine="3"/>
        <w:spacing w:after="0" w:line="261" w:lineRule="auto"/>
        <w:tabs>
          <w:tab w:leader="none" w:pos="201" w:val="left"/>
        </w:tabs>
        <w:numPr>
          <w:ilvl w:val="0"/>
          <w:numId w:val="68"/>
        </w:numPr>
        <w:rPr>
          <w:rFonts w:ascii="Arial" w:cs="Arial" w:eastAsia="Arial" w:hAnsi="Arial"/>
          <w:sz w:val="17"/>
          <w:szCs w:val="17"/>
          <w:color w:val="auto"/>
        </w:rPr>
      </w:pPr>
      <w:r>
        <w:rPr>
          <w:rFonts w:ascii="Arial" w:cs="Arial" w:eastAsia="Arial" w:hAnsi="Arial"/>
          <w:sz w:val="17"/>
          <w:szCs w:val="17"/>
          <w:color w:val="auto"/>
        </w:rPr>
        <w:t>3.0% of the principal amount of such Term Loan so prepaid prior to December 22, 2022, (ii) 2.0% of the principal amount of such Term Loan so prepaid after December 22, 2022 and prior to December 22, 2023, or (iii) 1.0% of the principal amount of such Term Loan so prepaid after December 22, 2023 and prior to December 22, 2025.</w:t>
      </w:r>
    </w:p>
    <w:p>
      <w:pPr>
        <w:spacing w:after="0" w:line="125" w:lineRule="exact"/>
        <w:rPr>
          <w:sz w:val="20"/>
          <w:szCs w:val="20"/>
          <w:color w:val="auto"/>
        </w:rPr>
      </w:pPr>
    </w:p>
    <w:p>
      <w:pPr>
        <w:ind w:right="100" w:firstLine="620"/>
        <w:spacing w:after="0" w:line="257" w:lineRule="auto"/>
        <w:rPr>
          <w:sz w:val="20"/>
          <w:szCs w:val="20"/>
          <w:color w:val="auto"/>
        </w:rPr>
      </w:pPr>
      <w:r>
        <w:rPr>
          <w:rFonts w:ascii="Arial" w:cs="Arial" w:eastAsia="Arial" w:hAnsi="Arial"/>
          <w:sz w:val="17"/>
          <w:szCs w:val="17"/>
          <w:color w:val="auto"/>
        </w:rPr>
        <w:t>If the Term Loans are accelerated due to, among others, the occurrence of a bankruptcy or insolvency event, the Company is required to make mandatory prepayments of (i) all principal amounts outstanding under the Term Loans, plus accrued and unpaid interest thereon through the prepayment date, (ii) any fees applicable by reason of such prepayment, (iii) the prepayment premiums set forth in the paragraph above, plus (iv) all other obligations that are due and payable, including expenses and interest at the Default Rate (as defined below) with respect to any past due amounts.</w:t>
      </w:r>
    </w:p>
    <w:p>
      <w:pPr>
        <w:spacing w:after="0" w:line="129" w:lineRule="exact"/>
        <w:rPr>
          <w:sz w:val="20"/>
          <w:szCs w:val="20"/>
          <w:color w:val="auto"/>
        </w:rPr>
      </w:pPr>
    </w:p>
    <w:p>
      <w:pPr>
        <w:ind w:right="60" w:firstLine="620"/>
        <w:spacing w:after="0" w:line="255" w:lineRule="auto"/>
        <w:rPr>
          <w:sz w:val="20"/>
          <w:szCs w:val="20"/>
          <w:color w:val="auto"/>
        </w:rPr>
      </w:pPr>
      <w:r>
        <w:rPr>
          <w:rFonts w:ascii="Arial" w:cs="Arial" w:eastAsia="Arial" w:hAnsi="Arial"/>
          <w:sz w:val="17"/>
          <w:szCs w:val="17"/>
          <w:color w:val="auto"/>
        </w:rPr>
        <w:t>The Loan Agreement contains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to pay any dividends or other distributions on capital stock other than dividends payable solely in capital stock or to redeem capital stock. The Company has also agreed to a financial covenant whereby, beginning with the month ending December 31, 2023, the Company must generate net product revenue in excess of specified amounts for applicable measuring periods; provided, however, that such financial covenant shall not apply if the Company’s average market capitalization over the trailing five day period prior to the last day of any measurement month is equal to or in excess of $400.0 million. The Company was in compliance with all covenants under the Loan Agreement as of December 31, 2021.</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3" w:name="page134"/>
    <w:bookmarkEnd w:id="1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363" w:lineRule="exact"/>
        <w:rPr>
          <w:sz w:val="20"/>
          <w:szCs w:val="20"/>
          <w:color w:val="auto"/>
        </w:rPr>
      </w:pPr>
    </w:p>
    <w:p>
      <w:pPr>
        <w:ind w:right="20" w:firstLine="620"/>
        <w:spacing w:after="0" w:line="225" w:lineRule="auto"/>
        <w:rPr>
          <w:sz w:val="20"/>
          <w:szCs w:val="20"/>
          <w:color w:val="auto"/>
        </w:rPr>
      </w:pPr>
      <w:r>
        <w:rPr>
          <w:rFonts w:ascii="Arial" w:cs="Arial" w:eastAsia="Arial" w:hAnsi="Arial"/>
          <w:sz w:val="17"/>
          <w:szCs w:val="17"/>
          <w:color w:val="auto"/>
        </w:rPr>
        <w:t>In addition, the Loan Agreement contains customary events of default that entitle the lenders to cause any indebtedness under the Loan Agreement to become immediately due and payable, and to exercise remedies against us and the collateral securing the Term Loans. Under the Loan Agreement, an event of default will occur if, among other things, the Company fails to make payments under the Loan Agreement, the Company breaches any of our covenants under the Loan Agreement, subject to specified cure periods with respect to certain breaches, the lenders determine that a material adverse change has occurred, or the Company or the Company's assets become subject to certain legal proceedings, such as bankruptcy proceedings. Upon the occurrence and for the duration of an event of default, an additional default interest rate, or the Default Rate, equal to 4.0% per annum will apply to all obligations owed under the Loan Agreement. The prepayment upon default and other potential additional interest provisions under the Loan Agreement were determined to be a compound embedded derivative instrument to be bifurcated from the loan and accounted for as a separate liability for accounting purposes under the guidance in ASC 815, Derivatives and Hedging. At the inception of the Loan Agreement and through December 31, 2021, the fair value of the embedded derivative was determined to be immaterial and will be remeasured at fair value each reporting period with any future changes in fair value reported in earnings.</w:t>
      </w:r>
    </w:p>
    <w:p>
      <w:pPr>
        <w:spacing w:after="0" w:line="126" w:lineRule="exact"/>
        <w:rPr>
          <w:sz w:val="20"/>
          <w:szCs w:val="20"/>
          <w:color w:val="auto"/>
        </w:rPr>
      </w:pPr>
    </w:p>
    <w:p>
      <w:pPr>
        <w:ind w:right="20" w:firstLine="620"/>
        <w:spacing w:after="0" w:line="249" w:lineRule="auto"/>
        <w:rPr>
          <w:sz w:val="20"/>
          <w:szCs w:val="20"/>
          <w:color w:val="auto"/>
        </w:rPr>
      </w:pPr>
      <w:r>
        <w:rPr>
          <w:rFonts w:ascii="Arial" w:cs="Arial" w:eastAsia="Arial" w:hAnsi="Arial"/>
          <w:sz w:val="19"/>
          <w:szCs w:val="19"/>
          <w:color w:val="auto"/>
        </w:rPr>
        <w:t>I</w:t>
      </w:r>
      <w:r>
        <w:rPr>
          <w:rFonts w:ascii="Arial" w:cs="Arial" w:eastAsia="Arial" w:hAnsi="Arial"/>
          <w:sz w:val="17"/>
          <w:szCs w:val="17"/>
          <w:color w:val="auto"/>
        </w:rPr>
        <w:t>n connection with the Loan Agreement, the Company paid a closing fee of $1.0 million on December 22, 2021, and is further obligated to</w:t>
      </w:r>
      <w:r>
        <w:rPr>
          <w:rFonts w:ascii="Arial" w:cs="Arial" w:eastAsia="Arial" w:hAnsi="Arial"/>
          <w:sz w:val="19"/>
          <w:szCs w:val="19"/>
          <w:color w:val="auto"/>
        </w:rPr>
        <w:t xml:space="preserve"> </w:t>
      </w:r>
      <w:r>
        <w:rPr>
          <w:rFonts w:ascii="Arial" w:cs="Arial" w:eastAsia="Arial" w:hAnsi="Arial"/>
          <w:sz w:val="17"/>
          <w:szCs w:val="17"/>
          <w:color w:val="auto"/>
        </w:rPr>
        <w:t>pay (i) a final fee equal to 6.95% of the aggregate original principal amount of the Term Loans funded upon the earliest to occur of the Maturity Date, the acceleration of any Term Loan and the prepayment, refinancing, substitution or replacement of any Term Loan and (ii) a certain amount of lenders’ expenses incurred in connection with the execution of the Loan Agreement. Additionally, in connection with the Loan Agreement, the Company entered into an Exit Fee Agreement, whereby the Company agreed to pay an exit fee in the amount 3.0% of each Term Loan funded upon (i) any change of control transaction or (ii) a revenue milestone, calculated on a trailing six month basis. Notwithstanding the prepayment or termination of the Term Loan, the exit fee will expire 10 years from the date of the Loan Agreement.</w:t>
      </w:r>
    </w:p>
    <w:p>
      <w:pPr>
        <w:spacing w:after="0" w:line="125" w:lineRule="exact"/>
        <w:rPr>
          <w:sz w:val="20"/>
          <w:szCs w:val="20"/>
          <w:color w:val="auto"/>
        </w:rPr>
      </w:pPr>
    </w:p>
    <w:p>
      <w:pPr>
        <w:ind w:right="60" w:firstLine="620"/>
        <w:spacing w:after="0" w:line="256" w:lineRule="auto"/>
        <w:rPr>
          <w:sz w:val="20"/>
          <w:szCs w:val="20"/>
          <w:color w:val="auto"/>
        </w:rPr>
      </w:pPr>
      <w:r>
        <w:rPr>
          <w:rFonts w:ascii="Arial" w:cs="Arial" w:eastAsia="Arial" w:hAnsi="Arial"/>
          <w:sz w:val="17"/>
          <w:szCs w:val="17"/>
          <w:color w:val="auto"/>
        </w:rPr>
        <w:t>As of December 31, 2021, the carrying value of the Term Loans consists of $75.0 million principal outstanding less the debt issuance costs of approximately $2.7 million, including the closing fee. The debt issuance costs have been recorded as a debt discount which are being accreted to interest expense through the maturity date of the term loan. Interest expense is calculated using the effective interest method, and is inclusive of non-cash amortization of debt issuance costs. The final maturity payment of $5.2 million is recognized over the life of the term loan through interest expense. As of December 31, 2021 the amortization of the deferred final fee and debt issuance costs was not material. At December 31, 2021, the effective interest rate was 9.64%. Interest expense relating to the term loan for the year ended December 31, 2021 was $140,000. As of December 31, 2020 the Company had no outstanding long-term debt.</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summarizes additional information related to our long-term debt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9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2021</w:t>
            </w:r>
          </w:p>
        </w:tc>
      </w:tr>
      <w:tr>
        <w:trPr>
          <w:trHeight w:val="213"/>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 gross</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80,213</w:t>
            </w:r>
          </w:p>
        </w:tc>
      </w:tr>
      <w:tr>
        <w:trPr>
          <w:trHeight w:val="220"/>
        </w:trPr>
        <w:tc>
          <w:tcPr>
            <w:tcW w:w="9280" w:type="dxa"/>
            <w:vAlign w:val="bottom"/>
          </w:tcPr>
          <w:p>
            <w:pPr>
              <w:ind w:left="20"/>
              <w:spacing w:after="0"/>
              <w:rPr>
                <w:sz w:val="20"/>
                <w:szCs w:val="20"/>
                <w:color w:val="auto"/>
              </w:rPr>
            </w:pPr>
            <w:r>
              <w:rPr>
                <w:rFonts w:ascii="Arial" w:cs="Arial" w:eastAsia="Arial" w:hAnsi="Arial"/>
                <w:sz w:val="17"/>
                <w:szCs w:val="17"/>
                <w:color w:val="auto"/>
              </w:rPr>
              <w:t>Deferred final fee</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(5,213)</w:t>
            </w:r>
          </w:p>
        </w:tc>
      </w:tr>
      <w:tr>
        <w:trPr>
          <w:trHeight w:val="220"/>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(2,650)</w:t>
            </w:r>
          </w:p>
        </w:tc>
      </w:tr>
      <w:tr>
        <w:trPr>
          <w:trHeight w:val="213"/>
        </w:trPr>
        <w:tc>
          <w:tcPr>
            <w:tcW w:w="9280" w:type="dxa"/>
            <w:vAlign w:val="bottom"/>
          </w:tcPr>
          <w:p>
            <w:pPr>
              <w:ind w:left="20"/>
              <w:spacing w:after="0"/>
              <w:rPr>
                <w:sz w:val="20"/>
                <w:szCs w:val="20"/>
                <w:color w:val="auto"/>
              </w:rPr>
            </w:pPr>
            <w:r>
              <w:rPr>
                <w:rFonts w:ascii="Arial" w:cs="Arial" w:eastAsia="Arial" w:hAnsi="Arial"/>
                <w:sz w:val="17"/>
                <w:szCs w:val="17"/>
                <w:color w:val="auto"/>
              </w:rPr>
              <w:t>Long-term debt, net</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72,350</w:t>
            </w:r>
          </w:p>
        </w:tc>
      </w:tr>
      <w:tr>
        <w:trPr>
          <w:trHeight w:val="20"/>
        </w:trPr>
        <w:tc>
          <w:tcPr>
            <w:tcW w:w="9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9. Convertible Preferred Stock and Stockholders’ Equity</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160" w:lineRule="exact"/>
        <w:rPr>
          <w:sz w:val="20"/>
          <w:szCs w:val="20"/>
          <w:color w:val="auto"/>
        </w:rPr>
      </w:pPr>
    </w:p>
    <w:p>
      <w:pPr>
        <w:ind w:right="500" w:firstLine="620"/>
        <w:spacing w:after="0" w:line="269" w:lineRule="auto"/>
        <w:rPr>
          <w:sz w:val="20"/>
          <w:szCs w:val="20"/>
          <w:color w:val="auto"/>
        </w:rPr>
      </w:pPr>
      <w:r>
        <w:rPr>
          <w:rFonts w:ascii="Arial" w:cs="Arial" w:eastAsia="Arial" w:hAnsi="Arial"/>
          <w:sz w:val="17"/>
          <w:szCs w:val="17"/>
          <w:color w:val="auto"/>
        </w:rPr>
        <w:t>In connection with the Company's IPO in February 2020, all of the Company’s outstanding shares of convertible preferred stock were automatically converted into 24,385,388 shares of common stock.</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Common Stock</w:t>
      </w:r>
    </w:p>
    <w:p>
      <w:pPr>
        <w:spacing w:after="0" w:line="173" w:lineRule="exact"/>
        <w:rPr>
          <w:sz w:val="20"/>
          <w:szCs w:val="20"/>
          <w:color w:val="auto"/>
        </w:rPr>
      </w:pPr>
    </w:p>
    <w:p>
      <w:pPr>
        <w:ind w:right="460" w:firstLine="620"/>
        <w:spacing w:after="0" w:line="258" w:lineRule="auto"/>
        <w:rPr>
          <w:sz w:val="20"/>
          <w:szCs w:val="20"/>
          <w:color w:val="auto"/>
        </w:rPr>
      </w:pPr>
      <w:r>
        <w:rPr>
          <w:rFonts w:ascii="Arial" w:cs="Arial" w:eastAsia="Arial" w:hAnsi="Arial"/>
          <w:sz w:val="17"/>
          <w:szCs w:val="17"/>
          <w:color w:val="auto"/>
        </w:rPr>
        <w:t>The holders of the Company’s common stock have one vote for each share of common stock. Common stockholders are entitled to dividends when, as, and if declared by the board of directors. The holders have no preemptive or other subscription rights and there are no redemption or sinking fund provisions with respect to such shares. As of December 31, 2021, no dividends had been declared by the board of directors.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4" w:name="page135"/>
    <w:bookmarkEnd w:id="1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reserved the following shares of common stock for issuance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00" w:type="dxa"/>
            <w:vAlign w:val="bottom"/>
          </w:tcPr>
          <w:p>
            <w:pPr>
              <w:spacing w:after="0"/>
              <w:rPr>
                <w:sz w:val="15"/>
                <w:szCs w:val="15"/>
                <w:color w:val="auto"/>
              </w:rPr>
            </w:pPr>
          </w:p>
        </w:tc>
        <w:tc>
          <w:tcPr>
            <w:tcW w:w="270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r>
      <w:tr>
        <w:trPr>
          <w:trHeight w:val="174"/>
        </w:trPr>
        <w:tc>
          <w:tcPr>
            <w:tcW w:w="760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r>
      <w:tr>
        <w:trPr>
          <w:trHeight w:val="213"/>
        </w:trPr>
        <w:tc>
          <w:tcPr>
            <w:tcW w:w="76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Options issued and outstanding</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5,757,957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3,655,945</w:t>
            </w:r>
          </w:p>
        </w:tc>
      </w:tr>
      <w:tr>
        <w:trPr>
          <w:trHeight w:val="220"/>
        </w:trPr>
        <w:tc>
          <w:tcPr>
            <w:tcW w:w="7600" w:type="dxa"/>
            <w:vAlign w:val="bottom"/>
          </w:tcPr>
          <w:p>
            <w:pPr>
              <w:ind w:left="640"/>
              <w:spacing w:after="0"/>
              <w:rPr>
                <w:sz w:val="20"/>
                <w:szCs w:val="20"/>
                <w:color w:val="auto"/>
              </w:rPr>
            </w:pPr>
            <w:r>
              <w:rPr>
                <w:rFonts w:ascii="Arial" w:cs="Arial" w:eastAsia="Arial" w:hAnsi="Arial"/>
                <w:sz w:val="17"/>
                <w:szCs w:val="17"/>
                <w:color w:val="auto"/>
              </w:rPr>
              <w:t>Common stock awards available for grant under employee incentive plans</w:t>
            </w:r>
          </w:p>
        </w:tc>
        <w:tc>
          <w:tcPr>
            <w:tcW w:w="1780" w:type="dxa"/>
            <w:vAlign w:val="bottom"/>
          </w:tcPr>
          <w:p>
            <w:pPr>
              <w:jc w:val="right"/>
              <w:spacing w:after="0"/>
              <w:rPr>
                <w:sz w:val="20"/>
                <w:szCs w:val="20"/>
                <w:color w:val="auto"/>
              </w:rPr>
            </w:pPr>
            <w:r>
              <w:rPr>
                <w:rFonts w:ascii="Arial" w:cs="Arial" w:eastAsia="Arial" w:hAnsi="Arial"/>
                <w:sz w:val="17"/>
                <w:szCs w:val="17"/>
                <w:color w:val="auto"/>
              </w:rPr>
              <w:t>2,068,004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2,501,329</w:t>
            </w:r>
          </w:p>
        </w:tc>
      </w:tr>
      <w:tr>
        <w:trPr>
          <w:trHeight w:val="220"/>
        </w:trPr>
        <w:tc>
          <w:tcPr>
            <w:tcW w:w="76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Restricted stock units outstanding</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335,196</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162,930</w:t>
            </w:r>
          </w:p>
        </w:tc>
      </w:tr>
      <w:tr>
        <w:trPr>
          <w:trHeight w:val="213"/>
        </w:trPr>
        <w:tc>
          <w:tcPr>
            <w:tcW w:w="7600" w:type="dxa"/>
            <w:vAlign w:val="bottom"/>
          </w:tcPr>
          <w:p>
            <w:pPr>
              <w:ind w:left="960"/>
              <w:spacing w:after="0"/>
              <w:rPr>
                <w:sz w:val="20"/>
                <w:szCs w:val="20"/>
                <w:color w:val="auto"/>
              </w:rPr>
            </w:pPr>
            <w:r>
              <w:rPr>
                <w:rFonts w:ascii="Arial" w:cs="Arial" w:eastAsia="Arial" w:hAnsi="Arial"/>
                <w:sz w:val="17"/>
                <w:szCs w:val="17"/>
                <w:color w:val="auto"/>
              </w:rPr>
              <w:t>Total common stock reserved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8,161,157</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6,320,204</w:t>
            </w:r>
          </w:p>
        </w:tc>
      </w:tr>
      <w:tr>
        <w:trPr>
          <w:trHeight w:val="20"/>
        </w:trPr>
        <w:tc>
          <w:tcPr>
            <w:tcW w:w="76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Authorized Share Capital</w:t>
      </w:r>
    </w:p>
    <w:p>
      <w:pPr>
        <w:spacing w:after="0" w:line="173" w:lineRule="exact"/>
        <w:rPr>
          <w:sz w:val="20"/>
          <w:szCs w:val="20"/>
          <w:color w:val="auto"/>
        </w:rPr>
      </w:pPr>
    </w:p>
    <w:p>
      <w:pPr>
        <w:ind w:right="60" w:firstLine="620"/>
        <w:spacing w:after="0" w:line="261" w:lineRule="auto"/>
        <w:rPr>
          <w:sz w:val="20"/>
          <w:szCs w:val="20"/>
          <w:color w:val="auto"/>
        </w:rPr>
      </w:pPr>
      <w:r>
        <w:rPr>
          <w:rFonts w:ascii="Arial" w:cs="Arial" w:eastAsia="Arial" w:hAnsi="Arial"/>
          <w:sz w:val="17"/>
          <w:szCs w:val="17"/>
          <w:color w:val="auto"/>
        </w:rPr>
        <w:t>On February 4, 2020, the Company’s certificate of incorporation was amended and restated to provide for 300,000,000 authorized shares of common stock with a par value of $0.0001 per share and 10,000,000 authorized shares of preferred stock with a par value of $0.0001 per share. There were no shares of preferred stock outstanding as of December 31, 2021 and 2020.</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10. Stock-Based Compensation</w:t>
      </w:r>
    </w:p>
    <w:p>
      <w:pPr>
        <w:spacing w:after="0" w:line="173" w:lineRule="exact"/>
        <w:rPr>
          <w:sz w:val="20"/>
          <w:szCs w:val="20"/>
          <w:color w:val="auto"/>
        </w:rPr>
      </w:pPr>
    </w:p>
    <w:p>
      <w:pPr>
        <w:ind w:right="40" w:firstLine="620"/>
        <w:spacing w:after="0" w:line="255" w:lineRule="auto"/>
        <w:rPr>
          <w:sz w:val="20"/>
          <w:szCs w:val="20"/>
          <w:color w:val="auto"/>
        </w:rPr>
      </w:pPr>
      <w:r>
        <w:rPr>
          <w:rFonts w:ascii="Arial" w:cs="Arial" w:eastAsia="Arial" w:hAnsi="Arial"/>
          <w:sz w:val="17"/>
          <w:szCs w:val="17"/>
          <w:color w:val="auto"/>
        </w:rPr>
        <w:t>In January 2020, the Company’s board of directors approved the 2020 Equity Incentive Plan (2020 Plan), which became effective January 30, 2020 in connection with the IPO. The 2020 Plan serves as the successor incentive award plan to the Company’s 2017 Equity Incentive Plan (2017 Plan) and has 2,134,000 shares of common stock available for issuance pursuant to a variety of stock-based compensation awards, including stock options, stock appreciation rights, restricted stock awards, restricted stock unit (RSU) awards, and other stock-based awards, plus 1,550,150 shares of common stock that were reserved for issuance pursuant to future awards under the 2017 Plan at the time the 2020 Plan became effective, plus shares represented by awards outstanding under the 2017 Plan that are forfeited or lapsed unexercised and which following the effective date of the 2020 Plan are not issued under the 2017 Plan. In addition, the 2020 Plan reserve will increase on January 1 of each year beginning in 2021 through 2030, by an amount equal to the lesser of (a) four percent of the shares of stock outstanding (on an as converted basis) on the day immediately prior to the date of increase and (b) such smaller number of shares of stock as determined by our board of directors; provided, however, that no more than 11,000,000 shares of stock may be issued upon the exercise of incentive stock options. Accordingly, on January 1, 2022 and 2021, the plan reserve increased by 2,013,830 and 1,747,112 shares, respectively. As of December 31, 2021, the Company had 1,362,929 shares available for future grant under the 2020 Plan.</w:t>
      </w:r>
    </w:p>
    <w:p>
      <w:pPr>
        <w:spacing w:after="0" w:line="131" w:lineRule="exact"/>
        <w:rPr>
          <w:sz w:val="20"/>
          <w:szCs w:val="20"/>
          <w:color w:val="auto"/>
        </w:rPr>
      </w:pPr>
    </w:p>
    <w:p>
      <w:pPr>
        <w:jc w:val="both"/>
        <w:ind w:right="200" w:firstLine="620"/>
        <w:spacing w:after="0" w:line="257" w:lineRule="auto"/>
        <w:rPr>
          <w:sz w:val="20"/>
          <w:szCs w:val="20"/>
          <w:color w:val="auto"/>
        </w:rPr>
      </w:pPr>
      <w:r>
        <w:rPr>
          <w:rFonts w:ascii="Arial" w:cs="Arial" w:eastAsia="Arial" w:hAnsi="Arial"/>
          <w:sz w:val="17"/>
          <w:szCs w:val="17"/>
          <w:color w:val="auto"/>
        </w:rPr>
        <w:t>The 2020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2020 Plan, options may be granted at an exercise price not less than fair market value. The Company generally grants stock-based awards with service conditions. Options granted typically vest over a four-year period but may be granted with different vesting terms.</w:t>
      </w:r>
    </w:p>
    <w:p>
      <w:pPr>
        <w:spacing w:after="0" w:line="116" w:lineRule="exact"/>
        <w:rPr>
          <w:sz w:val="20"/>
          <w:szCs w:val="20"/>
          <w:color w:val="auto"/>
        </w:rPr>
      </w:pPr>
    </w:p>
    <w:p>
      <w:pPr>
        <w:ind w:right="180" w:firstLine="620"/>
        <w:spacing w:after="0" w:line="261" w:lineRule="auto"/>
        <w:rPr>
          <w:sz w:val="20"/>
          <w:szCs w:val="20"/>
          <w:color w:val="auto"/>
        </w:rPr>
      </w:pPr>
      <w:r>
        <w:rPr>
          <w:rFonts w:ascii="Arial" w:cs="Arial" w:eastAsia="Arial" w:hAnsi="Arial"/>
          <w:sz w:val="17"/>
          <w:szCs w:val="17"/>
          <w:color w:val="auto"/>
        </w:rPr>
        <w:t>Following the Company’s IPO and in connection with the effectiveness of the Company’s 2020 Plan, the 2017 Plan terminated and no further awards will be granted under that plan. However, all outstanding awards under the 2017 Plan will continue to be governed by their existing terms.</w:t>
      </w:r>
    </w:p>
    <w:p>
      <w:pPr>
        <w:spacing w:after="0" w:line="125" w:lineRule="exact"/>
        <w:rPr>
          <w:sz w:val="20"/>
          <w:szCs w:val="20"/>
          <w:color w:val="auto"/>
        </w:rPr>
      </w:pPr>
    </w:p>
    <w:p>
      <w:pPr>
        <w:ind w:right="240" w:firstLine="620"/>
        <w:spacing w:after="0" w:line="258" w:lineRule="auto"/>
        <w:rPr>
          <w:sz w:val="20"/>
          <w:szCs w:val="20"/>
          <w:color w:val="auto"/>
        </w:rPr>
      </w:pPr>
      <w:r>
        <w:rPr>
          <w:rFonts w:ascii="Arial" w:cs="Arial" w:eastAsia="Arial" w:hAnsi="Arial"/>
          <w:sz w:val="17"/>
          <w:szCs w:val="17"/>
          <w:color w:val="auto"/>
        </w:rPr>
        <w:t>In December 2021, the Company’s board of directors approved the 2022 Employment Inducement Incentive Plan (2022 Plan). The 2022 Plan has 1,250,000 shares of common stock available for issuance pursuant to a variety of stock-based compensation awards, including stock options, stock appreciation rights, restricted stock awards, RSU awards, and other stock-based awards. No awards have been made out of this plan as of December 31, 2021.</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5" w:name="page136"/>
    <w:bookmarkEnd w:id="1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summarizes option activity (in thousands, except share amounts):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left="451"/>
              <w:spacing w:after="0"/>
              <w:rPr>
                <w:sz w:val="20"/>
                <w:szCs w:val="20"/>
                <w:color w:val="auto"/>
              </w:rPr>
            </w:pPr>
            <w:r>
              <w:rPr>
                <w:rFonts w:ascii="Arial" w:cs="Arial" w:eastAsia="Arial" w:hAnsi="Arial"/>
                <w:sz w:val="14"/>
                <w:szCs w:val="14"/>
                <w:b w:val="1"/>
                <w:bCs w:val="1"/>
                <w:color w:val="auto"/>
                <w:w w:val="97"/>
              </w:rPr>
              <w:t>Weighted-</w:t>
            </w:r>
          </w:p>
        </w:tc>
        <w:tc>
          <w:tcPr>
            <w:tcW w:w="154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w w:val="97"/>
              </w:rPr>
              <w:t>Remaining</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left="451"/>
              <w:spacing w:after="0" w:line="155" w:lineRule="exact"/>
              <w:rPr>
                <w:sz w:val="20"/>
                <w:szCs w:val="20"/>
                <w:color w:val="auto"/>
              </w:rPr>
            </w:pPr>
            <w:r>
              <w:rPr>
                <w:rFonts w:ascii="Arial" w:cs="Arial" w:eastAsia="Arial" w:hAnsi="Arial"/>
                <w:sz w:val="14"/>
                <w:szCs w:val="14"/>
                <w:b w:val="1"/>
                <w:bCs w:val="1"/>
                <w:color w:val="auto"/>
                <w:w w:val="97"/>
              </w:rPr>
              <w:t>Average</w:t>
            </w:r>
          </w:p>
        </w:tc>
        <w:tc>
          <w:tcPr>
            <w:tcW w:w="1540" w:type="dxa"/>
            <w:vAlign w:val="bottom"/>
            <w:gridSpan w:val="2"/>
          </w:tcPr>
          <w:p>
            <w:pPr>
              <w:jc w:val="center"/>
              <w:ind w:left="444"/>
              <w:spacing w:after="0" w:line="155" w:lineRule="exact"/>
              <w:rPr>
                <w:sz w:val="20"/>
                <w:szCs w:val="20"/>
                <w:color w:val="auto"/>
              </w:rPr>
            </w:pPr>
            <w:r>
              <w:rPr>
                <w:rFonts w:ascii="Arial" w:cs="Arial" w:eastAsia="Arial" w:hAnsi="Arial"/>
                <w:sz w:val="14"/>
                <w:szCs w:val="14"/>
                <w:b w:val="1"/>
                <w:bCs w:val="1"/>
                <w:color w:val="auto"/>
              </w:rPr>
              <w:t>Contractual</w:t>
            </w:r>
          </w:p>
        </w:tc>
        <w:tc>
          <w:tcPr>
            <w:tcW w:w="1380" w:type="dxa"/>
            <w:vAlign w:val="bottom"/>
          </w:tcPr>
          <w:p>
            <w:pPr>
              <w:jc w:val="center"/>
              <w:ind w:left="543"/>
              <w:spacing w:after="0" w:line="155" w:lineRule="exact"/>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540" w:type="dxa"/>
            <w:vAlign w:val="bottom"/>
            <w:gridSpan w:val="2"/>
          </w:tcPr>
          <w:p>
            <w:pPr>
              <w:jc w:val="center"/>
              <w:ind w:left="471"/>
              <w:spacing w:after="0" w:line="155" w:lineRule="exact"/>
              <w:rPr>
                <w:sz w:val="20"/>
                <w:szCs w:val="20"/>
                <w:color w:val="auto"/>
              </w:rPr>
            </w:pPr>
            <w:r>
              <w:rPr>
                <w:rFonts w:ascii="Arial" w:cs="Arial" w:eastAsia="Arial" w:hAnsi="Arial"/>
                <w:sz w:val="14"/>
                <w:szCs w:val="14"/>
                <w:b w:val="1"/>
                <w:bCs w:val="1"/>
                <w:color w:val="auto"/>
                <w:w w:val="97"/>
              </w:rPr>
              <w:t>Exercise</w:t>
            </w:r>
          </w:p>
        </w:tc>
        <w:tc>
          <w:tcPr>
            <w:tcW w:w="1540" w:type="dxa"/>
            <w:vAlign w:val="bottom"/>
            <w:gridSpan w:val="2"/>
          </w:tcPr>
          <w:p>
            <w:pPr>
              <w:jc w:val="center"/>
              <w:ind w:left="444"/>
              <w:spacing w:after="0" w:line="155" w:lineRule="exact"/>
              <w:rPr>
                <w:sz w:val="20"/>
                <w:szCs w:val="20"/>
                <w:color w:val="auto"/>
              </w:rPr>
            </w:pPr>
            <w:r>
              <w:rPr>
                <w:rFonts w:ascii="Arial" w:cs="Arial" w:eastAsia="Arial" w:hAnsi="Arial"/>
                <w:sz w:val="14"/>
                <w:szCs w:val="14"/>
                <w:b w:val="1"/>
                <w:bCs w:val="1"/>
                <w:color w:val="auto"/>
                <w:w w:val="99"/>
              </w:rPr>
              <w:t>Term</w:t>
            </w:r>
          </w:p>
        </w:tc>
        <w:tc>
          <w:tcPr>
            <w:tcW w:w="1380" w:type="dxa"/>
            <w:vAlign w:val="bottom"/>
          </w:tcPr>
          <w:p>
            <w:pPr>
              <w:jc w:val="center"/>
              <w:ind w:left="563"/>
              <w:spacing w:after="0" w:line="15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6"/>
        </w:trPr>
        <w:tc>
          <w:tcPr>
            <w:tcW w:w="52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ind w:left="551"/>
              <w:spacing w:after="0"/>
              <w:rPr>
                <w:sz w:val="20"/>
                <w:szCs w:val="20"/>
                <w:color w:val="auto"/>
              </w:rPr>
            </w:pPr>
            <w:r>
              <w:rPr>
                <w:rFonts w:ascii="Arial" w:cs="Arial" w:eastAsia="Arial" w:hAnsi="Arial"/>
                <w:sz w:val="14"/>
                <w:szCs w:val="14"/>
                <w:b w:val="1"/>
                <w:bCs w:val="1"/>
                <w:color w:val="auto"/>
                <w:w w:val="99"/>
              </w:rPr>
              <w:t>Price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ind w:left="544"/>
              <w:spacing w:after="0"/>
              <w:rPr>
                <w:sz w:val="20"/>
                <w:szCs w:val="20"/>
                <w:color w:val="auto"/>
              </w:rPr>
            </w:pPr>
            <w:r>
              <w:rPr>
                <w:rFonts w:ascii="Arial" w:cs="Arial" w:eastAsia="Arial" w:hAnsi="Arial"/>
                <w:sz w:val="14"/>
                <w:szCs w:val="14"/>
                <w:b w:val="1"/>
                <w:bCs w:val="1"/>
                <w:color w:val="auto"/>
                <w:w w:val="96"/>
              </w:rPr>
              <w:t>(Years)</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ind w:left="54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Balance—December 31, 2020</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3,655,945</w:t>
            </w:r>
          </w:p>
        </w:tc>
        <w:tc>
          <w:tcPr>
            <w:tcW w:w="154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12.09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59,274</w:t>
            </w:r>
          </w:p>
        </w:tc>
        <w:tc>
          <w:tcPr>
            <w:tcW w:w="0" w:type="dxa"/>
            <w:vAlign w:val="bottom"/>
          </w:tcPr>
          <w:p>
            <w:pPr>
              <w:spacing w:after="0"/>
              <w:rPr>
                <w:sz w:val="1"/>
                <w:szCs w:val="1"/>
                <w:color w:val="auto"/>
              </w:rPr>
            </w:pPr>
          </w:p>
        </w:tc>
      </w:tr>
      <w:tr>
        <w:trPr>
          <w:trHeight w:val="220"/>
        </w:trPr>
        <w:tc>
          <w:tcPr>
            <w:tcW w:w="5220" w:type="dxa"/>
            <w:vAlign w:val="bottom"/>
          </w:tcPr>
          <w:p>
            <w:pPr>
              <w:ind w:left="960"/>
              <w:spacing w:after="0"/>
              <w:rPr>
                <w:sz w:val="20"/>
                <w:szCs w:val="20"/>
                <w:color w:val="auto"/>
              </w:rPr>
            </w:pPr>
            <w:r>
              <w:rPr>
                <w:rFonts w:ascii="Arial" w:cs="Arial" w:eastAsia="Arial" w:hAnsi="Arial"/>
                <w:sz w:val="17"/>
                <w:szCs w:val="17"/>
                <w:color w:val="auto"/>
              </w:rPr>
              <w:t>Granted</w:t>
            </w:r>
          </w:p>
        </w:tc>
        <w:tc>
          <w:tcPr>
            <w:tcW w:w="1460" w:type="dxa"/>
            <w:vAlign w:val="bottom"/>
          </w:tcPr>
          <w:p>
            <w:pPr>
              <w:jc w:val="right"/>
              <w:spacing w:after="0"/>
              <w:rPr>
                <w:sz w:val="20"/>
                <w:szCs w:val="20"/>
                <w:color w:val="auto"/>
              </w:rPr>
            </w:pPr>
            <w:r>
              <w:rPr>
                <w:rFonts w:ascii="Arial" w:cs="Arial" w:eastAsia="Arial" w:hAnsi="Arial"/>
                <w:sz w:val="17"/>
                <w:szCs w:val="17"/>
                <w:color w:val="auto"/>
              </w:rPr>
              <w:t>2,706,171</w:t>
            </w:r>
          </w:p>
        </w:tc>
        <w:tc>
          <w:tcPr>
            <w:tcW w:w="1540" w:type="dxa"/>
            <w:vAlign w:val="bottom"/>
            <w:gridSpan w:val="2"/>
          </w:tcPr>
          <w:p>
            <w:pPr>
              <w:jc w:val="right"/>
              <w:ind w:right="11"/>
              <w:spacing w:after="0"/>
              <w:rPr>
                <w:sz w:val="20"/>
                <w:szCs w:val="20"/>
                <w:color w:val="auto"/>
              </w:rPr>
            </w:pPr>
            <w:r>
              <w:rPr>
                <w:rFonts w:ascii="Arial" w:cs="Arial" w:eastAsia="Arial" w:hAnsi="Arial"/>
                <w:sz w:val="17"/>
                <w:szCs w:val="17"/>
                <w:color w:val="auto"/>
              </w:rPr>
              <w:t>27.65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960"/>
              <w:spacing w:after="0"/>
              <w:rPr>
                <w:sz w:val="20"/>
                <w:szCs w:val="20"/>
                <w:color w:val="auto"/>
              </w:rPr>
            </w:pPr>
            <w:r>
              <w:rPr>
                <w:rFonts w:ascii="Arial" w:cs="Arial" w:eastAsia="Arial" w:hAnsi="Arial"/>
                <w:sz w:val="17"/>
                <w:szCs w:val="17"/>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(257,060)</w:t>
            </w:r>
          </w:p>
        </w:tc>
        <w:tc>
          <w:tcPr>
            <w:tcW w:w="154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4.88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tcPr>
          <w:p>
            <w:pPr>
              <w:ind w:left="960"/>
              <w:spacing w:after="0"/>
              <w:rPr>
                <w:sz w:val="20"/>
                <w:szCs w:val="20"/>
                <w:color w:val="auto"/>
              </w:rPr>
            </w:pPr>
            <w:r>
              <w:rPr>
                <w:rFonts w:ascii="Arial" w:cs="Arial" w:eastAsia="Arial" w:hAnsi="Arial"/>
                <w:sz w:val="17"/>
                <w:szCs w:val="17"/>
                <w:color w:val="auto"/>
              </w:rPr>
              <w:t>Forfeited</w:t>
            </w:r>
          </w:p>
        </w:tc>
        <w:tc>
          <w:tcPr>
            <w:tcW w:w="1460" w:type="dxa"/>
            <w:vAlign w:val="bottom"/>
          </w:tcPr>
          <w:p>
            <w:pPr>
              <w:jc w:val="right"/>
              <w:spacing w:after="0"/>
              <w:rPr>
                <w:sz w:val="20"/>
                <w:szCs w:val="20"/>
                <w:color w:val="auto"/>
              </w:rPr>
            </w:pPr>
            <w:r>
              <w:rPr>
                <w:rFonts w:ascii="Arial" w:cs="Arial" w:eastAsia="Arial" w:hAnsi="Arial"/>
                <w:sz w:val="17"/>
                <w:szCs w:val="17"/>
                <w:color w:val="auto"/>
              </w:rPr>
              <w:t>(288,858)</w:t>
            </w:r>
          </w:p>
        </w:tc>
        <w:tc>
          <w:tcPr>
            <w:tcW w:w="1540" w:type="dxa"/>
            <w:vAlign w:val="bottom"/>
            <w:gridSpan w:val="2"/>
          </w:tcPr>
          <w:p>
            <w:pPr>
              <w:jc w:val="right"/>
              <w:ind w:right="11"/>
              <w:spacing w:after="0"/>
              <w:rPr>
                <w:sz w:val="20"/>
                <w:szCs w:val="20"/>
                <w:color w:val="auto"/>
              </w:rPr>
            </w:pPr>
            <w:r>
              <w:rPr>
                <w:rFonts w:ascii="Arial" w:cs="Arial" w:eastAsia="Arial" w:hAnsi="Arial"/>
                <w:sz w:val="17"/>
                <w:szCs w:val="17"/>
                <w:color w:val="auto"/>
              </w:rPr>
              <w:t>22.11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960"/>
              <w:spacing w:after="0"/>
              <w:rPr>
                <w:sz w:val="20"/>
                <w:szCs w:val="20"/>
                <w:color w:val="auto"/>
              </w:rPr>
            </w:pPr>
            <w:r>
              <w:rPr>
                <w:rFonts w:ascii="Arial" w:cs="Arial" w:eastAsia="Arial" w:hAnsi="Arial"/>
                <w:sz w:val="17"/>
                <w:szCs w:val="17"/>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(58,241)</w:t>
            </w:r>
          </w:p>
        </w:tc>
        <w:tc>
          <w:tcPr>
            <w:tcW w:w="154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28.19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40"/>
              <w:spacing w:after="0"/>
              <w:rPr>
                <w:sz w:val="20"/>
                <w:szCs w:val="20"/>
                <w:color w:val="auto"/>
              </w:rPr>
            </w:pPr>
            <w:r>
              <w:rPr>
                <w:rFonts w:ascii="Arial" w:cs="Arial" w:eastAsia="Arial" w:hAnsi="Arial"/>
                <w:sz w:val="17"/>
                <w:szCs w:val="17"/>
                <w:color w:val="auto"/>
              </w:rPr>
              <w:t>Balance—December 31,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5,757,957</w:t>
            </w:r>
          </w:p>
        </w:tc>
        <w:tc>
          <w:tcPr>
            <w:tcW w:w="1540" w:type="dxa"/>
            <w:vAlign w:val="bottom"/>
            <w:gridSpan w:val="2"/>
          </w:tcPr>
          <w:p>
            <w:pPr>
              <w:jc w:val="right"/>
              <w:ind w:right="11"/>
              <w:spacing w:after="0"/>
              <w:rPr>
                <w:sz w:val="20"/>
                <w:szCs w:val="20"/>
                <w:color w:val="auto"/>
              </w:rPr>
            </w:pPr>
            <w:r>
              <w:rPr>
                <w:rFonts w:ascii="Arial" w:cs="Arial" w:eastAsia="Arial" w:hAnsi="Arial"/>
                <w:sz w:val="17"/>
                <w:szCs w:val="17"/>
                <w:color w:val="auto"/>
              </w:rPr>
              <w:t>19.06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8.37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34,887</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640"/>
              <w:spacing w:after="0" w:line="251" w:lineRule="exact"/>
              <w:rPr>
                <w:sz w:val="20"/>
                <w:szCs w:val="20"/>
                <w:color w:val="auto"/>
              </w:rPr>
            </w:pPr>
            <w:r>
              <w:rPr>
                <w:rFonts w:ascii="Arial" w:cs="Arial" w:eastAsia="Arial" w:hAnsi="Arial"/>
                <w:sz w:val="17"/>
                <w:szCs w:val="17"/>
                <w:color w:val="auto"/>
              </w:rPr>
              <w:t>Exercisable—12/31/2021</w:t>
            </w:r>
            <w:r>
              <w:rPr>
                <w:rFonts w:ascii="Arial" w:cs="Arial" w:eastAsia="Arial" w:hAnsi="Arial"/>
                <w:sz w:val="22"/>
                <w:szCs w:val="22"/>
                <w:color w:val="auto"/>
                <w:vertAlign w:val="superscript"/>
              </w:rPr>
              <w:t>(1)</w:t>
            </w: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20" w:type="dxa"/>
            <w:vAlign w:val="bottom"/>
            <w:vMerge w:val="continue"/>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2,451,373</w:t>
            </w:r>
          </w:p>
        </w:tc>
        <w:tc>
          <w:tcPr>
            <w:tcW w:w="1540" w:type="dxa"/>
            <w:vAlign w:val="bottom"/>
            <w:gridSpan w:val="2"/>
          </w:tcPr>
          <w:p>
            <w:pPr>
              <w:jc w:val="right"/>
              <w:ind w:right="11"/>
              <w:spacing w:after="0"/>
              <w:rPr>
                <w:sz w:val="20"/>
                <w:szCs w:val="20"/>
                <w:color w:val="auto"/>
              </w:rPr>
            </w:pPr>
            <w:r>
              <w:rPr>
                <w:rFonts w:ascii="Arial" w:cs="Arial" w:eastAsia="Arial" w:hAnsi="Arial"/>
                <w:sz w:val="17"/>
                <w:szCs w:val="17"/>
                <w:color w:val="auto"/>
              </w:rPr>
              <w:t>10.83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7.46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29,467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17" w:lineRule="exact"/>
        <w:rPr>
          <w:sz w:val="20"/>
          <w:szCs w:val="20"/>
          <w:color w:val="auto"/>
        </w:rPr>
      </w:pPr>
    </w:p>
    <w:p>
      <w:pPr>
        <w:ind w:left="620" w:hanging="617"/>
        <w:spacing w:after="0"/>
        <w:tabs>
          <w:tab w:leader="none" w:pos="6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Options exercisable includes early exercisable options.</w:t>
      </w:r>
    </w:p>
    <w:p>
      <w:pPr>
        <w:spacing w:after="0" w:line="131" w:lineRule="exact"/>
        <w:rPr>
          <w:sz w:val="20"/>
          <w:szCs w:val="20"/>
          <w:color w:val="auto"/>
        </w:rPr>
      </w:pPr>
    </w:p>
    <w:p>
      <w:pPr>
        <w:ind w:right="160" w:firstLine="620"/>
        <w:spacing w:after="0" w:line="261" w:lineRule="auto"/>
        <w:rPr>
          <w:sz w:val="20"/>
          <w:szCs w:val="20"/>
          <w:color w:val="auto"/>
        </w:rPr>
      </w:pPr>
      <w:r>
        <w:rPr>
          <w:rFonts w:ascii="Arial" w:cs="Arial" w:eastAsia="Arial" w:hAnsi="Arial"/>
          <w:sz w:val="17"/>
          <w:szCs w:val="17"/>
          <w:color w:val="auto"/>
        </w:rPr>
        <w:t>The aggregate intrinsic value is calculated as the difference between the exercise price of the options and the fair value of the Company’s common stock as of December 31, 2021. As of December 31, 2020, prior to the Company's IPO in January 2020, the estimated fair value of the Company's common stock was determined by the board of directors.</w:t>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intrinsic value of options exercised for the year ended December 31, 2021 was $5.8 million.</w:t>
      </w:r>
    </w:p>
    <w:p>
      <w:pPr>
        <w:spacing w:after="0" w:line="140" w:lineRule="exact"/>
        <w:rPr>
          <w:sz w:val="20"/>
          <w:szCs w:val="20"/>
          <w:color w:val="auto"/>
        </w:rPr>
      </w:pPr>
    </w:p>
    <w:p>
      <w:pPr>
        <w:ind w:right="260" w:firstLine="620"/>
        <w:spacing w:after="0" w:line="269" w:lineRule="auto"/>
        <w:rPr>
          <w:sz w:val="20"/>
          <w:szCs w:val="20"/>
          <w:color w:val="auto"/>
        </w:rPr>
      </w:pPr>
      <w:r>
        <w:rPr>
          <w:rFonts w:ascii="Arial" w:cs="Arial" w:eastAsia="Arial" w:hAnsi="Arial"/>
          <w:sz w:val="17"/>
          <w:szCs w:val="17"/>
          <w:color w:val="auto"/>
        </w:rPr>
        <w:t>The total grant-date fair value of the options vested during the year ended December 31, 2021 was $14.3 million. The weighted-average grant-date fair value of employee options granted during the year ended December 31, 2021 was $19.21.</w:t>
      </w:r>
    </w:p>
    <w:p>
      <w:pPr>
        <w:spacing w:after="0" w:line="26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Restricted Stock Unit Activity</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information regarding our RSUs: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tcPr>
          <w:p>
            <w:pPr>
              <w:jc w:val="right"/>
              <w:ind w:right="419"/>
              <w:spacing w:after="0"/>
              <w:rPr>
                <w:sz w:val="20"/>
                <w:szCs w:val="20"/>
                <w:color w:val="auto"/>
              </w:rPr>
            </w:pPr>
            <w:r>
              <w:rPr>
                <w:rFonts w:ascii="Arial" w:cs="Arial" w:eastAsia="Arial" w:hAnsi="Arial"/>
                <w:sz w:val="14"/>
                <w:szCs w:val="14"/>
                <w:b w:val="1"/>
                <w:bCs w:val="1"/>
                <w:color w:val="auto"/>
              </w:rPr>
              <w:t>Weighted-Average</w:t>
            </w:r>
          </w:p>
        </w:tc>
      </w:tr>
      <w:tr>
        <w:trPr>
          <w:trHeight w:val="186"/>
        </w:trPr>
        <w:tc>
          <w:tcPr>
            <w:tcW w:w="676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Number of Units</w:t>
            </w:r>
          </w:p>
        </w:tc>
        <w:tc>
          <w:tcPr>
            <w:tcW w:w="36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jc w:val="right"/>
              <w:ind w:right="319"/>
              <w:spacing w:after="0"/>
              <w:rPr>
                <w:sz w:val="20"/>
                <w:szCs w:val="20"/>
                <w:color w:val="auto"/>
              </w:rPr>
            </w:pPr>
            <w:r>
              <w:rPr>
                <w:rFonts w:ascii="Arial" w:cs="Arial" w:eastAsia="Arial" w:hAnsi="Arial"/>
                <w:sz w:val="14"/>
                <w:szCs w:val="14"/>
                <w:b w:val="1"/>
                <w:bCs w:val="1"/>
                <w:color w:val="auto"/>
              </w:rPr>
              <w:t>Grant Date Fair Value</w:t>
            </w:r>
          </w:p>
        </w:tc>
      </w:tr>
      <w:tr>
        <w:trPr>
          <w:trHeight w:val="218"/>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Balance—December 31, 2020</w:t>
            </w:r>
          </w:p>
        </w:tc>
        <w:tc>
          <w:tcPr>
            <w:tcW w:w="2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162,930</w:t>
            </w: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27.26</w:t>
            </w: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Granted</w:t>
            </w:r>
          </w:p>
        </w:tc>
        <w:tc>
          <w:tcPr>
            <w:tcW w:w="2180" w:type="dxa"/>
            <w:vAlign w:val="bottom"/>
          </w:tcPr>
          <w:p>
            <w:pPr>
              <w:jc w:val="right"/>
              <w:spacing w:after="0"/>
              <w:rPr>
                <w:sz w:val="20"/>
                <w:szCs w:val="20"/>
                <w:color w:val="auto"/>
              </w:rPr>
            </w:pPr>
            <w:r>
              <w:rPr>
                <w:rFonts w:ascii="Arial" w:cs="Arial" w:eastAsia="Arial" w:hAnsi="Arial"/>
                <w:sz w:val="17"/>
                <w:szCs w:val="17"/>
                <w:color w:val="auto"/>
              </w:rPr>
              <w:t>225,900</w:t>
            </w:r>
          </w:p>
        </w:tc>
        <w:tc>
          <w:tcPr>
            <w:tcW w:w="3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940" w:type="dxa"/>
            <w:vAlign w:val="bottom"/>
          </w:tcPr>
          <w:p>
            <w:pPr>
              <w:jc w:val="right"/>
              <w:spacing w:after="0"/>
              <w:rPr>
                <w:sz w:val="20"/>
                <w:szCs w:val="20"/>
                <w:color w:val="auto"/>
              </w:rPr>
            </w:pPr>
            <w:r>
              <w:rPr>
                <w:rFonts w:ascii="Arial" w:cs="Arial" w:eastAsia="Arial" w:hAnsi="Arial"/>
                <w:sz w:val="17"/>
                <w:szCs w:val="17"/>
                <w:color w:val="auto"/>
              </w:rPr>
              <w:t>30.51</w:t>
            </w: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Vested</w:t>
            </w:r>
          </w:p>
        </w:tc>
        <w:tc>
          <w:tcPr>
            <w:tcW w:w="2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(37,362)</w:t>
            </w: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w:t>
            </w:r>
          </w:p>
        </w:tc>
      </w:tr>
      <w:tr>
        <w:trPr>
          <w:trHeight w:val="220"/>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Forfeited</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(16,272)</w:t>
            </w:r>
          </w:p>
        </w:tc>
        <w:tc>
          <w:tcPr>
            <w:tcW w:w="360" w:type="dxa"/>
            <w:vAlign w:val="bottom"/>
            <w:tcBorders>
              <w:bottom w:val="single" w:sz="8" w:color="CCEEFF"/>
            </w:tcBorders>
          </w:tcPr>
          <w:p>
            <w:pPr>
              <w:jc w:val="right"/>
              <w:ind w:right="54"/>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31.23</w:t>
            </w: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Balance—December 31, 2021</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335,196</w:t>
            </w:r>
          </w:p>
        </w:tc>
        <w:tc>
          <w:tcPr>
            <w:tcW w:w="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bl>
    <w:p>
      <w:pPr>
        <w:spacing w:after="0" w:line="232" w:lineRule="exact"/>
        <w:rPr>
          <w:sz w:val="20"/>
          <w:szCs w:val="20"/>
          <w:color w:val="auto"/>
        </w:rPr>
      </w:pPr>
    </w:p>
    <w:p>
      <w:pPr>
        <w:jc w:val="both"/>
        <w:ind w:right="80" w:firstLine="620"/>
        <w:spacing w:after="0" w:line="269" w:lineRule="auto"/>
        <w:rPr>
          <w:sz w:val="20"/>
          <w:szCs w:val="20"/>
          <w:color w:val="auto"/>
        </w:rPr>
      </w:pPr>
      <w:r>
        <w:rPr>
          <w:rFonts w:ascii="Arial" w:cs="Arial" w:eastAsia="Arial" w:hAnsi="Arial"/>
          <w:sz w:val="17"/>
          <w:szCs w:val="17"/>
          <w:color w:val="auto"/>
        </w:rPr>
        <w:t>The grant date fair value of an RSU equals the closing price of our common stock on the grant date. RSUs generally vest equally over four years. There were no RSU grants prior to January 1, 2020.</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6" w:name="page137"/>
    <w:bookmarkEnd w:id="1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Stock-based compensation expense included in the statements of operations and comprehensive loss was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6"/>
              </w:rPr>
              <w:t>Year Ended December 31,</w:t>
            </w:r>
          </w:p>
        </w:tc>
        <w:tc>
          <w:tcPr>
            <w:tcW w:w="9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74"/>
        </w:trPr>
        <w:tc>
          <w:tcPr>
            <w:tcW w:w="48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r>
      <w:tr>
        <w:trPr>
          <w:trHeight w:val="238"/>
        </w:trPr>
        <w:tc>
          <w:tcPr>
            <w:tcW w:w="48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Research and development</w:t>
            </w:r>
          </w:p>
        </w:tc>
        <w:tc>
          <w:tcPr>
            <w:tcW w:w="9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8,478</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3,503</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r>
      <w:tr>
        <w:trPr>
          <w:trHeight w:val="258"/>
        </w:trPr>
        <w:tc>
          <w:tcPr>
            <w:tcW w:w="48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General and administrative</w:t>
            </w:r>
          </w:p>
        </w:tc>
        <w:tc>
          <w:tcPr>
            <w:tcW w:w="9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15,414</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4,440</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w:t>
            </w:r>
          </w:p>
        </w:tc>
      </w:tr>
      <w:tr>
        <w:trPr>
          <w:trHeight w:val="238"/>
        </w:trPr>
        <w:tc>
          <w:tcPr>
            <w:tcW w:w="48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7"/>
                <w:szCs w:val="17"/>
                <w:color w:val="auto"/>
              </w:rPr>
              <w:t>Total stock-based compensation expense</w:t>
            </w:r>
          </w:p>
        </w:tc>
        <w:tc>
          <w:tcPr>
            <w:tcW w:w="9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23,892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7,943</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right="160" w:firstLine="620"/>
        <w:spacing w:after="0" w:line="258" w:lineRule="auto"/>
        <w:rPr>
          <w:sz w:val="20"/>
          <w:szCs w:val="20"/>
          <w:color w:val="auto"/>
        </w:rPr>
      </w:pPr>
      <w:r>
        <w:rPr>
          <w:rFonts w:ascii="Arial" w:cs="Arial" w:eastAsia="Arial" w:hAnsi="Arial"/>
          <w:sz w:val="17"/>
          <w:szCs w:val="17"/>
          <w:color w:val="auto"/>
        </w:rPr>
        <w:t>As of December 31, 2021, there was $54.0 million of total unrecognized compensation cost related to unvested options that are expected to vest, which is expected to be recognized over a weighted-average period of 3.0 years. As of December 31, 2021, there was $7.1 million of total unrecognized compensation cost related to RSUs that is expected to vest, which is expected to be recognized over a weighted-average period of 3.0 years.</w:t>
      </w:r>
    </w:p>
    <w:p>
      <w:pPr>
        <w:spacing w:after="0" w:line="116" w:lineRule="exact"/>
        <w:rPr>
          <w:sz w:val="20"/>
          <w:szCs w:val="20"/>
          <w:color w:val="auto"/>
        </w:rPr>
      </w:pPr>
    </w:p>
    <w:p>
      <w:pPr>
        <w:ind w:right="200" w:firstLine="620"/>
        <w:spacing w:after="0" w:line="261" w:lineRule="auto"/>
        <w:rPr>
          <w:sz w:val="20"/>
          <w:szCs w:val="20"/>
          <w:color w:val="auto"/>
        </w:rPr>
      </w:pPr>
      <w:r>
        <w:rPr>
          <w:rFonts w:ascii="Arial" w:cs="Arial" w:eastAsia="Arial" w:hAnsi="Arial"/>
          <w:sz w:val="17"/>
          <w:szCs w:val="17"/>
          <w:color w:val="auto"/>
        </w:rPr>
        <w:t>In March 2021, in connection with the retirement of the former Chief Financial Officer, the Company modified the terms of this individual’s historical stock awards. As a result of the modifications, the Company recognized approximately $5.3 million of incremental stock-based compensation expense during the period, which is included in general and administrative expenses.</w:t>
      </w:r>
    </w:p>
    <w:p>
      <w:pPr>
        <w:spacing w:after="0" w:line="125" w:lineRule="exact"/>
        <w:rPr>
          <w:sz w:val="20"/>
          <w:szCs w:val="20"/>
          <w:color w:val="auto"/>
        </w:rPr>
      </w:pPr>
    </w:p>
    <w:p>
      <w:pPr>
        <w:ind w:right="420" w:firstLine="620"/>
        <w:spacing w:after="0" w:line="269" w:lineRule="auto"/>
        <w:rPr>
          <w:sz w:val="20"/>
          <w:szCs w:val="20"/>
          <w:color w:val="auto"/>
        </w:rPr>
      </w:pPr>
      <w:r>
        <w:rPr>
          <w:rFonts w:ascii="Arial" w:cs="Arial" w:eastAsia="Arial" w:hAnsi="Arial"/>
          <w:sz w:val="17"/>
          <w:szCs w:val="17"/>
          <w:color w:val="auto"/>
        </w:rPr>
        <w:t>In determining the fair value of the stock options granted, the Company uses the Black-Scholes option-pricing model and assumptions discussed below. Each of these inputs is subjective and generally requires significant judgment.</w:t>
      </w:r>
    </w:p>
    <w:p>
      <w:pPr>
        <w:spacing w:after="0" w:line="99" w:lineRule="exact"/>
        <w:rPr>
          <w:sz w:val="20"/>
          <w:szCs w:val="20"/>
          <w:color w:val="auto"/>
        </w:rPr>
      </w:pPr>
    </w:p>
    <w:p>
      <w:pPr>
        <w:ind w:left="620" w:right="40" w:firstLine="620"/>
        <w:spacing w:after="0" w:line="259" w:lineRule="auto"/>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For options granted prior to IPO in the year ended December 31, 2019, given the absence of a public</w:t>
      </w:r>
      <w:r>
        <w:rPr>
          <w:rFonts w:ascii="Arial" w:cs="Arial" w:eastAsia="Arial" w:hAnsi="Arial"/>
          <w:sz w:val="17"/>
          <w:szCs w:val="17"/>
          <w:i w:val="1"/>
          <w:iCs w:val="1"/>
          <w:color w:val="auto"/>
        </w:rPr>
        <w:t xml:space="preserve"> </w:t>
      </w:r>
      <w:r>
        <w:rPr>
          <w:rFonts w:ascii="Arial" w:cs="Arial" w:eastAsia="Arial" w:hAnsi="Arial"/>
          <w:sz w:val="17"/>
          <w:szCs w:val="17"/>
          <w:color w:val="auto"/>
        </w:rPr>
        <w:t>trading market, the Company’s board of directors with input from management considered numerous objective and subjective factors to determine the fair value of common stock. The factors included, but were not limited to: (i) third-party valuations of the Company’s common stock; (ii) the Company’s stage of development; (iii) the status of research and development efforts; (iv) the rights, preferences, and privileges of the Company’s convertible preferred stock relative to those of the Company’s common stock; (v) the Company’s operating results and financial condition, including the Company’s levels of available capital resources; (vi) equity market conditions affecting comparable public companies; (vii) general U.S. market conditions; and (viii) the lack of marketability of the Company’s common stock. For options granted after IPO, the Company uses its closing stock price as reported on Nasdaq on the grant date for the fair value of its stock.</w:t>
      </w:r>
    </w:p>
    <w:p>
      <w:pPr>
        <w:spacing w:after="0" w:line="96" w:lineRule="exact"/>
        <w:rPr>
          <w:sz w:val="20"/>
          <w:szCs w:val="20"/>
          <w:color w:val="auto"/>
        </w:rPr>
      </w:pPr>
    </w:p>
    <w:p>
      <w:pPr>
        <w:ind w:left="620" w:right="80" w:firstLine="620"/>
        <w:spacing w:after="0" w:line="272"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—The Company’s expected term represents the period that the Company’s stock-based awards are expected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The Company used the simplified method (based on the mid-point between the vesting date and the end of the contractual term) to determine the expected term.</w:t>
      </w:r>
    </w:p>
    <w:p>
      <w:pPr>
        <w:spacing w:after="0" w:line="98" w:lineRule="exact"/>
        <w:rPr>
          <w:sz w:val="20"/>
          <w:szCs w:val="20"/>
          <w:color w:val="auto"/>
        </w:rPr>
      </w:pPr>
    </w:p>
    <w:p>
      <w:pPr>
        <w:ind w:left="620" w:right="120" w:firstLine="620"/>
        <w:spacing w:after="0" w:line="261"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—The Company does not yet have sufficient trading history for its common stock to solely use its own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Therefore, the expected volatility was estimated based on a combination of its own historical common stock volatility as well as the average historical volatilities for comparable publicly traded pharmaceutical companies over a period equal to the expected term of the stock option grants. The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spacing w:after="0" w:line="107" w:lineRule="exact"/>
        <w:rPr>
          <w:sz w:val="20"/>
          <w:szCs w:val="20"/>
          <w:color w:val="auto"/>
        </w:rPr>
      </w:pPr>
    </w:p>
    <w:p>
      <w:pPr>
        <w:ind w:left="620" w:right="140" w:firstLine="620"/>
        <w:spacing w:after="0" w:line="291"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is based on the U.S. Treasury zero coupon issues in effect at the time of grant</w:t>
      </w:r>
      <w:r>
        <w:rPr>
          <w:rFonts w:ascii="Arial" w:cs="Arial" w:eastAsia="Arial" w:hAnsi="Arial"/>
          <w:sz w:val="17"/>
          <w:szCs w:val="17"/>
          <w:i w:val="1"/>
          <w:iCs w:val="1"/>
          <w:color w:val="auto"/>
        </w:rPr>
        <w:t xml:space="preserve"> </w:t>
      </w:r>
      <w:r>
        <w:rPr>
          <w:rFonts w:ascii="Arial" w:cs="Arial" w:eastAsia="Arial" w:hAnsi="Arial"/>
          <w:sz w:val="17"/>
          <w:szCs w:val="17"/>
          <w:color w:val="auto"/>
        </w:rPr>
        <w:t>for periods corresponding with the expected term of option.</w:t>
      </w:r>
    </w:p>
    <w:p>
      <w:pPr>
        <w:spacing w:after="0" w:line="69" w:lineRule="exact"/>
        <w:rPr>
          <w:sz w:val="20"/>
          <w:szCs w:val="20"/>
          <w:color w:val="auto"/>
        </w:rPr>
      </w:pPr>
    </w:p>
    <w:p>
      <w:pPr>
        <w:ind w:left="620" w:right="260" w:firstLine="620"/>
        <w:spacing w:after="0" w:line="291" w:lineRule="auto"/>
        <w:rPr>
          <w:sz w:val="20"/>
          <w:szCs w:val="20"/>
          <w:color w:val="auto"/>
        </w:rPr>
      </w:pPr>
      <w:r>
        <w:rPr>
          <w:rFonts w:ascii="Arial" w:cs="Arial" w:eastAsia="Arial" w:hAnsi="Arial"/>
          <w:sz w:val="17"/>
          <w:szCs w:val="17"/>
          <w:i w:val="1"/>
          <w:iCs w:val="1"/>
          <w:color w:val="auto"/>
        </w:rPr>
        <w:t>Dividend Yield</w:t>
      </w:r>
      <w:r>
        <w:rPr>
          <w:rFonts w:ascii="Arial" w:cs="Arial" w:eastAsia="Arial" w:hAnsi="Arial"/>
          <w:sz w:val="17"/>
          <w:szCs w:val="17"/>
          <w:color w:val="auto"/>
        </w:rPr>
        <w:t>—The Company has never paid dividends on its common stock and has no plans to pay dividends on its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Therefore, the Company used an expected dividend yield of zero.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7" w:name="page138"/>
    <w:bookmarkEnd w:id="1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560" w:firstLine="620"/>
        <w:spacing w:after="0" w:line="269" w:lineRule="auto"/>
        <w:rPr>
          <w:sz w:val="20"/>
          <w:szCs w:val="20"/>
          <w:color w:val="auto"/>
        </w:rPr>
      </w:pPr>
      <w:r>
        <w:rPr>
          <w:rFonts w:ascii="Arial" w:cs="Arial" w:eastAsia="Arial" w:hAnsi="Arial"/>
          <w:sz w:val="17"/>
          <w:szCs w:val="17"/>
          <w:color w:val="auto"/>
        </w:rPr>
        <w:t>The fair value of stock option awards granted was estimated at the date of grant using a Black-Scholes option-pricing model with the following assumptions: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3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74"/>
        </w:trPr>
        <w:tc>
          <w:tcPr>
            <w:tcW w:w="53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98"/>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78"/>
              <w:spacing w:after="0"/>
              <w:rPr>
                <w:sz w:val="20"/>
                <w:szCs w:val="20"/>
                <w:color w:val="auto"/>
              </w:rPr>
            </w:pPr>
            <w:r>
              <w:rPr>
                <w:rFonts w:ascii="Arial" w:cs="Arial" w:eastAsia="Arial" w:hAnsi="Arial"/>
                <w:sz w:val="14"/>
                <w:szCs w:val="14"/>
                <w:b w:val="1"/>
                <w:bCs w:val="1"/>
                <w:color w:val="auto"/>
                <w:w w:val="96"/>
              </w:rPr>
              <w:t>2019</w:t>
            </w:r>
          </w:p>
        </w:tc>
      </w:tr>
      <w:tr>
        <w:trPr>
          <w:trHeight w:val="238"/>
        </w:trPr>
        <w:tc>
          <w:tcPr>
            <w:tcW w:w="53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Expected term (in years)</w:t>
            </w:r>
          </w:p>
        </w:tc>
        <w:tc>
          <w:tcPr>
            <w:tcW w:w="1980" w:type="dxa"/>
            <w:vAlign w:val="bottom"/>
            <w:gridSpan w:val="3"/>
            <w:shd w:val="clear" w:color="auto" w:fill="CCEEFF"/>
          </w:tcPr>
          <w:p>
            <w:pPr>
              <w:jc w:val="center"/>
              <w:ind w:left="434"/>
              <w:spacing w:after="0"/>
              <w:rPr>
                <w:sz w:val="20"/>
                <w:szCs w:val="20"/>
                <w:color w:val="auto"/>
              </w:rPr>
            </w:pPr>
            <w:r>
              <w:rPr>
                <w:rFonts w:ascii="Arial" w:cs="Arial" w:eastAsia="Arial" w:hAnsi="Arial"/>
                <w:sz w:val="17"/>
                <w:szCs w:val="17"/>
                <w:color w:val="auto"/>
                <w:w w:val="99"/>
              </w:rPr>
              <w:t>5.5 – 6.2</w:t>
            </w:r>
          </w:p>
        </w:tc>
        <w:tc>
          <w:tcPr>
            <w:tcW w:w="244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rPr>
              <w:t>5.5 – 6.8</w:t>
            </w:r>
          </w:p>
        </w:tc>
        <w:tc>
          <w:tcPr>
            <w:tcW w:w="146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99"/>
              </w:rPr>
              <w:t>5.1 – 6.6</w:t>
            </w:r>
          </w:p>
        </w:tc>
      </w:tr>
      <w:tr>
        <w:trPr>
          <w:trHeight w:val="258"/>
        </w:trPr>
        <w:tc>
          <w:tcPr>
            <w:tcW w:w="5360" w:type="dxa"/>
            <w:vAlign w:val="bottom"/>
          </w:tcPr>
          <w:p>
            <w:pPr>
              <w:ind w:left="640"/>
              <w:spacing w:after="0"/>
              <w:rPr>
                <w:sz w:val="20"/>
                <w:szCs w:val="20"/>
                <w:color w:val="auto"/>
              </w:rPr>
            </w:pPr>
            <w:r>
              <w:rPr>
                <w:rFonts w:ascii="Arial" w:cs="Arial" w:eastAsia="Arial" w:hAnsi="Arial"/>
                <w:sz w:val="17"/>
                <w:szCs w:val="17"/>
                <w:color w:val="auto"/>
              </w:rPr>
              <w:t>Expected volatility</w:t>
            </w:r>
          </w:p>
        </w:tc>
        <w:tc>
          <w:tcPr>
            <w:tcW w:w="1080" w:type="dxa"/>
            <w:vAlign w:val="bottom"/>
          </w:tcPr>
          <w:p>
            <w:pPr>
              <w:jc w:val="right"/>
              <w:spacing w:after="0"/>
              <w:rPr>
                <w:sz w:val="20"/>
                <w:szCs w:val="20"/>
                <w:color w:val="auto"/>
              </w:rPr>
            </w:pPr>
            <w:r>
              <w:rPr>
                <w:rFonts w:ascii="Arial" w:cs="Arial" w:eastAsia="Arial" w:hAnsi="Arial"/>
                <w:sz w:val="17"/>
                <w:szCs w:val="17"/>
                <w:color w:val="auto"/>
              </w:rPr>
              <w:t>80.6</w:t>
            </w:r>
          </w:p>
        </w:tc>
        <w:tc>
          <w:tcPr>
            <w:tcW w:w="900" w:type="dxa"/>
            <w:vAlign w:val="bottom"/>
            <w:gridSpan w:val="2"/>
          </w:tcPr>
          <w:p>
            <w:pPr>
              <w:ind w:left="40"/>
              <w:spacing w:after="0"/>
              <w:rPr>
                <w:sz w:val="20"/>
                <w:szCs w:val="20"/>
                <w:color w:val="auto"/>
              </w:rPr>
            </w:pPr>
            <w:r>
              <w:rPr>
                <w:rFonts w:ascii="Arial" w:cs="Arial" w:eastAsia="Arial" w:hAnsi="Arial"/>
                <w:sz w:val="17"/>
                <w:szCs w:val="17"/>
                <w:color w:val="auto"/>
              </w:rPr>
              <w:t>– 85.2%</w:t>
            </w:r>
          </w:p>
        </w:tc>
        <w:tc>
          <w:tcPr>
            <w:tcW w:w="1100" w:type="dxa"/>
            <w:vAlign w:val="bottom"/>
          </w:tcPr>
          <w:p>
            <w:pPr>
              <w:jc w:val="right"/>
              <w:spacing w:after="0"/>
              <w:rPr>
                <w:sz w:val="20"/>
                <w:szCs w:val="20"/>
                <w:color w:val="auto"/>
              </w:rPr>
            </w:pPr>
            <w:r>
              <w:rPr>
                <w:rFonts w:ascii="Arial" w:cs="Arial" w:eastAsia="Arial" w:hAnsi="Arial"/>
                <w:sz w:val="17"/>
                <w:szCs w:val="17"/>
                <w:color w:val="auto"/>
              </w:rPr>
              <w:t>78.4</w:t>
            </w:r>
          </w:p>
        </w:tc>
        <w:tc>
          <w:tcPr>
            <w:tcW w:w="1340" w:type="dxa"/>
            <w:vAlign w:val="bottom"/>
            <w:gridSpan w:val="3"/>
          </w:tcPr>
          <w:p>
            <w:pPr>
              <w:ind w:left="40"/>
              <w:spacing w:after="0"/>
              <w:rPr>
                <w:sz w:val="20"/>
                <w:szCs w:val="20"/>
                <w:color w:val="auto"/>
              </w:rPr>
            </w:pPr>
            <w:r>
              <w:rPr>
                <w:rFonts w:ascii="Arial" w:cs="Arial" w:eastAsia="Arial" w:hAnsi="Arial"/>
                <w:sz w:val="17"/>
                <w:szCs w:val="17"/>
                <w:color w:val="auto"/>
              </w:rPr>
              <w:t>– 80.8%</w:t>
            </w:r>
          </w:p>
        </w:tc>
        <w:tc>
          <w:tcPr>
            <w:tcW w:w="660" w:type="dxa"/>
            <w:vAlign w:val="bottom"/>
          </w:tcPr>
          <w:p>
            <w:pPr>
              <w:jc w:val="right"/>
              <w:spacing w:after="0"/>
              <w:rPr>
                <w:sz w:val="20"/>
                <w:szCs w:val="20"/>
                <w:color w:val="auto"/>
              </w:rPr>
            </w:pPr>
            <w:r>
              <w:rPr>
                <w:rFonts w:ascii="Arial" w:cs="Arial" w:eastAsia="Arial" w:hAnsi="Arial"/>
                <w:sz w:val="17"/>
                <w:szCs w:val="17"/>
                <w:color w:val="auto"/>
              </w:rPr>
              <w:t>68.6</w:t>
            </w:r>
          </w:p>
        </w:tc>
        <w:tc>
          <w:tcPr>
            <w:tcW w:w="800" w:type="dxa"/>
            <w:vAlign w:val="bottom"/>
          </w:tcPr>
          <w:p>
            <w:pPr>
              <w:ind w:left="40"/>
              <w:spacing w:after="0"/>
              <w:rPr>
                <w:sz w:val="20"/>
                <w:szCs w:val="20"/>
                <w:color w:val="auto"/>
              </w:rPr>
            </w:pPr>
            <w:r>
              <w:rPr>
                <w:rFonts w:ascii="Arial" w:cs="Arial" w:eastAsia="Arial" w:hAnsi="Arial"/>
                <w:sz w:val="17"/>
                <w:szCs w:val="17"/>
                <w:color w:val="auto"/>
              </w:rPr>
              <w:t>– 72.5%</w:t>
            </w:r>
          </w:p>
        </w:tc>
      </w:tr>
      <w:tr>
        <w:trPr>
          <w:trHeight w:val="258"/>
        </w:trPr>
        <w:tc>
          <w:tcPr>
            <w:tcW w:w="53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Risk-free interest rate</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1.3%</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3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1.4%</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2.6%</w:t>
            </w:r>
          </w:p>
        </w:tc>
      </w:tr>
      <w:tr>
        <w:trPr>
          <w:trHeight w:val="259"/>
        </w:trPr>
        <w:tc>
          <w:tcPr>
            <w:tcW w:w="5360" w:type="dxa"/>
            <w:vAlign w:val="bottom"/>
          </w:tcPr>
          <w:p>
            <w:pPr>
              <w:ind w:left="640"/>
              <w:spacing w:after="0"/>
              <w:rPr>
                <w:sz w:val="20"/>
                <w:szCs w:val="20"/>
                <w:color w:val="auto"/>
              </w:rPr>
            </w:pPr>
            <w:r>
              <w:rPr>
                <w:rFonts w:ascii="Arial" w:cs="Arial" w:eastAsia="Arial" w:hAnsi="Arial"/>
                <w:sz w:val="17"/>
                <w:szCs w:val="17"/>
                <w:color w:val="auto"/>
              </w:rPr>
              <w:t>Dividend yield</w:t>
            </w:r>
          </w:p>
        </w:tc>
        <w:tc>
          <w:tcPr>
            <w:tcW w:w="1080" w:type="dxa"/>
            <w:vAlign w:val="bottom"/>
          </w:tcPr>
          <w:p>
            <w:pPr>
              <w:spacing w:after="0"/>
              <w:rPr>
                <w:sz w:val="22"/>
                <w:szCs w:val="22"/>
                <w:color w:val="auto"/>
              </w:rPr>
            </w:pPr>
          </w:p>
        </w:tc>
        <w:tc>
          <w:tcPr>
            <w:tcW w:w="900" w:type="dxa"/>
            <w:vAlign w:val="bottom"/>
            <w:gridSpan w:val="2"/>
          </w:tcPr>
          <w:p>
            <w:pPr>
              <w:jc w:val="center"/>
              <w:ind w:right="5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2"/>
                <w:szCs w:val="22"/>
                <w:color w:val="auto"/>
              </w:rPr>
            </w:pPr>
          </w:p>
        </w:tc>
        <w:tc>
          <w:tcPr>
            <w:tcW w:w="1340" w:type="dxa"/>
            <w:vAlign w:val="bottom"/>
            <w:gridSpan w:val="3"/>
          </w:tcPr>
          <w:p>
            <w:pPr>
              <w:jc w:val="center"/>
              <w:ind w:right="1020"/>
              <w:spacing w:after="0"/>
              <w:rPr>
                <w:sz w:val="20"/>
                <w:szCs w:val="20"/>
                <w:color w:val="auto"/>
              </w:rPr>
            </w:pPr>
            <w:r>
              <w:rPr>
                <w:rFonts w:ascii="Arial" w:cs="Arial" w:eastAsia="Arial" w:hAnsi="Arial"/>
                <w:sz w:val="17"/>
                <w:szCs w:val="17"/>
                <w:color w:val="auto"/>
                <w:w w:val="99"/>
              </w:rPr>
              <w:t>—%</w:t>
            </w:r>
          </w:p>
        </w:tc>
        <w:tc>
          <w:tcPr>
            <w:tcW w:w="660" w:type="dxa"/>
            <w:vAlign w:val="bottom"/>
          </w:tcPr>
          <w:p>
            <w:pPr>
              <w:spacing w:after="0"/>
              <w:rPr>
                <w:sz w:val="22"/>
                <w:szCs w:val="22"/>
                <w:color w:val="auto"/>
              </w:rPr>
            </w:pPr>
          </w:p>
        </w:tc>
        <w:tc>
          <w:tcPr>
            <w:tcW w:w="800" w:type="dxa"/>
            <w:vAlign w:val="bottom"/>
          </w:tcPr>
          <w:p>
            <w:pPr>
              <w:jc w:val="center"/>
              <w:ind w:right="398"/>
              <w:spacing w:after="0"/>
              <w:rPr>
                <w:sz w:val="20"/>
                <w:szCs w:val="20"/>
                <w:color w:val="auto"/>
              </w:rPr>
            </w:pPr>
            <w:r>
              <w:rPr>
                <w:rFonts w:ascii="Arial" w:cs="Arial" w:eastAsia="Arial" w:hAnsi="Arial"/>
                <w:sz w:val="17"/>
                <w:szCs w:val="17"/>
                <w:color w:val="auto"/>
                <w:w w:val="99"/>
              </w:rPr>
              <w:t>—%</w:t>
            </w:r>
          </w:p>
        </w:tc>
      </w:tr>
    </w:tbl>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Early Exercise of Employee Options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terms of the 2017 and 2020 Plans permit certain option holders to exercise options before their options are vested, subject to certain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limitations. Upon early exercise, the awards become subject to a restricted stock agreement. The shares of restricted stock granted upon early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exercise of the options are subject to the same vesting provisions in the original stock option awards. Shares issued as a result of early exercise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that have not vested are subject to repurchase by the Company upon termination of the purchaser’s employment, at the price paid by the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purchaser. While such shares have been issued, they are not considered outstanding for accounting purposes until they vest and are therefore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excluded from shares used in determining loss per share until the repurchase right lapses and the shares are no longer subject to the repurchase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feature. The liability is reclassified into common stock and additional paid-in capital as the shares vest and the repurchase right lapses. Accordingly,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recorded the unvested portion of the exercise proceeds of $82,000 and $258,000 as a liability from the early exercise in the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accompanying balance sheets as of December 31, 2021 and 2020, respectively. As of December 31, 2021 and 2020, there were $57,000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$176,000 recorded in accrued liabilities, respectively, and $25,000 and $82,000 recorded in other long-term liabilities, respectively related to shares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that were subject to repurchase.</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Founder Awards</w:t>
      </w:r>
    </w:p>
    <w:p>
      <w:pPr>
        <w:spacing w:after="0" w:line="173" w:lineRule="exact"/>
        <w:rPr>
          <w:sz w:val="20"/>
          <w:szCs w:val="20"/>
          <w:color w:val="auto"/>
        </w:rPr>
      </w:pPr>
    </w:p>
    <w:p>
      <w:pPr>
        <w:ind w:right="60" w:firstLine="620"/>
        <w:spacing w:after="0" w:line="256" w:lineRule="auto"/>
        <w:rPr>
          <w:sz w:val="20"/>
          <w:szCs w:val="20"/>
          <w:color w:val="auto"/>
        </w:rPr>
      </w:pPr>
      <w:r>
        <w:rPr>
          <w:rFonts w:ascii="Arial" w:cs="Arial" w:eastAsia="Arial" w:hAnsi="Arial"/>
          <w:sz w:val="17"/>
          <w:szCs w:val="17"/>
          <w:color w:val="auto"/>
        </w:rPr>
        <w:t>In August 2016, the Company issued 1,187,738 shares of restricted common stock to founders, of which 1,102,903 shares would vest under a service condition, and 84,835 shares would vest under a performance condition. The shares were issued under the terms of the respective restricted stock purchase agreements, or the Stock Purchase Agreement, and unvested shares were subject to repurchase by the Company at the original purchase price per share upon the holder’s termination of his relationship with the Company. The restricted shares were not considered outstanding for accounting purposes until they vested and are therefore excluded from shares used in determining loss per share until the repurchase right lapses and the shares are no longer subject to the repurchase feature. One-fourth of the 1,102,903 shares of restricted common stock were vested on the first-anniversary date and the remaining 827,177 shares vested on a monthly basis thereafter. All shares of restricted stock subject to the award were vested as of June 30, 2020.</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160" w:lineRule="exact"/>
        <w:rPr>
          <w:sz w:val="20"/>
          <w:szCs w:val="20"/>
          <w:color w:val="auto"/>
        </w:rPr>
      </w:pPr>
    </w:p>
    <w:p>
      <w:pPr>
        <w:ind w:right="100" w:firstLine="620"/>
        <w:spacing w:after="0" w:line="256" w:lineRule="auto"/>
        <w:rPr>
          <w:sz w:val="20"/>
          <w:szCs w:val="20"/>
          <w:color w:val="auto"/>
        </w:rPr>
      </w:pPr>
      <w:r>
        <w:rPr>
          <w:rFonts w:ascii="Arial" w:cs="Arial" w:eastAsia="Arial" w:hAnsi="Arial"/>
          <w:sz w:val="17"/>
          <w:szCs w:val="17"/>
          <w:color w:val="auto"/>
        </w:rPr>
        <w:t>The Company adopted the 2020 Employee Stock Purchase Plan, or the ESPP, which became effective on January 30, 2020 in connection with the IPO. The ESPP is designed to allow the Company’s eligible employees to purchase shares of the Company’s common stock, at semi-annual intervals, with their accumulated payroll deductions. Under the ESPP, participants are offered the option to purchase shares of the Company’s common stock at a discount during a series of successive offering periods. The option purchase price will be the lower of 85% of the closing trading price per share of the Company’s common stock on the first trading date of an offering period in which a participant is enrolled or 85% of the closing trading price per share on the purchase date, which will occur on the last trading day of each offering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8" w:name="page139"/>
    <w:bookmarkEnd w:id="1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00" w:firstLine="620"/>
        <w:spacing w:after="0" w:line="256" w:lineRule="auto"/>
        <w:rPr>
          <w:sz w:val="20"/>
          <w:szCs w:val="20"/>
          <w:color w:val="auto"/>
        </w:rPr>
      </w:pPr>
      <w:r>
        <w:rPr>
          <w:rFonts w:ascii="Arial" w:cs="Arial" w:eastAsia="Arial" w:hAnsi="Arial"/>
          <w:sz w:val="17"/>
          <w:szCs w:val="17"/>
          <w:color w:val="auto"/>
        </w:rPr>
        <w:t>The ESPP is intended to qualify under Section 423 of the U.S. Internal Revenue Service Code of 1986, as amended. The maximum number of the Company’s common stock which will be authorized for sale under the ESPP is equal to the sum of (a) 351,000 shares of common stock and (b) an annual increase on the first day of each year beginning in 2021 and ending in 2030, equal to the lesser of (i) 1% of the shares of common stock outstanding (on an as converted basis) on the last day of the immediately preceding fiscal year and (ii) such number of shares of common stock as determined by the Company’s board of directors; provided, however, no more than 5,265,000 shares of the Company’s common stock may be issued under the ESPP. Accordingly, on January 1, 2022 and 2021, the ESPP reserve increased by 503,457 and 436,778 shares, respectively.</w:t>
      </w:r>
    </w:p>
    <w:p>
      <w:pPr>
        <w:spacing w:after="0" w:line="325" w:lineRule="exact"/>
        <w:rPr>
          <w:sz w:val="20"/>
          <w:szCs w:val="20"/>
          <w:color w:val="auto"/>
        </w:rPr>
      </w:pPr>
    </w:p>
    <w:p>
      <w:pPr>
        <w:ind w:right="160" w:firstLine="620"/>
        <w:spacing w:after="0" w:line="269" w:lineRule="auto"/>
        <w:rPr>
          <w:sz w:val="20"/>
          <w:szCs w:val="20"/>
          <w:color w:val="auto"/>
        </w:rPr>
      </w:pPr>
      <w:r>
        <w:rPr>
          <w:rFonts w:ascii="Arial" w:cs="Arial" w:eastAsia="Arial" w:hAnsi="Arial"/>
          <w:sz w:val="17"/>
          <w:szCs w:val="17"/>
          <w:color w:val="auto"/>
        </w:rPr>
        <w:t>Stock-based compensation expense related to the ESPP was $442,000 and $346,000 for the years ended December 31, 2021 and 2020, respectively. As of December 31, 2021, 82,703 shares of stock have been issued under the ESPP.</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11. Income Taxes</w:t>
      </w:r>
    </w:p>
    <w:p>
      <w:pPr>
        <w:spacing w:after="0" w:line="173" w:lineRule="exact"/>
        <w:rPr>
          <w:sz w:val="20"/>
          <w:szCs w:val="20"/>
          <w:color w:val="auto"/>
        </w:rPr>
      </w:pPr>
    </w:p>
    <w:p>
      <w:pPr>
        <w:ind w:right="260" w:firstLine="620"/>
        <w:spacing w:after="0" w:line="269" w:lineRule="auto"/>
        <w:rPr>
          <w:sz w:val="20"/>
          <w:szCs w:val="20"/>
          <w:color w:val="auto"/>
        </w:rPr>
      </w:pPr>
      <w:r>
        <w:rPr>
          <w:rFonts w:ascii="Arial" w:cs="Arial" w:eastAsia="Arial" w:hAnsi="Arial"/>
          <w:sz w:val="17"/>
          <w:szCs w:val="17"/>
          <w:color w:val="auto"/>
        </w:rPr>
        <w:t>No provision for income taxes was recorded for the years ended December 31, 2021, 2020 and 2019. The Company has incurred NOLs only in the United States since its inception. The Company has not reflected any benefit of such NOL carryforwards in the financial statements.</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Reconciliation of income tax computed at federal statutory rates to the reported provision for income taxes is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7"/>
              </w:rPr>
              <w:t>Year Ended December 31,</w:t>
            </w:r>
          </w:p>
        </w:tc>
        <w:tc>
          <w:tcPr>
            <w:tcW w:w="9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4"/>
        </w:trPr>
        <w:tc>
          <w:tcPr>
            <w:tcW w:w="50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38"/>
        </w:trPr>
        <w:tc>
          <w:tcPr>
            <w:tcW w:w="5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Tax provision at U.S. statutory rate</w:t>
            </w:r>
          </w:p>
        </w:tc>
        <w:tc>
          <w:tcPr>
            <w:tcW w:w="9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(43,336)</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(28,493)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(8,819)</w:t>
            </w:r>
          </w:p>
        </w:tc>
      </w:tr>
      <w:tr>
        <w:trPr>
          <w:trHeight w:val="258"/>
        </w:trPr>
        <w:tc>
          <w:tcPr>
            <w:tcW w:w="5020" w:type="dxa"/>
            <w:vAlign w:val="bottom"/>
          </w:tcPr>
          <w:p>
            <w:pPr>
              <w:ind w:left="640"/>
              <w:spacing w:after="0"/>
              <w:rPr>
                <w:sz w:val="20"/>
                <w:szCs w:val="20"/>
                <w:color w:val="auto"/>
              </w:rPr>
            </w:pPr>
            <w:r>
              <w:rPr>
                <w:rFonts w:ascii="Arial" w:cs="Arial" w:eastAsia="Arial" w:hAnsi="Arial"/>
                <w:sz w:val="17"/>
                <w:szCs w:val="17"/>
                <w:color w:val="auto"/>
              </w:rPr>
              <w:t>State income taxes, net of federal benefit</w:t>
            </w:r>
          </w:p>
        </w:tc>
        <w:tc>
          <w:tcPr>
            <w:tcW w:w="9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(13,394)</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(9,213)</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(2,786)</w:t>
            </w:r>
          </w:p>
        </w:tc>
      </w:tr>
      <w:tr>
        <w:trPr>
          <w:trHeight w:val="258"/>
        </w:trPr>
        <w:tc>
          <w:tcPr>
            <w:tcW w:w="5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Research and development tax and other credits</w:t>
            </w:r>
          </w:p>
        </w:tc>
        <w:tc>
          <w:tcPr>
            <w:tcW w:w="9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(2,497)</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(2,413)</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r>
      <w:tr>
        <w:trPr>
          <w:trHeight w:val="258"/>
        </w:trPr>
        <w:tc>
          <w:tcPr>
            <w:tcW w:w="5020" w:type="dxa"/>
            <w:vAlign w:val="bottom"/>
          </w:tcPr>
          <w:p>
            <w:pPr>
              <w:ind w:left="640"/>
              <w:spacing w:after="0"/>
              <w:rPr>
                <w:sz w:val="20"/>
                <w:szCs w:val="20"/>
                <w:color w:val="auto"/>
              </w:rPr>
            </w:pPr>
            <w:r>
              <w:rPr>
                <w:rFonts w:ascii="Arial" w:cs="Arial" w:eastAsia="Arial" w:hAnsi="Arial"/>
                <w:sz w:val="17"/>
                <w:szCs w:val="17"/>
                <w:color w:val="auto"/>
              </w:rPr>
              <w:t>Change in valuation allowance</w:t>
            </w:r>
          </w:p>
        </w:tc>
        <w:tc>
          <w:tcPr>
            <w:tcW w:w="9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44,675</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30,708</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9,598</w:t>
            </w:r>
          </w:p>
        </w:tc>
      </w:tr>
      <w:tr>
        <w:trPr>
          <w:trHeight w:val="258"/>
        </w:trPr>
        <w:tc>
          <w:tcPr>
            <w:tcW w:w="5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Uncertain tax positions</w:t>
            </w:r>
          </w:p>
        </w:tc>
        <w:tc>
          <w:tcPr>
            <w:tcW w:w="9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12,562</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2,604</w:t>
            </w:r>
          </w:p>
        </w:tc>
      </w:tr>
      <w:tr>
        <w:trPr>
          <w:trHeight w:val="258"/>
        </w:trPr>
        <w:tc>
          <w:tcPr>
            <w:tcW w:w="5020" w:type="dxa"/>
            <w:vAlign w:val="bottom"/>
          </w:tcPr>
          <w:p>
            <w:pPr>
              <w:ind w:left="640"/>
              <w:spacing w:after="0"/>
              <w:rPr>
                <w:sz w:val="20"/>
                <w:szCs w:val="20"/>
                <w:color w:val="auto"/>
              </w:rPr>
            </w:pPr>
            <w:r>
              <w:rPr>
                <w:rFonts w:ascii="Arial" w:cs="Arial" w:eastAsia="Arial" w:hAnsi="Arial"/>
                <w:sz w:val="17"/>
                <w:szCs w:val="17"/>
                <w:color w:val="auto"/>
              </w:rPr>
              <w:t>Permanent differences</w:t>
            </w:r>
          </w:p>
        </w:tc>
        <w:tc>
          <w:tcPr>
            <w:tcW w:w="9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1,243</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616</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58"/>
        </w:trPr>
        <w:tc>
          <w:tcPr>
            <w:tcW w:w="5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162(m) limitation</w:t>
            </w:r>
          </w:p>
        </w:tc>
        <w:tc>
          <w:tcPr>
            <w:tcW w:w="9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0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Other</w:t>
            </w:r>
          </w:p>
        </w:tc>
        <w:tc>
          <w:tcPr>
            <w:tcW w:w="9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50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7"/>
                <w:szCs w:val="17"/>
                <w:color w:val="auto"/>
              </w:rPr>
              <w:t>Provision for income tax</w:t>
            </w:r>
          </w:p>
        </w:tc>
        <w:tc>
          <w:tcPr>
            <w:tcW w:w="9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5020" w:type="dxa"/>
            <w:vAlign w:val="bottom"/>
          </w:tcPr>
          <w:p>
            <w:pPr>
              <w:spacing w:after="0"/>
              <w:rPr>
                <w:sz w:val="24"/>
                <w:szCs w:val="24"/>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F-25</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9"/>
        </w:trPr>
        <w:tc>
          <w:tcPr>
            <w:tcW w:w="50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9" w:name="page140"/>
    <w:bookmarkEnd w:id="1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Significant components of the Company’s deferred income taxes were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1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5"/>
                <w:szCs w:val="15"/>
                <w:color w:val="auto"/>
              </w:rPr>
            </w:pPr>
          </w:p>
        </w:tc>
      </w:tr>
      <w:tr>
        <w:trPr>
          <w:trHeight w:val="174"/>
        </w:trPr>
        <w:tc>
          <w:tcPr>
            <w:tcW w:w="612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2020</w:t>
            </w:r>
          </w:p>
        </w:tc>
      </w:tr>
      <w:tr>
        <w:trPr>
          <w:trHeight w:val="200"/>
        </w:trPr>
        <w:tc>
          <w:tcPr>
            <w:tcW w:w="61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Deferred tax assets:</w:t>
            </w:r>
          </w:p>
        </w:tc>
        <w:tc>
          <w:tcPr>
            <w:tcW w:w="1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58"/>
        </w:trPr>
        <w:tc>
          <w:tcPr>
            <w:tcW w:w="6120" w:type="dxa"/>
            <w:vAlign w:val="bottom"/>
          </w:tcPr>
          <w:p>
            <w:pPr>
              <w:ind w:left="960"/>
              <w:spacing w:after="0"/>
              <w:rPr>
                <w:sz w:val="20"/>
                <w:szCs w:val="20"/>
                <w:color w:val="auto"/>
              </w:rPr>
            </w:pPr>
            <w:r>
              <w:rPr>
                <w:rFonts w:ascii="Arial" w:cs="Arial" w:eastAsia="Arial" w:hAnsi="Arial"/>
                <w:sz w:val="17"/>
                <w:szCs w:val="17"/>
                <w:color w:val="auto"/>
              </w:rPr>
              <w:t>Net operating loss carryforwards</w:t>
            </w:r>
          </w:p>
        </w:tc>
        <w:tc>
          <w:tcPr>
            <w:tcW w:w="1780" w:type="dxa"/>
            <w:vAlign w:val="bottom"/>
          </w:tcPr>
          <w:p>
            <w:pPr>
              <w:jc w:val="right"/>
              <w:ind w:right="97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76,202</w:t>
            </w:r>
          </w:p>
        </w:tc>
        <w:tc>
          <w:tcPr>
            <w:tcW w:w="100" w:type="dxa"/>
            <w:vAlign w:val="bottom"/>
          </w:tcPr>
          <w:p>
            <w:pPr>
              <w:spacing w:after="0"/>
              <w:rPr>
                <w:sz w:val="22"/>
                <w:szCs w:val="22"/>
                <w:color w:val="auto"/>
              </w:rPr>
            </w:pPr>
          </w:p>
        </w:tc>
        <w:tc>
          <w:tcPr>
            <w:tcW w:w="108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38,196</w:t>
            </w:r>
          </w:p>
        </w:tc>
      </w:tr>
      <w:tr>
        <w:trPr>
          <w:trHeight w:val="220"/>
        </w:trPr>
        <w:tc>
          <w:tcPr>
            <w:tcW w:w="6120" w:type="dxa"/>
            <w:vAlign w:val="bottom"/>
            <w:shd w:val="clear" w:color="auto" w:fill="CCEEFF"/>
          </w:tcPr>
          <w:p>
            <w:pPr>
              <w:ind w:left="960"/>
              <w:spacing w:after="0"/>
              <w:rPr>
                <w:sz w:val="20"/>
                <w:szCs w:val="20"/>
                <w:color w:val="auto"/>
              </w:rPr>
            </w:pPr>
            <w:r>
              <w:rPr>
                <w:rFonts w:ascii="Arial" w:cs="Arial" w:eastAsia="Arial" w:hAnsi="Arial"/>
                <w:sz w:val="17"/>
                <w:szCs w:val="17"/>
                <w:color w:val="auto"/>
              </w:rPr>
              <w:t>Intangibles</w:t>
            </w:r>
          </w:p>
        </w:tc>
        <w:tc>
          <w:tcPr>
            <w:tcW w:w="17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1,777</w:t>
            </w:r>
          </w:p>
        </w:tc>
      </w:tr>
      <w:tr>
        <w:trPr>
          <w:trHeight w:val="258"/>
        </w:trPr>
        <w:tc>
          <w:tcPr>
            <w:tcW w:w="6120" w:type="dxa"/>
            <w:vAlign w:val="bottom"/>
          </w:tcPr>
          <w:p>
            <w:pPr>
              <w:ind w:left="960"/>
              <w:spacing w:after="0"/>
              <w:rPr>
                <w:sz w:val="20"/>
                <w:szCs w:val="20"/>
                <w:color w:val="auto"/>
              </w:rPr>
            </w:pPr>
            <w:r>
              <w:rPr>
                <w:rFonts w:ascii="Arial" w:cs="Arial" w:eastAsia="Arial" w:hAnsi="Arial"/>
                <w:sz w:val="17"/>
                <w:szCs w:val="17"/>
                <w:color w:val="auto"/>
              </w:rPr>
              <w:t>Research and development tax credits</w:t>
            </w:r>
          </w:p>
        </w:tc>
        <w:tc>
          <w:tcPr>
            <w:tcW w:w="17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5,832</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3,370</w:t>
            </w:r>
          </w:p>
        </w:tc>
      </w:tr>
      <w:tr>
        <w:trPr>
          <w:trHeight w:val="220"/>
        </w:trPr>
        <w:tc>
          <w:tcPr>
            <w:tcW w:w="6120" w:type="dxa"/>
            <w:vAlign w:val="bottom"/>
            <w:shd w:val="clear" w:color="auto" w:fill="CCEEFF"/>
          </w:tcPr>
          <w:p>
            <w:pPr>
              <w:ind w:left="960"/>
              <w:spacing w:after="0"/>
              <w:rPr>
                <w:sz w:val="20"/>
                <w:szCs w:val="20"/>
                <w:color w:val="auto"/>
              </w:rPr>
            </w:pPr>
            <w:r>
              <w:rPr>
                <w:rFonts w:ascii="Arial" w:cs="Arial" w:eastAsia="Arial" w:hAnsi="Arial"/>
                <w:sz w:val="17"/>
                <w:szCs w:val="17"/>
                <w:color w:val="auto"/>
              </w:rPr>
              <w:t>Accruals and reserves</w:t>
            </w:r>
          </w:p>
        </w:tc>
        <w:tc>
          <w:tcPr>
            <w:tcW w:w="17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w:t>
            </w:r>
          </w:p>
        </w:tc>
      </w:tr>
      <w:tr>
        <w:trPr>
          <w:trHeight w:val="258"/>
        </w:trPr>
        <w:tc>
          <w:tcPr>
            <w:tcW w:w="6120" w:type="dxa"/>
            <w:vAlign w:val="bottom"/>
          </w:tcPr>
          <w:p>
            <w:pPr>
              <w:ind w:left="960"/>
              <w:spacing w:after="0"/>
              <w:rPr>
                <w:sz w:val="20"/>
                <w:szCs w:val="20"/>
                <w:color w:val="auto"/>
              </w:rPr>
            </w:pPr>
            <w:r>
              <w:rPr>
                <w:rFonts w:ascii="Arial" w:cs="Arial" w:eastAsia="Arial" w:hAnsi="Arial"/>
                <w:sz w:val="17"/>
                <w:szCs w:val="17"/>
                <w:color w:val="auto"/>
              </w:rPr>
              <w:t>Right-of-use liability</w:t>
            </w:r>
          </w:p>
        </w:tc>
        <w:tc>
          <w:tcPr>
            <w:tcW w:w="17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1,336</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1,274</w:t>
            </w:r>
          </w:p>
        </w:tc>
      </w:tr>
      <w:tr>
        <w:trPr>
          <w:trHeight w:val="220"/>
        </w:trPr>
        <w:tc>
          <w:tcPr>
            <w:tcW w:w="6120" w:type="dxa"/>
            <w:vAlign w:val="bottom"/>
            <w:shd w:val="clear" w:color="auto" w:fill="CCEEFF"/>
          </w:tcPr>
          <w:p>
            <w:pPr>
              <w:ind w:left="960"/>
              <w:spacing w:after="0"/>
              <w:rPr>
                <w:sz w:val="20"/>
                <w:szCs w:val="20"/>
                <w:color w:val="auto"/>
              </w:rPr>
            </w:pPr>
            <w:r>
              <w:rPr>
                <w:rFonts w:ascii="Arial" w:cs="Arial" w:eastAsia="Arial" w:hAnsi="Arial"/>
                <w:sz w:val="17"/>
                <w:szCs w:val="17"/>
                <w:color w:val="auto"/>
              </w:rPr>
              <w:t>Stock-based compensation</w:t>
            </w:r>
          </w:p>
        </w:tc>
        <w:tc>
          <w:tcPr>
            <w:tcW w:w="17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4,126</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w:t>
            </w:r>
          </w:p>
        </w:tc>
      </w:tr>
      <w:tr>
        <w:trPr>
          <w:trHeight w:val="213"/>
        </w:trPr>
        <w:tc>
          <w:tcPr>
            <w:tcW w:w="6120" w:type="dxa"/>
            <w:vAlign w:val="bottom"/>
          </w:tcPr>
          <w:p>
            <w:pPr>
              <w:ind w:left="1260"/>
              <w:spacing w:after="0"/>
              <w:rPr>
                <w:sz w:val="20"/>
                <w:szCs w:val="20"/>
                <w:color w:val="auto"/>
              </w:rPr>
            </w:pPr>
            <w:r>
              <w:rPr>
                <w:rFonts w:ascii="Arial" w:cs="Arial" w:eastAsia="Arial" w:hAnsi="Arial"/>
                <w:sz w:val="17"/>
                <w:szCs w:val="17"/>
                <w:color w:val="auto"/>
              </w:rPr>
              <w:t>Gross deferred tax assets</w:t>
            </w:r>
          </w:p>
        </w:tc>
        <w:tc>
          <w:tcPr>
            <w:tcW w:w="1780" w:type="dxa"/>
            <w:vAlign w:val="bottom"/>
          </w:tcPr>
          <w:p>
            <w:pPr>
              <w:jc w:val="right"/>
              <w:ind w:right="97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91,440</w:t>
            </w:r>
          </w:p>
        </w:tc>
        <w:tc>
          <w:tcPr>
            <w:tcW w:w="100" w:type="dxa"/>
            <w:vAlign w:val="bottom"/>
          </w:tcPr>
          <w:p>
            <w:pPr>
              <w:spacing w:after="0"/>
              <w:rPr>
                <w:sz w:val="18"/>
                <w:szCs w:val="18"/>
                <w:color w:val="auto"/>
              </w:rPr>
            </w:pPr>
          </w:p>
        </w:tc>
        <w:tc>
          <w:tcPr>
            <w:tcW w:w="108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46,780</w:t>
            </w:r>
          </w:p>
        </w:tc>
      </w:tr>
      <w:tr>
        <w:trPr>
          <w:trHeight w:val="258"/>
        </w:trPr>
        <w:tc>
          <w:tcPr>
            <w:tcW w:w="61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20"/>
        </w:trPr>
        <w:tc>
          <w:tcPr>
            <w:tcW w:w="6120" w:type="dxa"/>
            <w:vAlign w:val="bottom"/>
          </w:tcPr>
          <w:p>
            <w:pPr>
              <w:ind w:left="640"/>
              <w:spacing w:after="0"/>
              <w:rPr>
                <w:sz w:val="20"/>
                <w:szCs w:val="20"/>
                <w:color w:val="auto"/>
              </w:rPr>
            </w:pPr>
            <w:r>
              <w:rPr>
                <w:rFonts w:ascii="Arial" w:cs="Arial" w:eastAsia="Arial" w:hAnsi="Arial"/>
                <w:sz w:val="17"/>
                <w:szCs w:val="17"/>
                <w:color w:val="auto"/>
              </w:rPr>
              <w:t>Deferred tax liabilities:</w:t>
            </w:r>
          </w:p>
        </w:tc>
        <w:tc>
          <w:tcPr>
            <w:tcW w:w="1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8"/>
        </w:trPr>
        <w:tc>
          <w:tcPr>
            <w:tcW w:w="6120" w:type="dxa"/>
            <w:vAlign w:val="bottom"/>
            <w:shd w:val="clear" w:color="auto" w:fill="CCEEFF"/>
          </w:tcPr>
          <w:p>
            <w:pPr>
              <w:ind w:left="960"/>
              <w:spacing w:after="0"/>
              <w:rPr>
                <w:sz w:val="20"/>
                <w:szCs w:val="20"/>
                <w:color w:val="auto"/>
              </w:rPr>
            </w:pPr>
            <w:r>
              <w:rPr>
                <w:rFonts w:ascii="Arial" w:cs="Arial" w:eastAsia="Arial" w:hAnsi="Arial"/>
                <w:sz w:val="17"/>
                <w:szCs w:val="17"/>
                <w:color w:val="auto"/>
              </w:rPr>
              <w:t>Property and equipment</w:t>
            </w:r>
          </w:p>
        </w:tc>
        <w:tc>
          <w:tcPr>
            <w:tcW w:w="1780" w:type="dxa"/>
            <w:vAlign w:val="bottom"/>
            <w:shd w:val="clear" w:color="auto" w:fill="CCEEFF"/>
          </w:tcPr>
          <w:p>
            <w:pPr>
              <w:jc w:val="right"/>
              <w:ind w:right="976"/>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r>
      <w:tr>
        <w:trPr>
          <w:trHeight w:val="258"/>
        </w:trPr>
        <w:tc>
          <w:tcPr>
            <w:tcW w:w="6120" w:type="dxa"/>
            <w:vAlign w:val="bottom"/>
            <w:tcBorders>
              <w:bottom w:val="single" w:sz="8" w:color="CCEEFF"/>
            </w:tcBorders>
          </w:tcPr>
          <w:p>
            <w:pPr>
              <w:ind w:left="960"/>
              <w:spacing w:after="0"/>
              <w:rPr>
                <w:sz w:val="20"/>
                <w:szCs w:val="20"/>
                <w:color w:val="auto"/>
              </w:rPr>
            </w:pPr>
            <w:r>
              <w:rPr>
                <w:rFonts w:ascii="Arial" w:cs="Arial" w:eastAsia="Arial" w:hAnsi="Arial"/>
                <w:sz w:val="17"/>
                <w:szCs w:val="17"/>
                <w:color w:val="auto"/>
              </w:rPr>
              <w:t>Right-of-use asset</w:t>
            </w:r>
          </w:p>
        </w:tc>
        <w:tc>
          <w:tcPr>
            <w:tcW w:w="17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(859)</w:t>
            </w:r>
          </w:p>
        </w:tc>
      </w:tr>
      <w:tr>
        <w:trPr>
          <w:trHeight w:val="213"/>
        </w:trPr>
        <w:tc>
          <w:tcPr>
            <w:tcW w:w="612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Gross deferred tax liabilities</w:t>
            </w:r>
          </w:p>
        </w:tc>
        <w:tc>
          <w:tcPr>
            <w:tcW w:w="1780" w:type="dxa"/>
            <w:vAlign w:val="bottom"/>
            <w:shd w:val="clear" w:color="auto" w:fill="CCEEFF"/>
          </w:tcPr>
          <w:p>
            <w:pPr>
              <w:jc w:val="right"/>
              <w:ind w:right="976"/>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w:t>
            </w:r>
          </w:p>
        </w:tc>
      </w:tr>
      <w:tr>
        <w:trPr>
          <w:trHeight w:val="258"/>
        </w:trPr>
        <w:tc>
          <w:tcPr>
            <w:tcW w:w="6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0"/>
        </w:trPr>
        <w:tc>
          <w:tcPr>
            <w:tcW w:w="6120" w:type="dxa"/>
            <w:vAlign w:val="bottom"/>
            <w:shd w:val="clear" w:color="auto" w:fill="CCEEFF"/>
          </w:tcPr>
          <w:p>
            <w:pPr>
              <w:ind w:left="960"/>
              <w:spacing w:after="0"/>
              <w:rPr>
                <w:sz w:val="20"/>
                <w:szCs w:val="20"/>
                <w:color w:val="auto"/>
              </w:rPr>
            </w:pPr>
            <w:r>
              <w:rPr>
                <w:rFonts w:ascii="Arial" w:cs="Arial" w:eastAsia="Arial" w:hAnsi="Arial"/>
                <w:sz w:val="17"/>
                <w:szCs w:val="17"/>
                <w:color w:val="auto"/>
              </w:rPr>
              <w:t>Net deferred tax assets</w:t>
            </w:r>
          </w:p>
        </w:tc>
        <w:tc>
          <w:tcPr>
            <w:tcW w:w="1780" w:type="dxa"/>
            <w:vAlign w:val="bottom"/>
            <w:shd w:val="clear" w:color="auto" w:fill="CCEEFF"/>
          </w:tcPr>
          <w:p>
            <w:pPr>
              <w:jc w:val="right"/>
              <w:ind w:right="976"/>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90,364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45,622</w:t>
            </w:r>
          </w:p>
        </w:tc>
      </w:tr>
      <w:tr>
        <w:trPr>
          <w:trHeight w:val="220"/>
        </w:trPr>
        <w:tc>
          <w:tcPr>
            <w:tcW w:w="6120" w:type="dxa"/>
            <w:vAlign w:val="bottom"/>
            <w:tcBorders>
              <w:bottom w:val="single" w:sz="8" w:color="CCEEFF"/>
            </w:tcBorders>
          </w:tcPr>
          <w:p>
            <w:pPr>
              <w:ind w:left="960"/>
              <w:spacing w:after="0"/>
              <w:rPr>
                <w:sz w:val="20"/>
                <w:szCs w:val="20"/>
                <w:color w:val="auto"/>
              </w:rPr>
            </w:pPr>
            <w:r>
              <w:rPr>
                <w:rFonts w:ascii="Arial" w:cs="Arial" w:eastAsia="Arial" w:hAnsi="Arial"/>
                <w:sz w:val="17"/>
                <w:szCs w:val="17"/>
                <w:color w:val="auto"/>
              </w:rPr>
              <w:t>Less valuation allowance</w:t>
            </w:r>
          </w:p>
        </w:tc>
        <w:tc>
          <w:tcPr>
            <w:tcW w:w="1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(90,364)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(45,622)</w:t>
            </w:r>
          </w:p>
        </w:tc>
      </w:tr>
      <w:tr>
        <w:trPr>
          <w:trHeight w:val="233"/>
        </w:trPr>
        <w:tc>
          <w:tcPr>
            <w:tcW w:w="612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Total deferred tax assets</w:t>
            </w:r>
          </w:p>
        </w:tc>
        <w:tc>
          <w:tcPr>
            <w:tcW w:w="1780" w:type="dxa"/>
            <w:vAlign w:val="bottom"/>
            <w:shd w:val="clear" w:color="auto" w:fill="CCEEFF"/>
          </w:tcPr>
          <w:p>
            <w:pPr>
              <w:jc w:val="right"/>
              <w:ind w:right="976"/>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Realization of deferred tax assets is dependent upon future earnings, if any, the timing and amount of which are uncertain. Due to the lack of earnings history, the net deferred tax assets have been fully offset by a valuation allowance. The valuation allowance increased by approximately $44.7 million and $30.7 million during the years ended December 31, 2021 and 2020, respectively.</w:t>
      </w:r>
    </w:p>
    <w:p>
      <w:pPr>
        <w:spacing w:after="0" w:line="125" w:lineRule="exact"/>
        <w:rPr>
          <w:sz w:val="20"/>
          <w:szCs w:val="20"/>
          <w:color w:val="auto"/>
        </w:rPr>
      </w:pPr>
    </w:p>
    <w:p>
      <w:pPr>
        <w:ind w:right="20" w:firstLine="620"/>
        <w:spacing w:after="0" w:line="257" w:lineRule="auto"/>
        <w:rPr>
          <w:sz w:val="20"/>
          <w:szCs w:val="20"/>
          <w:color w:val="auto"/>
        </w:rPr>
      </w:pPr>
      <w:r>
        <w:rPr>
          <w:rFonts w:ascii="Arial" w:cs="Arial" w:eastAsia="Arial" w:hAnsi="Arial"/>
          <w:sz w:val="17"/>
          <w:szCs w:val="17"/>
          <w:color w:val="auto"/>
        </w:rPr>
        <w:t>The Company has NOL carryforwards for federal, California and other state income tax purposes of approximately $ 361.3 million, $360.1 million and $ 5.3 million, respectively, as of December 31, 2021. Of the federal NOLs, $3.5 million originated before the 2018 tax year and will expire beginning in 2036. Under the Tax Cuts and Jobs Act of 2017, the remaining $357.8 million of NOLs generated after December 31, 2017 will be carried forward indefinitely. Of the $365.4 million in state net operating loss carryforwards $3.2 million can be carried forward indefinitely and the remaining start to expire in 2022.</w:t>
      </w:r>
    </w:p>
    <w:p>
      <w:pPr>
        <w:spacing w:after="0" w:line="129" w:lineRule="exact"/>
        <w:rPr>
          <w:sz w:val="20"/>
          <w:szCs w:val="20"/>
          <w:color w:val="auto"/>
        </w:rPr>
      </w:pPr>
    </w:p>
    <w:p>
      <w:pPr>
        <w:ind w:right="60" w:firstLine="620"/>
        <w:spacing w:after="0" w:line="258" w:lineRule="auto"/>
        <w:rPr>
          <w:sz w:val="20"/>
          <w:szCs w:val="20"/>
          <w:color w:val="auto"/>
        </w:rPr>
      </w:pPr>
      <w:r>
        <w:rPr>
          <w:rFonts w:ascii="Arial" w:cs="Arial" w:eastAsia="Arial" w:hAnsi="Arial"/>
          <w:sz w:val="17"/>
          <w:szCs w:val="17"/>
          <w:color w:val="auto"/>
        </w:rPr>
        <w:t>On March 27, 2020, the CARES Act was signed into law in response to the economic challenges facing U.S. businesses. Under the CARES Act, the Internal Revenue Code was amended to allow for federal NOL carrybacks for five years to offset previous years income, or can be carryforward indefinitely to offset 100% of taxable income for the tax year 2020 and 80% of taxable income for tax years 2021 and thereafter. As of the date the financial statements were available to be issued, the state NOL carryforwards, if not utilized, will expire beginning in 2030.</w:t>
      </w:r>
    </w:p>
    <w:p>
      <w:pPr>
        <w:spacing w:after="0" w:line="116"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As of December 31, 2021, the Company also had federal and California research and development tax credit carryforwards of $ 10.8 million and $2.4 million, respectively. The federal research and development tax credit carryforwards will begin to expire in 2037. The California research and development tax credit carryforwards are available indefinitely.</w:t>
      </w:r>
    </w:p>
    <w:p>
      <w:pPr>
        <w:spacing w:after="0" w:line="125" w:lineRule="exact"/>
        <w:rPr>
          <w:sz w:val="20"/>
          <w:szCs w:val="20"/>
          <w:color w:val="auto"/>
        </w:rPr>
      </w:pPr>
    </w:p>
    <w:p>
      <w:pPr>
        <w:ind w:right="80" w:firstLine="620"/>
        <w:spacing w:after="0" w:line="258" w:lineRule="auto"/>
        <w:rPr>
          <w:sz w:val="20"/>
          <w:szCs w:val="20"/>
          <w:color w:val="auto"/>
        </w:rPr>
      </w:pPr>
      <w:r>
        <w:rPr>
          <w:rFonts w:ascii="Arial" w:cs="Arial" w:eastAsia="Arial" w:hAnsi="Arial"/>
          <w:sz w:val="17"/>
          <w:szCs w:val="17"/>
          <w:color w:val="auto"/>
        </w:rPr>
        <w:t>Federal and California tax laws impose significant restrictions on the utilization of NOL carryforwards in the event of a change in ownership of the Company, as defined by Internal Revenue Code Section 382 and 383. The Company has not completed a formal study to determine the limitations on their tax attributes due to change in ownership and may have limitations on the utilization of NOL carryforwards, credit carryforwards, or other tax attributes due to ownership changes.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0" w:name="page141"/>
    <w:bookmarkEnd w:id="1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Uncertain Tax Benefits</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 liability related to uncertain tax positions is recorded on the financial statements.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activity related to the unrecognized benefits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2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74"/>
        </w:trPr>
        <w:tc>
          <w:tcPr>
            <w:tcW w:w="52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r>
      <w:tr>
        <w:trPr>
          <w:trHeight w:val="238"/>
        </w:trPr>
        <w:tc>
          <w:tcPr>
            <w:tcW w:w="5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Beginning balance</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20,274</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2,241</w:t>
            </w:r>
          </w:p>
        </w:tc>
      </w:tr>
      <w:tr>
        <w:trPr>
          <w:trHeight w:val="232"/>
        </w:trPr>
        <w:tc>
          <w:tcPr>
            <w:tcW w:w="5240" w:type="dxa"/>
            <w:vAlign w:val="bottom"/>
          </w:tcPr>
          <w:p>
            <w:pPr>
              <w:ind w:left="960"/>
              <w:spacing w:after="0"/>
              <w:rPr>
                <w:sz w:val="20"/>
                <w:szCs w:val="20"/>
                <w:color w:val="auto"/>
              </w:rPr>
            </w:pPr>
            <w:r>
              <w:rPr>
                <w:rFonts w:ascii="Arial" w:cs="Arial" w:eastAsia="Arial" w:hAnsi="Arial"/>
                <w:sz w:val="17"/>
                <w:szCs w:val="17"/>
                <w:color w:val="auto"/>
              </w:rPr>
              <w:t>Increases (decreases) related to tax positions taken</w:t>
            </w: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3"/>
        </w:trPr>
        <w:tc>
          <w:tcPr>
            <w:tcW w:w="5240" w:type="dxa"/>
            <w:vAlign w:val="bottom"/>
          </w:tcPr>
          <w:p>
            <w:pPr>
              <w:ind w:left="340"/>
              <w:spacing w:after="0"/>
              <w:rPr>
                <w:sz w:val="20"/>
                <w:szCs w:val="20"/>
                <w:color w:val="auto"/>
              </w:rPr>
            </w:pPr>
            <w:r>
              <w:rPr>
                <w:rFonts w:ascii="Arial" w:cs="Arial" w:eastAsia="Arial" w:hAnsi="Arial"/>
                <w:sz w:val="17"/>
                <w:szCs w:val="17"/>
                <w:color w:val="auto"/>
              </w:rPr>
              <w:t>during a prior year</w:t>
            </w:r>
          </w:p>
        </w:tc>
        <w:tc>
          <w:tcPr>
            <w:tcW w:w="9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2"/>
        </w:trPr>
        <w:tc>
          <w:tcPr>
            <w:tcW w:w="5240" w:type="dxa"/>
            <w:vAlign w:val="bottom"/>
            <w:shd w:val="clear" w:color="auto" w:fill="CCEEFF"/>
          </w:tcPr>
          <w:p>
            <w:pPr>
              <w:ind w:left="960"/>
              <w:spacing w:after="0"/>
              <w:rPr>
                <w:sz w:val="20"/>
                <w:szCs w:val="20"/>
                <w:color w:val="auto"/>
              </w:rPr>
            </w:pPr>
            <w:r>
              <w:rPr>
                <w:rFonts w:ascii="Arial" w:cs="Arial" w:eastAsia="Arial" w:hAnsi="Arial"/>
                <w:sz w:val="17"/>
                <w:szCs w:val="17"/>
                <w:color w:val="auto"/>
              </w:rPr>
              <w:t>Increases related to tax positions taken during the</w:t>
            </w:r>
          </w:p>
        </w:tc>
        <w:tc>
          <w:tcPr>
            <w:tcW w:w="9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3"/>
        </w:trPr>
        <w:tc>
          <w:tcPr>
            <w:tcW w:w="5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current year</w:t>
            </w:r>
          </w:p>
        </w:tc>
        <w:tc>
          <w:tcPr>
            <w:tcW w:w="9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18,674</w:t>
            </w:r>
          </w:p>
        </w:tc>
        <w:tc>
          <w:tcPr>
            <w:tcW w:w="1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13,821</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4,203</w:t>
            </w:r>
          </w:p>
        </w:tc>
      </w:tr>
      <w:tr>
        <w:trPr>
          <w:trHeight w:val="213"/>
        </w:trPr>
        <w:tc>
          <w:tcPr>
            <w:tcW w:w="5240" w:type="dxa"/>
            <w:vAlign w:val="bottom"/>
          </w:tcPr>
          <w:p>
            <w:pPr>
              <w:ind w:left="640"/>
              <w:spacing w:after="0"/>
              <w:rPr>
                <w:sz w:val="20"/>
                <w:szCs w:val="20"/>
                <w:color w:val="auto"/>
              </w:rPr>
            </w:pPr>
            <w:r>
              <w:rPr>
                <w:rFonts w:ascii="Arial" w:cs="Arial" w:eastAsia="Arial" w:hAnsi="Arial"/>
                <w:sz w:val="17"/>
                <w:szCs w:val="17"/>
                <w:color w:val="auto"/>
              </w:rPr>
              <w:t>Ending balance</w:t>
            </w: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38,942</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20,274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6,448</w:t>
            </w:r>
          </w:p>
        </w:tc>
      </w:tr>
      <w:tr>
        <w:trPr>
          <w:trHeight w:val="20"/>
        </w:trPr>
        <w:tc>
          <w:tcPr>
            <w:tcW w:w="5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The reversal of the uncertain tax benefits would not affect the effective tax rate to the extent that the Company continues to maintain a full valuation allowance against its deferred tax assets. The Company does not anticipate any significant changes to unrecognized tax benefits over the next 12 months.</w:t>
      </w:r>
    </w:p>
    <w:p>
      <w:pPr>
        <w:spacing w:after="0" w:line="112" w:lineRule="exact"/>
        <w:rPr>
          <w:sz w:val="20"/>
          <w:szCs w:val="20"/>
          <w:color w:val="auto"/>
        </w:rPr>
      </w:pPr>
    </w:p>
    <w:p>
      <w:pPr>
        <w:ind w:right="120" w:firstLine="620"/>
        <w:spacing w:after="0" w:line="258" w:lineRule="auto"/>
        <w:rPr>
          <w:sz w:val="20"/>
          <w:szCs w:val="20"/>
          <w:color w:val="auto"/>
        </w:rPr>
      </w:pPr>
      <w:r>
        <w:rPr>
          <w:rFonts w:ascii="Arial" w:cs="Arial" w:eastAsia="Arial" w:hAnsi="Arial"/>
          <w:sz w:val="17"/>
          <w:szCs w:val="17"/>
          <w:color w:val="auto"/>
        </w:rPr>
        <w:t>Income tax returns are filed in the United States and California. The Company is not currently under audit by the Internal Revenue Service or similar state or local authorities. The years 2016 and forward remain open to examination by the domestic taxing jurisdictions to which the Company is subject. Due to NOL carryforwards, all years effectively remain open to income tax examination by the domestic taxing jurisdictions in which the Company files tax returns.</w:t>
      </w:r>
    </w:p>
    <w:p>
      <w:pPr>
        <w:spacing w:after="0" w:line="129" w:lineRule="exact"/>
        <w:rPr>
          <w:sz w:val="20"/>
          <w:szCs w:val="20"/>
          <w:color w:val="auto"/>
        </w:rPr>
      </w:pPr>
    </w:p>
    <w:p>
      <w:pPr>
        <w:jc w:val="both"/>
        <w:ind w:right="380" w:firstLine="620"/>
        <w:spacing w:after="0" w:line="261" w:lineRule="auto"/>
        <w:rPr>
          <w:sz w:val="20"/>
          <w:szCs w:val="20"/>
          <w:color w:val="auto"/>
        </w:rPr>
      </w:pPr>
      <w:r>
        <w:rPr>
          <w:rFonts w:ascii="Arial" w:cs="Arial" w:eastAsia="Arial" w:hAnsi="Arial"/>
          <w:sz w:val="17"/>
          <w:szCs w:val="17"/>
          <w:color w:val="auto"/>
        </w:rPr>
        <w:t>Included in unrecognized tax benefits of $38.9 million at December 31, 2021 was $31.9 million of tax benefits that, if recognized, would reduce our annual effective tax rate, subject to valuation allowance. The Company does not expect that there will be a significant change in the unrecognized tax benefits over the next 12 months.</w:t>
      </w:r>
    </w:p>
    <w:p>
      <w:pPr>
        <w:spacing w:after="0" w:line="125"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The Company is subject to taxation in the United States and state jurisdictions where applicable. Our tax years for 2016 and forward are subject to examination by the U.S. tax authorities and our tax years for 2016 and forward are subject to examination by the California tax authorities due to carryforward of unutilized NOLs and research and development credits.</w:t>
      </w:r>
    </w:p>
    <w:p>
      <w:pPr>
        <w:spacing w:after="0" w:line="112" w:lineRule="exact"/>
        <w:rPr>
          <w:sz w:val="20"/>
          <w:szCs w:val="20"/>
          <w:color w:val="auto"/>
        </w:rPr>
      </w:pPr>
    </w:p>
    <w:p>
      <w:pPr>
        <w:ind w:right="860" w:firstLine="620"/>
        <w:spacing w:after="0" w:line="269" w:lineRule="auto"/>
        <w:rPr>
          <w:sz w:val="20"/>
          <w:szCs w:val="20"/>
          <w:color w:val="auto"/>
        </w:rPr>
      </w:pPr>
      <w:r>
        <w:rPr>
          <w:rFonts w:ascii="Arial" w:cs="Arial" w:eastAsia="Arial" w:hAnsi="Arial"/>
          <w:sz w:val="17"/>
          <w:szCs w:val="17"/>
          <w:color w:val="auto"/>
        </w:rPr>
        <w:t>It is our practice to recognize interest and/or penalties related to income tax matters in income tax expense. For the years ended December 31, 2021, 2020 and 2019, the Company has not recognized any interest or penalties related to income taxes.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12. Net Loss Per Share</w:t>
      </w:r>
    </w:p>
    <w:p>
      <w:pPr>
        <w:spacing w:after="0" w:line="173" w:lineRule="exact"/>
        <w:rPr>
          <w:sz w:val="20"/>
          <w:szCs w:val="20"/>
          <w:color w:val="auto"/>
        </w:rPr>
      </w:pPr>
    </w:p>
    <w:p>
      <w:pPr>
        <w:ind w:right="240" w:firstLine="620"/>
        <w:spacing w:after="0" w:line="269" w:lineRule="auto"/>
        <w:rPr>
          <w:sz w:val="20"/>
          <w:szCs w:val="20"/>
          <w:color w:val="auto"/>
        </w:rPr>
      </w:pPr>
      <w:r>
        <w:rPr>
          <w:rFonts w:ascii="Arial" w:cs="Arial" w:eastAsia="Arial" w:hAnsi="Arial"/>
          <w:sz w:val="17"/>
          <w:szCs w:val="17"/>
          <w:color w:val="auto"/>
        </w:rPr>
        <w:t>The following outstanding potentially dilutive shares have been excluded from the calculation of diluted net loss per share for the periods presented due to their anti-dilutive effect: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3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As of December 31,</w:t>
            </w:r>
          </w:p>
        </w:tc>
        <w:tc>
          <w:tcPr>
            <w:tcW w:w="1220" w:type="dxa"/>
            <w:vAlign w:val="bottom"/>
            <w:tcBorders>
              <w:bottom w:val="single" w:sz="8" w:color="auto"/>
            </w:tcBorders>
          </w:tcPr>
          <w:p>
            <w:pPr>
              <w:spacing w:after="0"/>
              <w:rPr>
                <w:sz w:val="15"/>
                <w:szCs w:val="15"/>
                <w:color w:val="auto"/>
              </w:rPr>
            </w:pPr>
          </w:p>
        </w:tc>
      </w:tr>
      <w:tr>
        <w:trPr>
          <w:trHeight w:val="174"/>
        </w:trPr>
        <w:tc>
          <w:tcPr>
            <w:tcW w:w="63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r>
      <w:tr>
        <w:trPr>
          <w:trHeight w:val="213"/>
        </w:trPr>
        <w:tc>
          <w:tcPr>
            <w:tcW w:w="63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Convertible preferred stock on an as-converted basis</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4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24,385,388</w:t>
            </w:r>
          </w:p>
        </w:tc>
      </w:tr>
      <w:tr>
        <w:trPr>
          <w:trHeight w:val="220"/>
        </w:trPr>
        <w:tc>
          <w:tcPr>
            <w:tcW w:w="6300" w:type="dxa"/>
            <w:vAlign w:val="bottom"/>
          </w:tcPr>
          <w:p>
            <w:pPr>
              <w:ind w:left="640"/>
              <w:spacing w:after="0"/>
              <w:rPr>
                <w:sz w:val="20"/>
                <w:szCs w:val="20"/>
                <w:color w:val="auto"/>
              </w:rPr>
            </w:pPr>
            <w:r>
              <w:rPr>
                <w:rFonts w:ascii="Arial" w:cs="Arial" w:eastAsia="Arial" w:hAnsi="Arial"/>
                <w:sz w:val="17"/>
                <w:szCs w:val="17"/>
                <w:color w:val="auto"/>
              </w:rPr>
              <w:t>Stock options to purchase common stock</w:t>
            </w:r>
          </w:p>
        </w:tc>
        <w:tc>
          <w:tcPr>
            <w:tcW w:w="1580" w:type="dxa"/>
            <w:vAlign w:val="bottom"/>
          </w:tcPr>
          <w:p>
            <w:pPr>
              <w:jc w:val="right"/>
              <w:spacing w:after="0"/>
              <w:rPr>
                <w:sz w:val="20"/>
                <w:szCs w:val="20"/>
                <w:color w:val="auto"/>
              </w:rPr>
            </w:pPr>
            <w:r>
              <w:rPr>
                <w:rFonts w:ascii="Arial" w:cs="Arial" w:eastAsia="Arial" w:hAnsi="Arial"/>
                <w:sz w:val="17"/>
                <w:szCs w:val="17"/>
                <w:color w:val="auto"/>
              </w:rPr>
              <w:t>5,757,957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3,655,945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2,516,470</w:t>
            </w:r>
          </w:p>
        </w:tc>
      </w:tr>
      <w:tr>
        <w:trPr>
          <w:trHeight w:val="220"/>
        </w:trPr>
        <w:tc>
          <w:tcPr>
            <w:tcW w:w="63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Early exercised options subject to future vesting</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90,146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339,385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621,053</w:t>
            </w:r>
          </w:p>
        </w:tc>
      </w:tr>
      <w:tr>
        <w:trPr>
          <w:trHeight w:val="220"/>
        </w:trPr>
        <w:tc>
          <w:tcPr>
            <w:tcW w:w="6300" w:type="dxa"/>
            <w:vAlign w:val="bottom"/>
          </w:tcPr>
          <w:p>
            <w:pPr>
              <w:ind w:left="640"/>
              <w:spacing w:after="0"/>
              <w:rPr>
                <w:sz w:val="20"/>
                <w:szCs w:val="20"/>
                <w:color w:val="auto"/>
              </w:rPr>
            </w:pPr>
            <w:r>
              <w:rPr>
                <w:rFonts w:ascii="Arial" w:cs="Arial" w:eastAsia="Arial" w:hAnsi="Arial"/>
                <w:sz w:val="17"/>
                <w:szCs w:val="17"/>
                <w:color w:val="auto"/>
              </w:rPr>
              <w:t>RSU's subject to future vesting</w:t>
            </w:r>
          </w:p>
        </w:tc>
        <w:tc>
          <w:tcPr>
            <w:tcW w:w="1580" w:type="dxa"/>
            <w:vAlign w:val="bottom"/>
          </w:tcPr>
          <w:p>
            <w:pPr>
              <w:jc w:val="right"/>
              <w:spacing w:after="0"/>
              <w:rPr>
                <w:sz w:val="20"/>
                <w:szCs w:val="20"/>
                <w:color w:val="auto"/>
              </w:rPr>
            </w:pPr>
            <w:r>
              <w:rPr>
                <w:rFonts w:ascii="Arial" w:cs="Arial" w:eastAsia="Arial" w:hAnsi="Arial"/>
                <w:sz w:val="17"/>
                <w:szCs w:val="17"/>
                <w:color w:val="auto"/>
              </w:rPr>
              <w:t>335,196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162,930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3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ESPP shares subject to future issuance</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300" w:type="dxa"/>
            <w:vAlign w:val="bottom"/>
          </w:tcPr>
          <w:p>
            <w:pPr>
              <w:ind w:left="640"/>
              <w:spacing w:after="0"/>
              <w:rPr>
                <w:sz w:val="20"/>
                <w:szCs w:val="20"/>
                <w:color w:val="auto"/>
              </w:rPr>
            </w:pPr>
            <w:r>
              <w:rPr>
                <w:rFonts w:ascii="Arial" w:cs="Arial" w:eastAsia="Arial" w:hAnsi="Arial"/>
                <w:sz w:val="17"/>
                <w:szCs w:val="17"/>
                <w:color w:val="auto"/>
              </w:rPr>
              <w:t>Restricted stock subject to future vesting</w:t>
            </w: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4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137,863</w:t>
            </w:r>
          </w:p>
        </w:tc>
      </w:tr>
      <w:tr>
        <w:trPr>
          <w:trHeight w:val="238"/>
        </w:trPr>
        <w:tc>
          <w:tcPr>
            <w:tcW w:w="630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6,195,518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4,161,993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27,660,774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1" w:name="page142"/>
    <w:bookmarkEnd w:id="141"/>
    <w:p>
      <w:pPr>
        <w:jc w:val="center"/>
        <w:ind w:left="600"/>
        <w:spacing w:after="0"/>
        <w:rPr>
          <w:sz w:val="20"/>
          <w:szCs w:val="20"/>
          <w:color w:val="auto"/>
        </w:rPr>
      </w:pPr>
      <w:r>
        <w:rPr>
          <w:rFonts w:ascii="Arial" w:cs="Arial" w:eastAsia="Arial" w:hAnsi="Arial"/>
          <w:sz w:val="17"/>
          <w:szCs w:val="17"/>
          <w:b w:val="1"/>
          <w:bCs w:val="1"/>
          <w:color w:val="auto"/>
        </w:rPr>
        <w:t>SIGNATURES</w:t>
      </w:r>
    </w:p>
    <w:p>
      <w:pPr>
        <w:spacing w:after="0" w:line="162" w:lineRule="exact"/>
        <w:rPr>
          <w:sz w:val="20"/>
          <w:szCs w:val="20"/>
          <w:color w:val="auto"/>
        </w:rPr>
      </w:pPr>
    </w:p>
    <w:p>
      <w:pPr>
        <w:ind w:firstLine="620"/>
        <w:spacing w:after="0" w:line="269"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Annual Report on Form 10-K to be signed on its behalf by the undersigned, thereunto duly authorized.</w:t>
      </w:r>
    </w:p>
    <w:p>
      <w:pPr>
        <w:spacing w:after="0" w:line="250" w:lineRule="exact"/>
        <w:rPr>
          <w:sz w:val="20"/>
          <w:szCs w:val="20"/>
          <w:color w:val="auto"/>
        </w:rPr>
      </w:pPr>
    </w:p>
    <w:p>
      <w:pPr>
        <w:ind w:left="6500"/>
        <w:spacing w:after="0"/>
        <w:rPr>
          <w:sz w:val="20"/>
          <w:szCs w:val="20"/>
          <w:color w:val="auto"/>
        </w:rPr>
      </w:pPr>
      <w:r>
        <w:rPr>
          <w:rFonts w:ascii="Arial" w:cs="Arial" w:eastAsia="Arial" w:hAnsi="Arial"/>
          <w:sz w:val="17"/>
          <w:szCs w:val="17"/>
          <w:b w:val="1"/>
          <w:bCs w:val="1"/>
          <w:color w:val="auto"/>
        </w:rPr>
        <w:t>ARCUTIS BIOTHERAPEUTICS, INC.</w:t>
      </w:r>
    </w:p>
    <w:p>
      <w:pPr>
        <w:spacing w:after="0" w:line="305" w:lineRule="exact"/>
        <w:rPr>
          <w:sz w:val="20"/>
          <w:szCs w:val="20"/>
          <w:color w:val="auto"/>
        </w:rPr>
      </w:pPr>
    </w:p>
    <w:p>
      <w:pPr>
        <w:ind w:left="640"/>
        <w:spacing w:after="0"/>
        <w:tabs>
          <w:tab w:leader="none" w:pos="1700" w:val="left"/>
          <w:tab w:leader="none" w:pos="6480" w:val="left"/>
          <w:tab w:leader="none" w:pos="74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February 22,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7620</wp:posOffset>
            </wp:positionV>
            <wp:extent cx="27895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2789555" cy="8255"/>
                    </a:xfrm>
                    <a:prstGeom prst="rect">
                      <a:avLst/>
                    </a:prstGeom>
                    <a:noFill/>
                  </pic:spPr>
                </pic:pic>
              </a:graphicData>
            </a:graphic>
          </wp:anchor>
        </w:drawing>
      </w:r>
    </w:p>
    <w:p>
      <w:pPr>
        <w:ind w:left="7420"/>
        <w:spacing w:after="0"/>
        <w:rPr>
          <w:sz w:val="20"/>
          <w:szCs w:val="20"/>
          <w:color w:val="auto"/>
        </w:rPr>
      </w:pPr>
      <w:r>
        <w:rPr>
          <w:rFonts w:ascii="Arial" w:cs="Arial" w:eastAsia="Arial" w:hAnsi="Arial"/>
          <w:sz w:val="17"/>
          <w:szCs w:val="17"/>
          <w:color w:val="auto"/>
        </w:rPr>
        <w:t>Todd Franklin Watanabe</w:t>
      </w:r>
    </w:p>
    <w:p>
      <w:pPr>
        <w:ind w:left="7420"/>
        <w:spacing w:after="0" w:line="206" w:lineRule="auto"/>
        <w:rPr>
          <w:sz w:val="20"/>
          <w:szCs w:val="20"/>
          <w:color w:val="auto"/>
        </w:rPr>
      </w:pPr>
      <w:r>
        <w:rPr>
          <w:rFonts w:ascii="Arial" w:cs="Arial" w:eastAsia="Arial" w:hAnsi="Arial"/>
          <w:sz w:val="17"/>
          <w:szCs w:val="17"/>
          <w:i w:val="1"/>
          <w:iCs w:val="1"/>
          <w:color w:val="auto"/>
        </w:rPr>
        <w:t>President, Chief Executive Officer and Director</w:t>
      </w:r>
    </w:p>
    <w:p>
      <w:pPr>
        <w:ind w:left="742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315" w:lineRule="exact"/>
        <w:rPr>
          <w:sz w:val="20"/>
          <w:szCs w:val="20"/>
          <w:color w:val="auto"/>
        </w:rPr>
      </w:pPr>
    </w:p>
    <w:p>
      <w:pPr>
        <w:ind w:left="640"/>
        <w:spacing w:after="0"/>
        <w:tabs>
          <w:tab w:leader="none" w:pos="1700" w:val="left"/>
          <w:tab w:leader="none" w:pos="6480" w:val="left"/>
          <w:tab w:leader="none" w:pos="74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February 22,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Scott L.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7620</wp:posOffset>
            </wp:positionV>
            <wp:extent cx="27895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2789555" cy="8255"/>
                    </a:xfrm>
                    <a:prstGeom prst="rect">
                      <a:avLst/>
                    </a:prstGeom>
                    <a:noFill/>
                  </pic:spPr>
                </pic:pic>
              </a:graphicData>
            </a:graphic>
          </wp:anchor>
        </w:drawing>
      </w:r>
    </w:p>
    <w:p>
      <w:pPr>
        <w:ind w:left="7420"/>
        <w:spacing w:after="0"/>
        <w:rPr>
          <w:sz w:val="20"/>
          <w:szCs w:val="20"/>
          <w:color w:val="auto"/>
        </w:rPr>
      </w:pPr>
      <w:r>
        <w:rPr>
          <w:rFonts w:ascii="Arial" w:cs="Arial" w:eastAsia="Arial" w:hAnsi="Arial"/>
          <w:sz w:val="17"/>
          <w:szCs w:val="17"/>
          <w:color w:val="auto"/>
        </w:rPr>
        <w:t>Scott L. Burrows</w:t>
      </w:r>
    </w:p>
    <w:p>
      <w:pPr>
        <w:ind w:left="7420"/>
        <w:spacing w:after="0" w:line="206" w:lineRule="auto"/>
        <w:rPr>
          <w:sz w:val="20"/>
          <w:szCs w:val="20"/>
          <w:color w:val="auto"/>
        </w:rPr>
      </w:pPr>
      <w:r>
        <w:rPr>
          <w:rFonts w:ascii="Arial" w:cs="Arial" w:eastAsia="Arial" w:hAnsi="Arial"/>
          <w:sz w:val="17"/>
          <w:szCs w:val="17"/>
          <w:i w:val="1"/>
          <w:iCs w:val="1"/>
          <w:color w:val="auto"/>
        </w:rPr>
        <w:t>Chief Financial Officer</w:t>
      </w:r>
    </w:p>
    <w:p>
      <w:pPr>
        <w:ind w:left="742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733425</wp:posOffset>
            </wp:positionV>
            <wp:extent cx="716343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320" w:top="995" w:right="519" w:bottom="1440" w:gutter="0" w:footer="0" w:header="0"/>
        </w:sectPr>
      </w:pPr>
    </w:p>
    <w:bookmarkStart w:id="142" w:name="page143"/>
    <w:bookmarkEnd w:id="142"/>
    <w:p>
      <w:pPr>
        <w:jc w:val="center"/>
        <w:ind w:right="-259"/>
        <w:spacing w:after="0"/>
        <w:rPr>
          <w:sz w:val="20"/>
          <w:szCs w:val="20"/>
          <w:color w:val="auto"/>
        </w:rPr>
      </w:pPr>
      <w:r>
        <w:rPr>
          <w:rFonts w:ascii="Arial" w:cs="Arial" w:eastAsia="Arial" w:hAnsi="Arial"/>
          <w:sz w:val="17"/>
          <w:szCs w:val="17"/>
          <w:b w:val="1"/>
          <w:bCs w:val="1"/>
          <w:color w:val="auto"/>
        </w:rPr>
        <w:t>POWER OF ATTORNEY</w:t>
      </w:r>
    </w:p>
    <w:p>
      <w:pPr>
        <w:spacing w:after="0" w:line="340" w:lineRule="exact"/>
        <w:rPr>
          <w:sz w:val="20"/>
          <w:szCs w:val="20"/>
          <w:color w:val="auto"/>
        </w:rPr>
      </w:pPr>
    </w:p>
    <w:p>
      <w:pPr>
        <w:ind w:firstLine="620"/>
        <w:spacing w:after="0" w:line="26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each of Todd Franklin Watanabe, Scott L. Burrows and Mas Matsuda,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that all said attorneys-in-fact and agents, or their, his or her substitutes or substitutes, may lawfully do or cause to be done by virtue hereof.</w:t>
      </w:r>
    </w:p>
    <w:p>
      <w:pPr>
        <w:spacing w:after="0" w:line="65" w:lineRule="exact"/>
        <w:rPr>
          <w:sz w:val="20"/>
          <w:szCs w:val="20"/>
          <w:color w:val="auto"/>
        </w:rPr>
      </w:pPr>
    </w:p>
    <w:p>
      <w:pPr>
        <w:ind w:right="120" w:firstLine="620"/>
        <w:spacing w:after="0" w:line="262" w:lineRule="auto"/>
        <w:rPr>
          <w:sz w:val="20"/>
          <w:szCs w:val="20"/>
          <w:color w:val="auto"/>
        </w:rPr>
      </w:pPr>
      <w:r>
        <w:rPr>
          <w:rFonts w:ascii="Arial" w:cs="Arial" w:eastAsia="Arial" w:hAnsi="Arial"/>
          <w:sz w:val="17"/>
          <w:szCs w:val="17"/>
          <w:color w:val="auto"/>
        </w:rPr>
        <w:t>Pursuant to the requirements of the Securities Exchange Act of 1934, this Annual Report on Form 10-K has been signed by the following persons on behalf of the Registrant in the capacities and on the dates indicated.</w:t>
      </w:r>
    </w:p>
    <w:tbl>
      <w:tblPr>
        <w:tblLayout w:type="fixed"/>
        <w:tblInd w:w="0" w:type="dxa"/>
        <w:tblCellMar>
          <w:top w:w="0" w:type="dxa"/>
          <w:left w:w="0" w:type="dxa"/>
          <w:bottom w:w="0" w:type="dxa"/>
          <w:right w:w="0" w:type="dxa"/>
        </w:tblCellMar>
      </w:tblPr>
      <w:tr>
        <w:trPr>
          <w:trHeight w:val="154"/>
        </w:trPr>
        <w:tc>
          <w:tcPr>
            <w:tcW w:w="1520" w:type="dxa"/>
            <w:vAlign w:val="bottom"/>
          </w:tcPr>
          <w:p>
            <w:pPr>
              <w:spacing w:after="0"/>
              <w:rPr>
                <w:sz w:val="13"/>
                <w:szCs w:val="13"/>
                <w:color w:val="auto"/>
              </w:rPr>
            </w:pPr>
          </w:p>
        </w:tc>
        <w:tc>
          <w:tcPr>
            <w:tcW w:w="2140" w:type="dxa"/>
            <w:vAlign w:val="bottom"/>
            <w:gridSpan w:val="2"/>
          </w:tcPr>
          <w:p>
            <w:pPr>
              <w:jc w:val="center"/>
              <w:ind w:right="1520"/>
              <w:spacing w:after="0" w:line="154" w:lineRule="exact"/>
              <w:rPr>
                <w:sz w:val="20"/>
                <w:szCs w:val="20"/>
                <w:color w:val="auto"/>
              </w:rPr>
            </w:pPr>
            <w:r>
              <w:rPr>
                <w:rFonts w:ascii="Arial" w:cs="Arial" w:eastAsia="Arial" w:hAnsi="Arial"/>
                <w:sz w:val="14"/>
                <w:szCs w:val="14"/>
                <w:b w:val="1"/>
                <w:bCs w:val="1"/>
                <w:color w:val="auto"/>
                <w:w w:val="95"/>
              </w:rPr>
              <w:t>Signature</w:t>
            </w:r>
          </w:p>
        </w:tc>
        <w:tc>
          <w:tcPr>
            <w:tcW w:w="2340" w:type="dxa"/>
            <w:vAlign w:val="bottom"/>
          </w:tcPr>
          <w:p>
            <w:pPr>
              <w:spacing w:after="0"/>
              <w:rPr>
                <w:sz w:val="13"/>
                <w:szCs w:val="13"/>
                <w:color w:val="auto"/>
              </w:rPr>
            </w:pPr>
          </w:p>
        </w:tc>
        <w:tc>
          <w:tcPr>
            <w:tcW w:w="2580" w:type="dxa"/>
            <w:vAlign w:val="bottom"/>
            <w:gridSpan w:val="2"/>
          </w:tcPr>
          <w:p>
            <w:pPr>
              <w:jc w:val="center"/>
              <w:ind w:right="2300"/>
              <w:spacing w:after="0" w:line="154" w:lineRule="exact"/>
              <w:rPr>
                <w:sz w:val="20"/>
                <w:szCs w:val="20"/>
                <w:color w:val="auto"/>
              </w:rPr>
            </w:pPr>
            <w:r>
              <w:rPr>
                <w:rFonts w:ascii="Arial" w:cs="Arial" w:eastAsia="Arial" w:hAnsi="Arial"/>
                <w:sz w:val="14"/>
                <w:szCs w:val="14"/>
                <w:b w:val="1"/>
                <w:bCs w:val="1"/>
                <w:color w:val="auto"/>
                <w:w w:val="97"/>
              </w:rPr>
              <w:t>Title</w:t>
            </w:r>
          </w:p>
        </w:tc>
        <w:tc>
          <w:tcPr>
            <w:tcW w:w="2060" w:type="dxa"/>
            <w:vAlign w:val="bottom"/>
            <w:gridSpan w:val="3"/>
          </w:tcPr>
          <w:p>
            <w:pPr>
              <w:jc w:val="center"/>
              <w:ind w:left="575"/>
              <w:spacing w:after="0" w:line="154"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Todd Franklin Watanabe</w:t>
            </w:r>
          </w:p>
        </w:tc>
        <w:tc>
          <w:tcPr>
            <w:tcW w:w="4920" w:type="dxa"/>
            <w:vAlign w:val="bottom"/>
            <w:gridSpan w:val="3"/>
            <w:vMerge w:val="restart"/>
          </w:tcPr>
          <w:p>
            <w:pPr>
              <w:jc w:val="center"/>
              <w:spacing w:after="0"/>
              <w:rPr>
                <w:sz w:val="20"/>
                <w:szCs w:val="20"/>
                <w:color w:val="auto"/>
              </w:rPr>
            </w:pPr>
            <w:r>
              <w:rPr>
                <w:rFonts w:ascii="Arial" w:cs="Arial" w:eastAsia="Arial" w:hAnsi="Arial"/>
                <w:sz w:val="17"/>
                <w:szCs w:val="17"/>
                <w:color w:val="auto"/>
              </w:rPr>
              <w:t>President, Chief Executive Officer and Director</w:t>
            </w:r>
          </w:p>
        </w:tc>
        <w:tc>
          <w:tcPr>
            <w:tcW w:w="2060" w:type="dxa"/>
            <w:vAlign w:val="bottom"/>
            <w:gridSpan w:val="3"/>
          </w:tcPr>
          <w:p>
            <w:pPr>
              <w:jc w:val="center"/>
              <w:ind w:left="575"/>
              <w:spacing w:after="0"/>
              <w:rPr>
                <w:sz w:val="20"/>
                <w:szCs w:val="20"/>
                <w:color w:val="auto"/>
              </w:rPr>
            </w:pPr>
            <w:r>
              <w:rPr>
                <w:rFonts w:ascii="Arial" w:cs="Arial" w:eastAsia="Arial" w:hAnsi="Arial"/>
                <w:sz w:val="17"/>
                <w:szCs w:val="17"/>
                <w:color w:val="auto"/>
              </w:rPr>
              <w:t>February 22, 2022</w:t>
            </w:r>
          </w:p>
        </w:tc>
        <w:tc>
          <w:tcPr>
            <w:tcW w:w="0" w:type="dxa"/>
            <w:vAlign w:val="bottom"/>
          </w:tcPr>
          <w:p>
            <w:pPr>
              <w:spacing w:after="0"/>
              <w:rPr>
                <w:sz w:val="1"/>
                <w:szCs w:val="1"/>
                <w:color w:val="auto"/>
              </w:rPr>
            </w:pPr>
          </w:p>
        </w:tc>
      </w:tr>
      <w:tr>
        <w:trPr>
          <w:trHeight w:val="31"/>
        </w:trPr>
        <w:tc>
          <w:tcPr>
            <w:tcW w:w="1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920" w:type="dxa"/>
            <w:vAlign w:val="bottom"/>
            <w:gridSpan w:val="3"/>
            <w:vMerge w:val="continue"/>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gridSpan w:val="3"/>
          </w:tcPr>
          <w:p>
            <w:pPr>
              <w:jc w:val="center"/>
              <w:spacing w:after="0"/>
              <w:rPr>
                <w:sz w:val="20"/>
                <w:szCs w:val="20"/>
                <w:color w:val="auto"/>
              </w:rPr>
            </w:pPr>
            <w:r>
              <w:rPr>
                <w:rFonts w:ascii="Arial" w:cs="Arial" w:eastAsia="Arial" w:hAnsi="Arial"/>
                <w:sz w:val="17"/>
                <w:szCs w:val="17"/>
                <w:color w:val="auto"/>
                <w:w w:val="99"/>
              </w:rPr>
              <w:t>Todd Franklin Watanabe</w:t>
            </w:r>
          </w:p>
        </w:tc>
        <w:tc>
          <w:tcPr>
            <w:tcW w:w="4920" w:type="dxa"/>
            <w:vAlign w:val="bottom"/>
            <w:gridSpan w:val="3"/>
          </w:tcPr>
          <w:p>
            <w:pPr>
              <w:jc w:val="center"/>
              <w:spacing w:after="0"/>
              <w:rPr>
                <w:sz w:val="20"/>
                <w:szCs w:val="20"/>
                <w:color w:val="auto"/>
              </w:rPr>
            </w:pPr>
            <w:r>
              <w:rPr>
                <w:rFonts w:ascii="Arial" w:cs="Arial" w:eastAsia="Arial" w:hAnsi="Arial"/>
                <w:sz w:val="17"/>
                <w:szCs w:val="17"/>
                <w:color w:val="auto"/>
              </w:rPr>
              <w:t>(Principal Executive Officer)</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Scott L. Burrows</w:t>
            </w:r>
          </w:p>
        </w:tc>
        <w:tc>
          <w:tcPr>
            <w:tcW w:w="4920" w:type="dxa"/>
            <w:vAlign w:val="bottom"/>
            <w:gridSpan w:val="3"/>
            <w:vMerge w:val="restart"/>
          </w:tcPr>
          <w:p>
            <w:pPr>
              <w:jc w:val="center"/>
              <w:spacing w:after="0"/>
              <w:rPr>
                <w:sz w:val="20"/>
                <w:szCs w:val="20"/>
                <w:color w:val="auto"/>
              </w:rPr>
            </w:pPr>
            <w:r>
              <w:rPr>
                <w:rFonts w:ascii="Arial" w:cs="Arial" w:eastAsia="Arial" w:hAnsi="Arial"/>
                <w:sz w:val="17"/>
                <w:szCs w:val="17"/>
                <w:color w:val="auto"/>
              </w:rPr>
              <w:t>Chief Financial Officer</w:t>
            </w:r>
          </w:p>
        </w:tc>
        <w:tc>
          <w:tcPr>
            <w:tcW w:w="2060" w:type="dxa"/>
            <w:vAlign w:val="bottom"/>
            <w:gridSpan w:val="3"/>
          </w:tcPr>
          <w:p>
            <w:pPr>
              <w:jc w:val="center"/>
              <w:ind w:left="575"/>
              <w:spacing w:after="0"/>
              <w:rPr>
                <w:sz w:val="20"/>
                <w:szCs w:val="20"/>
                <w:color w:val="auto"/>
              </w:rPr>
            </w:pPr>
            <w:r>
              <w:rPr>
                <w:rFonts w:ascii="Arial" w:cs="Arial" w:eastAsia="Arial" w:hAnsi="Arial"/>
                <w:sz w:val="17"/>
                <w:szCs w:val="17"/>
                <w:color w:val="auto"/>
              </w:rPr>
              <w:t>February 22, 2022</w:t>
            </w:r>
          </w:p>
        </w:tc>
        <w:tc>
          <w:tcPr>
            <w:tcW w:w="0" w:type="dxa"/>
            <w:vAlign w:val="bottom"/>
          </w:tcPr>
          <w:p>
            <w:pPr>
              <w:spacing w:after="0"/>
              <w:rPr>
                <w:sz w:val="1"/>
                <w:szCs w:val="1"/>
                <w:color w:val="auto"/>
              </w:rPr>
            </w:pPr>
          </w:p>
        </w:tc>
      </w:tr>
      <w:tr>
        <w:trPr>
          <w:trHeight w:val="31"/>
        </w:trPr>
        <w:tc>
          <w:tcPr>
            <w:tcW w:w="1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920" w:type="dxa"/>
            <w:vAlign w:val="bottom"/>
            <w:gridSpan w:val="3"/>
            <w:vMerge w:val="continue"/>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gridSpan w:val="3"/>
          </w:tcPr>
          <w:p>
            <w:pPr>
              <w:jc w:val="center"/>
              <w:spacing w:after="0"/>
              <w:rPr>
                <w:sz w:val="20"/>
                <w:szCs w:val="20"/>
                <w:color w:val="auto"/>
              </w:rPr>
            </w:pPr>
            <w:r>
              <w:rPr>
                <w:rFonts w:ascii="Arial" w:cs="Arial" w:eastAsia="Arial" w:hAnsi="Arial"/>
                <w:sz w:val="17"/>
                <w:szCs w:val="17"/>
                <w:color w:val="auto"/>
              </w:rPr>
              <w:t>Scott L. Burrows</w:t>
            </w:r>
          </w:p>
        </w:tc>
        <w:tc>
          <w:tcPr>
            <w:tcW w:w="4920" w:type="dxa"/>
            <w:vAlign w:val="bottom"/>
            <w:gridSpan w:val="3"/>
          </w:tcPr>
          <w:p>
            <w:pPr>
              <w:jc w:val="center"/>
              <w:spacing w:after="0"/>
              <w:rPr>
                <w:sz w:val="20"/>
                <w:szCs w:val="20"/>
                <w:color w:val="auto"/>
              </w:rPr>
            </w:pPr>
            <w:r>
              <w:rPr>
                <w:rFonts w:ascii="Arial" w:cs="Arial" w:eastAsia="Arial" w:hAnsi="Arial"/>
                <w:sz w:val="17"/>
                <w:szCs w:val="17"/>
                <w:color w:val="auto"/>
              </w:rPr>
              <w:t>(Principal Accounting and Financial Officer)</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Patrick J. Heron</w:t>
            </w:r>
          </w:p>
        </w:tc>
        <w:tc>
          <w:tcPr>
            <w:tcW w:w="4920" w:type="dxa"/>
            <w:vAlign w:val="bottom"/>
            <w:gridSpan w:val="3"/>
          </w:tcPr>
          <w:p>
            <w:pPr>
              <w:jc w:val="center"/>
              <w:spacing w:after="0"/>
              <w:rPr>
                <w:sz w:val="20"/>
                <w:szCs w:val="20"/>
                <w:color w:val="auto"/>
              </w:rPr>
            </w:pPr>
            <w:r>
              <w:rPr>
                <w:rFonts w:ascii="Arial" w:cs="Arial" w:eastAsia="Arial" w:hAnsi="Arial"/>
                <w:sz w:val="17"/>
                <w:szCs w:val="17"/>
                <w:color w:val="auto"/>
              </w:rPr>
              <w:t>Director, Chairman</w:t>
            </w:r>
          </w:p>
        </w:tc>
        <w:tc>
          <w:tcPr>
            <w:tcW w:w="2060" w:type="dxa"/>
            <w:vAlign w:val="bottom"/>
            <w:gridSpan w:val="3"/>
          </w:tcPr>
          <w:p>
            <w:pPr>
              <w:jc w:val="center"/>
              <w:ind w:left="575"/>
              <w:spacing w:after="0"/>
              <w:rPr>
                <w:sz w:val="20"/>
                <w:szCs w:val="20"/>
                <w:color w:val="auto"/>
              </w:rPr>
            </w:pPr>
            <w:r>
              <w:rPr>
                <w:rFonts w:ascii="Arial" w:cs="Arial" w:eastAsia="Arial" w:hAnsi="Arial"/>
                <w:sz w:val="17"/>
                <w:szCs w:val="17"/>
                <w:color w:val="auto"/>
              </w:rPr>
              <w:t>February 22, 2022</w:t>
            </w:r>
          </w:p>
        </w:tc>
        <w:tc>
          <w:tcPr>
            <w:tcW w:w="0" w:type="dxa"/>
            <w:vAlign w:val="bottom"/>
          </w:tcPr>
          <w:p>
            <w:pPr>
              <w:spacing w:after="0"/>
              <w:rPr>
                <w:sz w:val="1"/>
                <w:szCs w:val="1"/>
                <w:color w:val="auto"/>
              </w:rPr>
            </w:pPr>
          </w:p>
        </w:tc>
      </w:tr>
      <w:tr>
        <w:trPr>
          <w:trHeight w:val="213"/>
        </w:trPr>
        <w:tc>
          <w:tcPr>
            <w:tcW w:w="3660" w:type="dxa"/>
            <w:vAlign w:val="bottom"/>
            <w:gridSpan w:val="3"/>
          </w:tcPr>
          <w:p>
            <w:pPr>
              <w:jc w:val="center"/>
              <w:spacing w:after="0"/>
              <w:rPr>
                <w:sz w:val="20"/>
                <w:szCs w:val="20"/>
                <w:color w:val="auto"/>
              </w:rPr>
            </w:pPr>
            <w:r>
              <w:rPr>
                <w:rFonts w:ascii="Arial" w:cs="Arial" w:eastAsia="Arial" w:hAnsi="Arial"/>
                <w:sz w:val="17"/>
                <w:szCs w:val="17"/>
                <w:color w:val="auto"/>
              </w:rPr>
              <w:t>Patrick J. Heron</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Bhaskar Chaudhuri</w:t>
            </w:r>
          </w:p>
        </w:tc>
        <w:tc>
          <w:tcPr>
            <w:tcW w:w="4920" w:type="dxa"/>
            <w:vAlign w:val="bottom"/>
            <w:gridSpan w:val="3"/>
          </w:tcPr>
          <w:p>
            <w:pPr>
              <w:jc w:val="center"/>
              <w:spacing w:after="0"/>
              <w:rPr>
                <w:sz w:val="20"/>
                <w:szCs w:val="20"/>
                <w:color w:val="auto"/>
              </w:rPr>
            </w:pPr>
            <w:r>
              <w:rPr>
                <w:rFonts w:ascii="Arial" w:cs="Arial" w:eastAsia="Arial" w:hAnsi="Arial"/>
                <w:sz w:val="17"/>
                <w:szCs w:val="17"/>
                <w:color w:val="auto"/>
              </w:rPr>
              <w:t>Director</w:t>
            </w:r>
          </w:p>
        </w:tc>
        <w:tc>
          <w:tcPr>
            <w:tcW w:w="2060" w:type="dxa"/>
            <w:vAlign w:val="bottom"/>
            <w:gridSpan w:val="3"/>
          </w:tcPr>
          <w:p>
            <w:pPr>
              <w:jc w:val="center"/>
              <w:ind w:left="575"/>
              <w:spacing w:after="0"/>
              <w:rPr>
                <w:sz w:val="20"/>
                <w:szCs w:val="20"/>
                <w:color w:val="auto"/>
              </w:rPr>
            </w:pPr>
            <w:r>
              <w:rPr>
                <w:rFonts w:ascii="Arial" w:cs="Arial" w:eastAsia="Arial" w:hAnsi="Arial"/>
                <w:sz w:val="17"/>
                <w:szCs w:val="17"/>
                <w:color w:val="auto"/>
              </w:rPr>
              <w:t>February 22, 2022</w:t>
            </w:r>
          </w:p>
        </w:tc>
        <w:tc>
          <w:tcPr>
            <w:tcW w:w="0" w:type="dxa"/>
            <w:vAlign w:val="bottom"/>
          </w:tcPr>
          <w:p>
            <w:pPr>
              <w:spacing w:after="0"/>
              <w:rPr>
                <w:sz w:val="1"/>
                <w:szCs w:val="1"/>
                <w:color w:val="auto"/>
              </w:rPr>
            </w:pPr>
          </w:p>
        </w:tc>
      </w:tr>
      <w:tr>
        <w:trPr>
          <w:trHeight w:val="213"/>
        </w:trPr>
        <w:tc>
          <w:tcPr>
            <w:tcW w:w="3660" w:type="dxa"/>
            <w:vAlign w:val="bottom"/>
            <w:gridSpan w:val="3"/>
          </w:tcPr>
          <w:p>
            <w:pPr>
              <w:jc w:val="center"/>
              <w:spacing w:after="0"/>
              <w:rPr>
                <w:sz w:val="20"/>
                <w:szCs w:val="20"/>
                <w:color w:val="auto"/>
              </w:rPr>
            </w:pPr>
            <w:r>
              <w:rPr>
                <w:rFonts w:ascii="Arial" w:cs="Arial" w:eastAsia="Arial" w:hAnsi="Arial"/>
                <w:sz w:val="17"/>
                <w:szCs w:val="17"/>
                <w:color w:val="auto"/>
              </w:rPr>
              <w:t>Bhaskar Chaudhuri, Ph.D.</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8"/>
              </w:rPr>
              <w:t>/s/ Terrie Curran</w:t>
            </w:r>
          </w:p>
        </w:tc>
        <w:tc>
          <w:tcPr>
            <w:tcW w:w="4920" w:type="dxa"/>
            <w:vAlign w:val="bottom"/>
            <w:gridSpan w:val="3"/>
          </w:tcPr>
          <w:p>
            <w:pPr>
              <w:jc w:val="center"/>
              <w:spacing w:after="0"/>
              <w:rPr>
                <w:sz w:val="20"/>
                <w:szCs w:val="20"/>
                <w:color w:val="auto"/>
              </w:rPr>
            </w:pPr>
            <w:r>
              <w:rPr>
                <w:rFonts w:ascii="Arial" w:cs="Arial" w:eastAsia="Arial" w:hAnsi="Arial"/>
                <w:sz w:val="17"/>
                <w:szCs w:val="17"/>
                <w:color w:val="auto"/>
              </w:rPr>
              <w:t>Director</w:t>
            </w:r>
          </w:p>
        </w:tc>
        <w:tc>
          <w:tcPr>
            <w:tcW w:w="2060" w:type="dxa"/>
            <w:vAlign w:val="bottom"/>
            <w:gridSpan w:val="3"/>
          </w:tcPr>
          <w:p>
            <w:pPr>
              <w:jc w:val="center"/>
              <w:ind w:left="575"/>
              <w:spacing w:after="0"/>
              <w:rPr>
                <w:sz w:val="20"/>
                <w:szCs w:val="20"/>
                <w:color w:val="auto"/>
              </w:rPr>
            </w:pPr>
            <w:r>
              <w:rPr>
                <w:rFonts w:ascii="Arial" w:cs="Arial" w:eastAsia="Arial" w:hAnsi="Arial"/>
                <w:sz w:val="17"/>
                <w:szCs w:val="17"/>
                <w:color w:val="auto"/>
              </w:rPr>
              <w:t>February 22, 2022</w:t>
            </w:r>
          </w:p>
        </w:tc>
        <w:tc>
          <w:tcPr>
            <w:tcW w:w="0" w:type="dxa"/>
            <w:vAlign w:val="bottom"/>
          </w:tcPr>
          <w:p>
            <w:pPr>
              <w:spacing w:after="0"/>
              <w:rPr>
                <w:sz w:val="1"/>
                <w:szCs w:val="1"/>
                <w:color w:val="auto"/>
              </w:rPr>
            </w:pPr>
          </w:p>
        </w:tc>
      </w:tr>
      <w:tr>
        <w:trPr>
          <w:trHeight w:val="213"/>
        </w:trPr>
        <w:tc>
          <w:tcPr>
            <w:tcW w:w="3660" w:type="dxa"/>
            <w:vAlign w:val="bottom"/>
            <w:gridSpan w:val="3"/>
          </w:tcPr>
          <w:p>
            <w:pPr>
              <w:jc w:val="center"/>
              <w:spacing w:after="0"/>
              <w:rPr>
                <w:sz w:val="20"/>
                <w:szCs w:val="20"/>
                <w:color w:val="auto"/>
              </w:rPr>
            </w:pPr>
            <w:r>
              <w:rPr>
                <w:rFonts w:ascii="Arial" w:cs="Arial" w:eastAsia="Arial" w:hAnsi="Arial"/>
                <w:sz w:val="17"/>
                <w:szCs w:val="17"/>
                <w:color w:val="auto"/>
              </w:rPr>
              <w:t>Terrie Curran</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Halley E. Gilbert</w:t>
            </w:r>
          </w:p>
        </w:tc>
        <w:tc>
          <w:tcPr>
            <w:tcW w:w="4920" w:type="dxa"/>
            <w:vAlign w:val="bottom"/>
            <w:gridSpan w:val="3"/>
          </w:tcPr>
          <w:p>
            <w:pPr>
              <w:jc w:val="center"/>
              <w:spacing w:after="0"/>
              <w:rPr>
                <w:sz w:val="20"/>
                <w:szCs w:val="20"/>
                <w:color w:val="auto"/>
              </w:rPr>
            </w:pPr>
            <w:r>
              <w:rPr>
                <w:rFonts w:ascii="Arial" w:cs="Arial" w:eastAsia="Arial" w:hAnsi="Arial"/>
                <w:sz w:val="17"/>
                <w:szCs w:val="17"/>
                <w:color w:val="auto"/>
              </w:rPr>
              <w:t>Director</w:t>
            </w:r>
          </w:p>
        </w:tc>
        <w:tc>
          <w:tcPr>
            <w:tcW w:w="2060" w:type="dxa"/>
            <w:vAlign w:val="bottom"/>
            <w:gridSpan w:val="3"/>
          </w:tcPr>
          <w:p>
            <w:pPr>
              <w:jc w:val="center"/>
              <w:ind w:left="575"/>
              <w:spacing w:after="0"/>
              <w:rPr>
                <w:sz w:val="20"/>
                <w:szCs w:val="20"/>
                <w:color w:val="auto"/>
              </w:rPr>
            </w:pPr>
            <w:r>
              <w:rPr>
                <w:rFonts w:ascii="Arial" w:cs="Arial" w:eastAsia="Arial" w:hAnsi="Arial"/>
                <w:sz w:val="17"/>
                <w:szCs w:val="17"/>
                <w:color w:val="auto"/>
              </w:rPr>
              <w:t>February 22, 2022</w:t>
            </w:r>
          </w:p>
        </w:tc>
        <w:tc>
          <w:tcPr>
            <w:tcW w:w="0" w:type="dxa"/>
            <w:vAlign w:val="bottom"/>
          </w:tcPr>
          <w:p>
            <w:pPr>
              <w:spacing w:after="0"/>
              <w:rPr>
                <w:sz w:val="1"/>
                <w:szCs w:val="1"/>
                <w:color w:val="auto"/>
              </w:rPr>
            </w:pPr>
          </w:p>
        </w:tc>
      </w:tr>
      <w:tr>
        <w:trPr>
          <w:trHeight w:val="213"/>
        </w:trPr>
        <w:tc>
          <w:tcPr>
            <w:tcW w:w="3660" w:type="dxa"/>
            <w:vAlign w:val="bottom"/>
            <w:gridSpan w:val="3"/>
          </w:tcPr>
          <w:p>
            <w:pPr>
              <w:jc w:val="center"/>
              <w:spacing w:after="0"/>
              <w:rPr>
                <w:sz w:val="20"/>
                <w:szCs w:val="20"/>
                <w:color w:val="auto"/>
              </w:rPr>
            </w:pPr>
            <w:r>
              <w:rPr>
                <w:rFonts w:ascii="Arial" w:cs="Arial" w:eastAsia="Arial" w:hAnsi="Arial"/>
                <w:sz w:val="17"/>
                <w:szCs w:val="17"/>
                <w:color w:val="auto"/>
              </w:rPr>
              <w:t>Halley E. Gilbert</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Keith R. Leonard</w:t>
            </w:r>
          </w:p>
        </w:tc>
        <w:tc>
          <w:tcPr>
            <w:tcW w:w="4920" w:type="dxa"/>
            <w:vAlign w:val="bottom"/>
            <w:gridSpan w:val="3"/>
          </w:tcPr>
          <w:p>
            <w:pPr>
              <w:jc w:val="center"/>
              <w:spacing w:after="0"/>
              <w:rPr>
                <w:sz w:val="20"/>
                <w:szCs w:val="20"/>
                <w:color w:val="auto"/>
              </w:rPr>
            </w:pPr>
            <w:r>
              <w:rPr>
                <w:rFonts w:ascii="Arial" w:cs="Arial" w:eastAsia="Arial" w:hAnsi="Arial"/>
                <w:sz w:val="17"/>
                <w:szCs w:val="17"/>
                <w:color w:val="auto"/>
              </w:rPr>
              <w:t>Director</w:t>
            </w:r>
          </w:p>
        </w:tc>
        <w:tc>
          <w:tcPr>
            <w:tcW w:w="2060" w:type="dxa"/>
            <w:vAlign w:val="bottom"/>
            <w:gridSpan w:val="3"/>
          </w:tcPr>
          <w:p>
            <w:pPr>
              <w:jc w:val="center"/>
              <w:ind w:left="575"/>
              <w:spacing w:after="0"/>
              <w:rPr>
                <w:sz w:val="20"/>
                <w:szCs w:val="20"/>
                <w:color w:val="auto"/>
              </w:rPr>
            </w:pPr>
            <w:r>
              <w:rPr>
                <w:rFonts w:ascii="Arial" w:cs="Arial" w:eastAsia="Arial" w:hAnsi="Arial"/>
                <w:sz w:val="17"/>
                <w:szCs w:val="17"/>
                <w:color w:val="auto"/>
              </w:rPr>
              <w:t>February 22, 2022</w:t>
            </w:r>
          </w:p>
        </w:tc>
        <w:tc>
          <w:tcPr>
            <w:tcW w:w="0" w:type="dxa"/>
            <w:vAlign w:val="bottom"/>
          </w:tcPr>
          <w:p>
            <w:pPr>
              <w:spacing w:after="0"/>
              <w:rPr>
                <w:sz w:val="1"/>
                <w:szCs w:val="1"/>
                <w:color w:val="auto"/>
              </w:rPr>
            </w:pPr>
          </w:p>
        </w:tc>
      </w:tr>
      <w:tr>
        <w:trPr>
          <w:trHeight w:val="213"/>
        </w:trPr>
        <w:tc>
          <w:tcPr>
            <w:tcW w:w="3660" w:type="dxa"/>
            <w:vAlign w:val="bottom"/>
            <w:gridSpan w:val="3"/>
          </w:tcPr>
          <w:p>
            <w:pPr>
              <w:jc w:val="center"/>
              <w:spacing w:after="0"/>
              <w:rPr>
                <w:sz w:val="20"/>
                <w:szCs w:val="20"/>
                <w:color w:val="auto"/>
              </w:rPr>
            </w:pPr>
            <w:r>
              <w:rPr>
                <w:rFonts w:ascii="Arial" w:cs="Arial" w:eastAsia="Arial" w:hAnsi="Arial"/>
                <w:sz w:val="17"/>
                <w:szCs w:val="17"/>
                <w:color w:val="auto"/>
              </w:rPr>
              <w:t>Keith R. Leonard</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Sue-Jean Lin</w:t>
            </w:r>
          </w:p>
        </w:tc>
        <w:tc>
          <w:tcPr>
            <w:tcW w:w="4920" w:type="dxa"/>
            <w:vAlign w:val="bottom"/>
            <w:gridSpan w:val="3"/>
          </w:tcPr>
          <w:p>
            <w:pPr>
              <w:jc w:val="center"/>
              <w:spacing w:after="0"/>
              <w:rPr>
                <w:sz w:val="20"/>
                <w:szCs w:val="20"/>
                <w:color w:val="auto"/>
              </w:rPr>
            </w:pPr>
            <w:r>
              <w:rPr>
                <w:rFonts w:ascii="Arial" w:cs="Arial" w:eastAsia="Arial" w:hAnsi="Arial"/>
                <w:sz w:val="17"/>
                <w:szCs w:val="17"/>
                <w:color w:val="auto"/>
              </w:rPr>
              <w:t>Director</w:t>
            </w:r>
          </w:p>
        </w:tc>
        <w:tc>
          <w:tcPr>
            <w:tcW w:w="2060" w:type="dxa"/>
            <w:vAlign w:val="bottom"/>
            <w:gridSpan w:val="3"/>
          </w:tcPr>
          <w:p>
            <w:pPr>
              <w:jc w:val="center"/>
              <w:ind w:left="575"/>
              <w:spacing w:after="0"/>
              <w:rPr>
                <w:sz w:val="20"/>
                <w:szCs w:val="20"/>
                <w:color w:val="auto"/>
              </w:rPr>
            </w:pPr>
            <w:r>
              <w:rPr>
                <w:rFonts w:ascii="Arial" w:cs="Arial" w:eastAsia="Arial" w:hAnsi="Arial"/>
                <w:sz w:val="17"/>
                <w:szCs w:val="17"/>
                <w:color w:val="auto"/>
              </w:rPr>
              <w:t>February 22, 2022</w:t>
            </w:r>
          </w:p>
        </w:tc>
        <w:tc>
          <w:tcPr>
            <w:tcW w:w="0" w:type="dxa"/>
            <w:vAlign w:val="bottom"/>
          </w:tcPr>
          <w:p>
            <w:pPr>
              <w:spacing w:after="0"/>
              <w:rPr>
                <w:sz w:val="1"/>
                <w:szCs w:val="1"/>
                <w:color w:val="auto"/>
              </w:rPr>
            </w:pPr>
          </w:p>
        </w:tc>
      </w:tr>
      <w:tr>
        <w:trPr>
          <w:trHeight w:val="213"/>
        </w:trPr>
        <w:tc>
          <w:tcPr>
            <w:tcW w:w="3660" w:type="dxa"/>
            <w:vAlign w:val="bottom"/>
            <w:gridSpan w:val="3"/>
          </w:tcPr>
          <w:p>
            <w:pPr>
              <w:jc w:val="center"/>
              <w:spacing w:after="0"/>
              <w:rPr>
                <w:sz w:val="20"/>
                <w:szCs w:val="20"/>
                <w:color w:val="auto"/>
              </w:rPr>
            </w:pPr>
            <w:r>
              <w:rPr>
                <w:rFonts w:ascii="Arial" w:cs="Arial" w:eastAsia="Arial" w:hAnsi="Arial"/>
                <w:sz w:val="17"/>
                <w:szCs w:val="17"/>
                <w:color w:val="auto"/>
              </w:rPr>
              <w:t>Sue-Jean Lin</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Joseph Turner</w:t>
            </w:r>
          </w:p>
        </w:tc>
        <w:tc>
          <w:tcPr>
            <w:tcW w:w="4920" w:type="dxa"/>
            <w:vAlign w:val="bottom"/>
            <w:gridSpan w:val="3"/>
          </w:tcPr>
          <w:p>
            <w:pPr>
              <w:jc w:val="center"/>
              <w:spacing w:after="0"/>
              <w:rPr>
                <w:sz w:val="20"/>
                <w:szCs w:val="20"/>
                <w:color w:val="auto"/>
              </w:rPr>
            </w:pPr>
            <w:r>
              <w:rPr>
                <w:rFonts w:ascii="Arial" w:cs="Arial" w:eastAsia="Arial" w:hAnsi="Arial"/>
                <w:sz w:val="17"/>
                <w:szCs w:val="17"/>
                <w:color w:val="auto"/>
              </w:rPr>
              <w:t>Director</w:t>
            </w:r>
          </w:p>
        </w:tc>
        <w:tc>
          <w:tcPr>
            <w:tcW w:w="2060" w:type="dxa"/>
            <w:vAlign w:val="bottom"/>
            <w:gridSpan w:val="3"/>
          </w:tcPr>
          <w:p>
            <w:pPr>
              <w:jc w:val="center"/>
              <w:ind w:left="575"/>
              <w:spacing w:after="0"/>
              <w:rPr>
                <w:sz w:val="20"/>
                <w:szCs w:val="20"/>
                <w:color w:val="auto"/>
              </w:rPr>
            </w:pPr>
            <w:r>
              <w:rPr>
                <w:rFonts w:ascii="Arial" w:cs="Arial" w:eastAsia="Arial" w:hAnsi="Arial"/>
                <w:sz w:val="17"/>
                <w:szCs w:val="17"/>
                <w:color w:val="auto"/>
              </w:rPr>
              <w:t>February 22, 2022</w:t>
            </w:r>
          </w:p>
        </w:tc>
        <w:tc>
          <w:tcPr>
            <w:tcW w:w="0" w:type="dxa"/>
            <w:vAlign w:val="bottom"/>
          </w:tcPr>
          <w:p>
            <w:pPr>
              <w:spacing w:after="0"/>
              <w:rPr>
                <w:sz w:val="1"/>
                <w:szCs w:val="1"/>
                <w:color w:val="auto"/>
              </w:rPr>
            </w:pPr>
          </w:p>
        </w:tc>
      </w:tr>
      <w:tr>
        <w:trPr>
          <w:trHeight w:val="213"/>
        </w:trPr>
        <w:tc>
          <w:tcPr>
            <w:tcW w:w="3660" w:type="dxa"/>
            <w:vAlign w:val="bottom"/>
            <w:gridSpan w:val="3"/>
          </w:tcPr>
          <w:p>
            <w:pPr>
              <w:jc w:val="center"/>
              <w:spacing w:after="0"/>
              <w:rPr>
                <w:sz w:val="20"/>
                <w:szCs w:val="20"/>
                <w:color w:val="auto"/>
              </w:rPr>
            </w:pPr>
            <w:r>
              <w:rPr>
                <w:rFonts w:ascii="Arial" w:cs="Arial" w:eastAsia="Arial" w:hAnsi="Arial"/>
                <w:sz w:val="17"/>
                <w:szCs w:val="17"/>
                <w:color w:val="auto"/>
              </w:rPr>
              <w:t>Joseph Turner</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Howard G. Welgus</w:t>
            </w:r>
          </w:p>
        </w:tc>
        <w:tc>
          <w:tcPr>
            <w:tcW w:w="4920" w:type="dxa"/>
            <w:vAlign w:val="bottom"/>
            <w:gridSpan w:val="3"/>
          </w:tcPr>
          <w:p>
            <w:pPr>
              <w:jc w:val="center"/>
              <w:spacing w:after="0"/>
              <w:rPr>
                <w:sz w:val="20"/>
                <w:szCs w:val="20"/>
                <w:color w:val="auto"/>
              </w:rPr>
            </w:pPr>
            <w:r>
              <w:rPr>
                <w:rFonts w:ascii="Arial" w:cs="Arial" w:eastAsia="Arial" w:hAnsi="Arial"/>
                <w:sz w:val="17"/>
                <w:szCs w:val="17"/>
                <w:color w:val="auto"/>
              </w:rPr>
              <w:t>Director</w:t>
            </w:r>
          </w:p>
        </w:tc>
        <w:tc>
          <w:tcPr>
            <w:tcW w:w="2060" w:type="dxa"/>
            <w:vAlign w:val="bottom"/>
            <w:gridSpan w:val="3"/>
          </w:tcPr>
          <w:p>
            <w:pPr>
              <w:jc w:val="center"/>
              <w:ind w:left="575"/>
              <w:spacing w:after="0"/>
              <w:rPr>
                <w:sz w:val="20"/>
                <w:szCs w:val="20"/>
                <w:color w:val="auto"/>
              </w:rPr>
            </w:pPr>
            <w:r>
              <w:rPr>
                <w:rFonts w:ascii="Arial" w:cs="Arial" w:eastAsia="Arial" w:hAnsi="Arial"/>
                <w:sz w:val="17"/>
                <w:szCs w:val="17"/>
                <w:color w:val="auto"/>
              </w:rPr>
              <w:t>February 22, 2022</w:t>
            </w:r>
          </w:p>
        </w:tc>
        <w:tc>
          <w:tcPr>
            <w:tcW w:w="0" w:type="dxa"/>
            <w:vAlign w:val="bottom"/>
          </w:tcPr>
          <w:p>
            <w:pPr>
              <w:spacing w:after="0"/>
              <w:rPr>
                <w:sz w:val="1"/>
                <w:szCs w:val="1"/>
                <w:color w:val="auto"/>
              </w:rPr>
            </w:pPr>
          </w:p>
        </w:tc>
      </w:tr>
      <w:tr>
        <w:trPr>
          <w:trHeight w:val="213"/>
        </w:trPr>
        <w:tc>
          <w:tcPr>
            <w:tcW w:w="3660" w:type="dxa"/>
            <w:vAlign w:val="bottom"/>
            <w:gridSpan w:val="3"/>
          </w:tcPr>
          <w:p>
            <w:pPr>
              <w:jc w:val="center"/>
              <w:spacing w:after="0"/>
              <w:rPr>
                <w:sz w:val="20"/>
                <w:szCs w:val="20"/>
                <w:color w:val="auto"/>
              </w:rPr>
            </w:pPr>
            <w:r>
              <w:rPr>
                <w:rFonts w:ascii="Arial" w:cs="Arial" w:eastAsia="Arial" w:hAnsi="Arial"/>
                <w:sz w:val="17"/>
                <w:szCs w:val="17"/>
                <w:color w:val="auto"/>
              </w:rPr>
              <w:t>Howard G. Welgus, M.D.</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858" w:right="57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9"/>
          <w:szCs w:val="19"/>
          <w:b w:val="1"/>
          <w:bCs w:val="1"/>
          <w:color w:val="auto"/>
        </w:rPr>
        <w:t>ARCUTIS BIOTHERAPEUTICS, INC.</w:t>
      </w:r>
    </w:p>
    <w:p>
      <w:pPr>
        <w:jc w:val="center"/>
        <w:spacing w:after="0"/>
        <w:rPr>
          <w:sz w:val="20"/>
          <w:szCs w:val="20"/>
          <w:color w:val="auto"/>
        </w:rPr>
      </w:pPr>
      <w:r>
        <w:rPr>
          <w:rFonts w:ascii="Arial" w:cs="Arial" w:eastAsia="Arial" w:hAnsi="Arial"/>
          <w:sz w:val="19"/>
          <w:szCs w:val="19"/>
          <w:b w:val="1"/>
          <w:bCs w:val="1"/>
          <w:color w:val="auto"/>
        </w:rPr>
        <w:t>2022 EMPLOYMENT INDUCEMENT INCENTIVE PLAN</w:t>
      </w:r>
    </w:p>
    <w:p>
      <w:pPr>
        <w:spacing w:after="0" w:line="147" w:lineRule="exact"/>
        <w:rPr>
          <w:sz w:val="20"/>
          <w:szCs w:val="20"/>
          <w:color w:val="auto"/>
        </w:rPr>
      </w:pPr>
    </w:p>
    <w:p>
      <w:pPr>
        <w:jc w:val="both"/>
        <w:ind w:firstLine="3"/>
        <w:spacing w:after="0" w:line="227" w:lineRule="auto"/>
        <w:tabs>
          <w:tab w:leader="none" w:pos="620" w:val="left"/>
        </w:tabs>
        <w:numPr>
          <w:ilvl w:val="0"/>
          <w:numId w:val="7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PURPOSE</w:t>
      </w:r>
      <w:r>
        <w:rPr>
          <w:rFonts w:ascii="Arial" w:cs="Arial" w:eastAsia="Arial" w:hAnsi="Arial"/>
          <w:sz w:val="19"/>
          <w:szCs w:val="19"/>
          <w:color w:val="auto"/>
        </w:rPr>
        <w:t>. The purpose of this Plan is to provide incentives to attract, retain and motivate eligible employees whose potential</w:t>
      </w:r>
      <w:r>
        <w:rPr>
          <w:rFonts w:ascii="Arial" w:cs="Arial" w:eastAsia="Arial" w:hAnsi="Arial"/>
          <w:sz w:val="19"/>
          <w:szCs w:val="19"/>
          <w:b w:val="1"/>
          <w:bCs w:val="1"/>
          <w:color w:val="auto"/>
        </w:rPr>
        <w:t xml:space="preserve"> </w:t>
      </w:r>
      <w:r>
        <w:rPr>
          <w:rFonts w:ascii="Arial" w:cs="Arial" w:eastAsia="Arial" w:hAnsi="Arial"/>
          <w:sz w:val="19"/>
          <w:szCs w:val="19"/>
          <w:color w:val="auto"/>
        </w:rPr>
        <w:t>contributions are important to the success of the Company, and any Subsidiaries that exist now or in the future, by offering them an opportunity to participate in the Company’s future performance through the grant of Awards. Capitalized terms not defined elsewhere in the text are defined in Section 28.</w:t>
      </w:r>
    </w:p>
    <w:p>
      <w:pPr>
        <w:spacing w:after="0" w:line="155" w:lineRule="exact"/>
        <w:rPr>
          <w:rFonts w:ascii="Arial" w:cs="Arial" w:eastAsia="Arial" w:hAnsi="Arial"/>
          <w:sz w:val="19"/>
          <w:szCs w:val="19"/>
          <w:b w:val="1"/>
          <w:bCs w:val="1"/>
          <w:color w:val="010000"/>
        </w:rPr>
      </w:pPr>
    </w:p>
    <w:p>
      <w:pPr>
        <w:ind w:left="620" w:hanging="617"/>
        <w:spacing w:after="0"/>
        <w:tabs>
          <w:tab w:leader="none" w:pos="620" w:val="left"/>
        </w:tabs>
        <w:numPr>
          <w:ilvl w:val="0"/>
          <w:numId w:val="7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SHARES SUBJECT TO THE PLAN</w:t>
      </w:r>
      <w:r>
        <w:rPr>
          <w:rFonts w:ascii="Arial" w:cs="Arial" w:eastAsia="Arial" w:hAnsi="Arial"/>
          <w:sz w:val="19"/>
          <w:szCs w:val="19"/>
          <w:color w:val="auto"/>
        </w:rPr>
        <w:t>.</w:t>
      </w:r>
    </w:p>
    <w:p>
      <w:pPr>
        <w:spacing w:after="0" w:line="182" w:lineRule="exact"/>
        <w:rPr>
          <w:sz w:val="20"/>
          <w:szCs w:val="20"/>
          <w:color w:val="auto"/>
        </w:rPr>
      </w:pPr>
    </w:p>
    <w:p>
      <w:pPr>
        <w:jc w:val="both"/>
        <w:ind w:firstLine="620"/>
        <w:spacing w:after="0" w:line="232" w:lineRule="auto"/>
        <w:rPr>
          <w:sz w:val="20"/>
          <w:szCs w:val="20"/>
          <w:color w:val="auto"/>
        </w:rPr>
      </w:pPr>
      <w:r>
        <w:rPr>
          <w:rFonts w:ascii="Arial" w:cs="Arial" w:eastAsia="Arial" w:hAnsi="Arial"/>
          <w:sz w:val="19"/>
          <w:szCs w:val="19"/>
          <w:b w:val="1"/>
          <w:bCs w:val="1"/>
          <w:color w:val="010000"/>
        </w:rPr>
        <w:t xml:space="preserve">2.1. </w:t>
      </w:r>
      <w:r>
        <w:rPr>
          <w:rFonts w:ascii="Arial" w:cs="Arial" w:eastAsia="Arial" w:hAnsi="Arial"/>
          <w:sz w:val="19"/>
          <w:szCs w:val="19"/>
          <w:u w:val="single" w:color="auto"/>
          <w:color w:val="000000"/>
        </w:rPr>
        <w:t>Number of Shares Available</w:t>
      </w:r>
      <w:r>
        <w:rPr>
          <w:rFonts w:ascii="Arial" w:cs="Arial" w:eastAsia="Arial" w:hAnsi="Arial"/>
          <w:sz w:val="19"/>
          <w:szCs w:val="19"/>
          <w:color w:val="000000"/>
        </w:rPr>
        <w:t>. Subject to Section 2.4, Section 2.6 and Section 21 and any other applicable provisions hereof,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total number of Shares reserved and available for grant and issuance pursuant to this Plan as of the date of adoption of the Plan by the Board, is One Million, Two Hundred Fifty Thousand (1,250,000) Shares.</w:t>
      </w:r>
    </w:p>
    <w:p>
      <w:pPr>
        <w:spacing w:after="0" w:line="155" w:lineRule="exact"/>
        <w:rPr>
          <w:sz w:val="20"/>
          <w:szCs w:val="20"/>
          <w:color w:val="auto"/>
        </w:rPr>
      </w:pPr>
    </w:p>
    <w:p>
      <w:pPr>
        <w:jc w:val="both"/>
        <w:ind w:firstLine="620"/>
        <w:spacing w:after="0" w:line="246" w:lineRule="auto"/>
        <w:rPr>
          <w:sz w:val="20"/>
          <w:szCs w:val="20"/>
          <w:color w:val="auto"/>
        </w:rPr>
      </w:pPr>
      <w:r>
        <w:rPr>
          <w:rFonts w:ascii="Arial" w:cs="Arial" w:eastAsia="Arial" w:hAnsi="Arial"/>
          <w:sz w:val="17"/>
          <w:szCs w:val="17"/>
          <w:b w:val="1"/>
          <w:bCs w:val="1"/>
          <w:color w:val="010000"/>
        </w:rPr>
        <w:t xml:space="preserve">2.2. </w:t>
      </w:r>
      <w:r>
        <w:rPr>
          <w:rFonts w:ascii="Arial" w:cs="Arial" w:eastAsia="Arial" w:hAnsi="Arial"/>
          <w:sz w:val="17"/>
          <w:szCs w:val="17"/>
          <w:u w:val="single" w:color="auto"/>
          <w:color w:val="000000"/>
        </w:rPr>
        <w:t>Lapsed, Returned Awards</w:t>
      </w:r>
      <w:r>
        <w:rPr>
          <w:rFonts w:ascii="Arial" w:cs="Arial" w:eastAsia="Arial" w:hAnsi="Arial"/>
          <w:sz w:val="17"/>
          <w:szCs w:val="17"/>
          <w:color w:val="000000"/>
        </w:rPr>
        <w:t>. Shares subject to Awards, and Shares issued under the Plan under any Award, will again be available for</w:t>
      </w:r>
      <w:r>
        <w:rPr>
          <w:rFonts w:ascii="Arial" w:cs="Arial" w:eastAsia="Arial" w:hAnsi="Arial"/>
          <w:sz w:val="17"/>
          <w:szCs w:val="17"/>
          <w:b w:val="1"/>
          <w:bCs w:val="1"/>
          <w:color w:val="010000"/>
        </w:rPr>
        <w:t xml:space="preserve"> </w:t>
      </w:r>
      <w:r>
        <w:rPr>
          <w:rFonts w:ascii="Arial" w:cs="Arial" w:eastAsia="Arial" w:hAnsi="Arial"/>
          <w:sz w:val="17"/>
          <w:szCs w:val="17"/>
          <w:color w:val="000000"/>
        </w:rPr>
        <w:t>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w:t>
      </w:r>
    </w:p>
    <w:p>
      <w:pPr>
        <w:spacing w:after="0" w:line="2" w:lineRule="exact"/>
        <w:rPr>
          <w:sz w:val="20"/>
          <w:szCs w:val="20"/>
          <w:color w:val="auto"/>
        </w:rPr>
      </w:pPr>
    </w:p>
    <w:p>
      <w:pPr>
        <w:jc w:val="both"/>
        <w:ind w:firstLine="3"/>
        <w:spacing w:after="0" w:line="229" w:lineRule="auto"/>
        <w:tabs>
          <w:tab w:leader="none" w:pos="2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sale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59"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9"/>
          <w:szCs w:val="19"/>
          <w:b w:val="1"/>
          <w:bCs w:val="1"/>
          <w:color w:val="010000"/>
        </w:rPr>
        <w:t xml:space="preserve">2.3. </w:t>
      </w:r>
      <w:r>
        <w:rPr>
          <w:rFonts w:ascii="Arial" w:cs="Arial" w:eastAsia="Arial" w:hAnsi="Arial"/>
          <w:sz w:val="19"/>
          <w:szCs w:val="19"/>
          <w:u w:val="single" w:color="auto"/>
          <w:color w:val="000000"/>
        </w:rPr>
        <w:t>Minimum Share Reserve</w:t>
      </w:r>
      <w:r>
        <w:rPr>
          <w:rFonts w:ascii="Arial" w:cs="Arial" w:eastAsia="Arial" w:hAnsi="Arial"/>
          <w:sz w:val="19"/>
          <w:szCs w:val="19"/>
          <w:color w:val="000000"/>
        </w:rPr>
        <w:t>. At all times the Company will reserve and keep available a sufficient number of Shares as will be</w:t>
      </w:r>
      <w:r>
        <w:rPr>
          <w:rFonts w:ascii="Arial" w:cs="Arial" w:eastAsia="Arial" w:hAnsi="Arial"/>
          <w:sz w:val="19"/>
          <w:szCs w:val="19"/>
          <w:b w:val="1"/>
          <w:bCs w:val="1"/>
          <w:color w:val="010000"/>
        </w:rPr>
        <w:t xml:space="preserve"> </w:t>
      </w:r>
      <w:r>
        <w:rPr>
          <w:rFonts w:ascii="Arial" w:cs="Arial" w:eastAsia="Arial" w:hAnsi="Arial"/>
          <w:sz w:val="19"/>
          <w:szCs w:val="19"/>
          <w:color w:val="000000"/>
        </w:rPr>
        <w:t>required to satisfy the requirements of all outstanding Awards granted under this Plan.</w:t>
      </w:r>
    </w:p>
    <w:p>
      <w:pPr>
        <w:spacing w:after="0" w:line="152" w:lineRule="exact"/>
        <w:rPr>
          <w:sz w:val="20"/>
          <w:szCs w:val="20"/>
          <w:color w:val="auto"/>
        </w:rPr>
      </w:pPr>
    </w:p>
    <w:p>
      <w:pPr>
        <w:jc w:val="both"/>
        <w:ind w:firstLine="620"/>
        <w:spacing w:after="0" w:line="233" w:lineRule="auto"/>
        <w:rPr>
          <w:sz w:val="20"/>
          <w:szCs w:val="20"/>
          <w:color w:val="auto"/>
        </w:rPr>
      </w:pPr>
      <w:r>
        <w:rPr>
          <w:rFonts w:ascii="Arial" w:cs="Arial" w:eastAsia="Arial" w:hAnsi="Arial"/>
          <w:sz w:val="18"/>
          <w:szCs w:val="18"/>
          <w:b w:val="1"/>
          <w:bCs w:val="1"/>
          <w:color w:val="010000"/>
        </w:rPr>
        <w:t xml:space="preserve">2.4. </w:t>
      </w:r>
      <w:r>
        <w:rPr>
          <w:rFonts w:ascii="Arial" w:cs="Arial" w:eastAsia="Arial" w:hAnsi="Arial"/>
          <w:sz w:val="18"/>
          <w:szCs w:val="18"/>
          <w:u w:val="single" w:color="auto"/>
          <w:color w:val="000000"/>
        </w:rPr>
        <w:t>Adjustment of Shares</w:t>
      </w:r>
      <w:r>
        <w:rPr>
          <w:rFonts w:ascii="Arial" w:cs="Arial" w:eastAsia="Arial" w:hAnsi="Arial"/>
          <w:sz w:val="18"/>
          <w:szCs w:val="18"/>
          <w:color w:val="000000"/>
        </w:rPr>
        <w:t>. If the number of outstanding Shares is changed by a stock dividend, extraordinary dividend or distribution</w:t>
      </w:r>
      <w:r>
        <w:rPr>
          <w:rFonts w:ascii="Arial" w:cs="Arial" w:eastAsia="Arial" w:hAnsi="Arial"/>
          <w:sz w:val="18"/>
          <w:szCs w:val="18"/>
          <w:b w:val="1"/>
          <w:bCs w:val="1"/>
          <w:color w:val="010000"/>
        </w:rPr>
        <w:t xml:space="preserve"> </w:t>
      </w:r>
      <w:r>
        <w:rPr>
          <w:rFonts w:ascii="Arial" w:cs="Arial" w:eastAsia="Arial" w:hAnsi="Arial"/>
          <w:sz w:val="18"/>
          <w:szCs w:val="18"/>
          <w:color w:val="000000"/>
        </w:rPr>
        <w:t>(whether 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the Plan set forth in Section 2.1, (b) the Exercise Prices of and number and class of Shares subject to outstanding Options and SARs and (c) the number and class of Shares subject to other outstanding Awards will be proportionately adjusted, subject to any required action by the Board or the stockholders of the Company and in compliance with applicable securities laws; provided that fractions of a Share will not be issued.</w:t>
      </w:r>
    </w:p>
    <w:p>
      <w:pPr>
        <w:spacing w:after="0" w:line="189" w:lineRule="exact"/>
        <w:rPr>
          <w:sz w:val="20"/>
          <w:szCs w:val="20"/>
          <w:color w:val="auto"/>
        </w:rPr>
      </w:pPr>
    </w:p>
    <w:p>
      <w:pPr>
        <w:jc w:val="both"/>
        <w:ind w:firstLine="620"/>
        <w:spacing w:after="0" w:line="215" w:lineRule="auto"/>
        <w:rPr>
          <w:sz w:val="20"/>
          <w:szCs w:val="20"/>
          <w:color w:val="auto"/>
        </w:rPr>
      </w:pPr>
      <w:r>
        <w:rPr>
          <w:rFonts w:ascii="Arial" w:cs="Arial" w:eastAsia="Arial" w:hAnsi="Arial"/>
          <w:sz w:val="19"/>
          <w:szCs w:val="19"/>
          <w:color w:val="auto"/>
        </w:rPr>
        <w:t>If, by reason of an adjustment pursuant to this Section 2.4,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w:t>
      </w:r>
    </w:p>
    <w:p>
      <w:pPr>
        <w:spacing w:after="0" w:line="141" w:lineRule="exact"/>
        <w:rPr>
          <w:sz w:val="20"/>
          <w:szCs w:val="20"/>
          <w:color w:val="auto"/>
        </w:rPr>
      </w:pPr>
    </w:p>
    <w:p>
      <w:pPr>
        <w:ind w:left="620" w:hanging="617"/>
        <w:spacing w:after="0"/>
        <w:tabs>
          <w:tab w:leader="none" w:pos="620" w:val="left"/>
        </w:tabs>
        <w:numPr>
          <w:ilvl w:val="0"/>
          <w:numId w:val="7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ELIGIBILITY</w:t>
      </w:r>
      <w:r>
        <w:rPr>
          <w:rFonts w:ascii="Arial" w:cs="Arial" w:eastAsia="Arial" w:hAnsi="Arial"/>
          <w:sz w:val="19"/>
          <w:szCs w:val="19"/>
          <w:color w:val="auto"/>
        </w:rPr>
        <w:t>. All Awards may be granted to only to Eligible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29" w:right="339" w:bottom="1440" w:gutter="0" w:footer="0" w:header="0"/>
        </w:sectPr>
      </w:pPr>
    </w:p>
    <w:bookmarkStart w:id="144" w:name="page145"/>
    <w:bookmarkEnd w:id="144"/>
    <w:p>
      <w:pPr>
        <w:spacing w:after="0" w:line="112" w:lineRule="exact"/>
        <w:rPr>
          <w:sz w:val="20"/>
          <w:szCs w:val="20"/>
          <w:color w:val="auto"/>
        </w:rPr>
      </w:pPr>
    </w:p>
    <w:p>
      <w:pPr>
        <w:ind w:left="620" w:hanging="617"/>
        <w:spacing w:after="0"/>
        <w:tabs>
          <w:tab w:leader="none" w:pos="620" w:val="left"/>
        </w:tabs>
        <w:numPr>
          <w:ilvl w:val="0"/>
          <w:numId w:val="7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ADMINISTRATION</w:t>
      </w:r>
      <w:r>
        <w:rPr>
          <w:rFonts w:ascii="Arial" w:cs="Arial" w:eastAsia="Arial" w:hAnsi="Arial"/>
          <w:sz w:val="19"/>
          <w:szCs w:val="19"/>
          <w:color w:val="auto"/>
        </w:rPr>
        <w:t>.</w:t>
      </w:r>
    </w:p>
    <w:p>
      <w:pPr>
        <w:spacing w:after="0" w:line="182" w:lineRule="exact"/>
        <w:rPr>
          <w:sz w:val="20"/>
          <w:szCs w:val="20"/>
          <w:color w:val="auto"/>
        </w:rPr>
      </w:pPr>
    </w:p>
    <w:p>
      <w:pPr>
        <w:jc w:val="both"/>
        <w:ind w:firstLine="620"/>
        <w:spacing w:after="0" w:line="227" w:lineRule="auto"/>
        <w:rPr>
          <w:sz w:val="20"/>
          <w:szCs w:val="20"/>
          <w:color w:val="auto"/>
        </w:rPr>
      </w:pPr>
      <w:r>
        <w:rPr>
          <w:rFonts w:ascii="Arial" w:cs="Arial" w:eastAsia="Arial" w:hAnsi="Arial"/>
          <w:sz w:val="19"/>
          <w:szCs w:val="19"/>
          <w:b w:val="1"/>
          <w:bCs w:val="1"/>
          <w:color w:val="010000"/>
        </w:rPr>
        <w:t xml:space="preserve">4.1. </w:t>
      </w:r>
      <w:r>
        <w:rPr>
          <w:rFonts w:ascii="Arial" w:cs="Arial" w:eastAsia="Arial" w:hAnsi="Arial"/>
          <w:sz w:val="19"/>
          <w:szCs w:val="19"/>
          <w:u w:val="single" w:color="auto"/>
          <w:color w:val="000000"/>
        </w:rPr>
        <w:t>Committee Composition; Authority</w:t>
      </w:r>
      <w:r>
        <w:rPr>
          <w:rFonts w:ascii="Arial" w:cs="Arial" w:eastAsia="Arial" w:hAnsi="Arial"/>
          <w:sz w:val="19"/>
          <w:szCs w:val="19"/>
          <w:color w:val="000000"/>
        </w:rPr>
        <w:t>. This Plan will be administered by the Committee or by the Board acting as the Committee.</w:t>
      </w:r>
      <w:r>
        <w:rPr>
          <w:rFonts w:ascii="Arial" w:cs="Arial" w:eastAsia="Arial" w:hAnsi="Arial"/>
          <w:sz w:val="19"/>
          <w:szCs w:val="19"/>
          <w:b w:val="1"/>
          <w:bCs w:val="1"/>
          <w:color w:val="010000"/>
        </w:rPr>
        <w:t xml:space="preserve"> </w:t>
      </w:r>
      <w:r>
        <w:rPr>
          <w:rFonts w:ascii="Arial" w:cs="Arial" w:eastAsia="Arial" w:hAnsi="Arial"/>
          <w:sz w:val="19"/>
          <w:szCs w:val="19"/>
          <w:color w:val="000000"/>
        </w:rPr>
        <w:t>Subject to the general purposes, terms and conditions of this Plan, and to the direction of the Board, the Committee will have full power to implement and carry out this Plan, except, however, the Board will establish the terms for the grant of an Award to Non-Employee Directors. The Committee will have the authority to:</w:t>
      </w:r>
    </w:p>
    <w:p>
      <w:pPr>
        <w:spacing w:after="0" w:line="161" w:lineRule="exact"/>
        <w:rPr>
          <w:sz w:val="20"/>
          <w:szCs w:val="20"/>
          <w:color w:val="auto"/>
        </w:rPr>
      </w:pPr>
    </w:p>
    <w:p>
      <w:pPr>
        <w:ind w:left="1860" w:hanging="616"/>
        <w:spacing w:after="0"/>
        <w:tabs>
          <w:tab w:leader="none" w:pos="1860"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construe and interpret this Plan, any Award Agreement and any other agreement or document executed pursuant to this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Plan;</w:t>
      </w:r>
    </w:p>
    <w:p>
      <w:pPr>
        <w:spacing w:after="0" w:line="166" w:lineRule="exact"/>
        <w:rPr>
          <w:sz w:val="20"/>
          <w:szCs w:val="20"/>
          <w:color w:val="auto"/>
        </w:rPr>
      </w:pPr>
    </w:p>
    <w:p>
      <w:pPr>
        <w:ind w:left="1860" w:hanging="616"/>
        <w:spacing w:after="0"/>
        <w:tabs>
          <w:tab w:leader="none" w:pos="1860"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prescribe, amend and rescind rules and regulations relating to this Plan or any Award;</w:t>
      </w:r>
    </w:p>
    <w:p>
      <w:pPr>
        <w:spacing w:after="0" w:line="182" w:lineRule="exact"/>
        <w:rPr>
          <w:rFonts w:ascii="Arial" w:cs="Arial" w:eastAsia="Arial" w:hAnsi="Arial"/>
          <w:sz w:val="19"/>
          <w:szCs w:val="19"/>
          <w:color w:val="010000"/>
        </w:rPr>
      </w:pPr>
    </w:p>
    <w:p>
      <w:pPr>
        <w:ind w:left="1860" w:hanging="616"/>
        <w:spacing w:after="0"/>
        <w:tabs>
          <w:tab w:leader="none" w:pos="1860"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select Eligible Employees to receive Awards;</w:t>
      </w:r>
    </w:p>
    <w:p>
      <w:pPr>
        <w:spacing w:after="0" w:line="182" w:lineRule="exact"/>
        <w:rPr>
          <w:rFonts w:ascii="Arial" w:cs="Arial" w:eastAsia="Arial" w:hAnsi="Arial"/>
          <w:sz w:val="19"/>
          <w:szCs w:val="19"/>
          <w:color w:val="010000"/>
        </w:rPr>
      </w:pPr>
    </w:p>
    <w:p>
      <w:pPr>
        <w:jc w:val="both"/>
        <w:ind w:firstLine="1244"/>
        <w:spacing w:after="0" w:line="223" w:lineRule="auto"/>
        <w:tabs>
          <w:tab w:leader="none" w:pos="1849"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60" w:lineRule="exact"/>
        <w:rPr>
          <w:rFonts w:ascii="Arial" w:cs="Arial" w:eastAsia="Arial" w:hAnsi="Arial"/>
          <w:sz w:val="19"/>
          <w:szCs w:val="19"/>
          <w:color w:val="010000"/>
        </w:rPr>
      </w:pPr>
    </w:p>
    <w:p>
      <w:pPr>
        <w:ind w:left="1860" w:hanging="616"/>
        <w:spacing w:after="0"/>
        <w:tabs>
          <w:tab w:leader="none" w:pos="1860"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determine the number of Shares or other consideration subject to Awards;</w:t>
      </w:r>
    </w:p>
    <w:p>
      <w:pPr>
        <w:spacing w:after="0" w:line="182" w:lineRule="exact"/>
        <w:rPr>
          <w:rFonts w:ascii="Arial" w:cs="Arial" w:eastAsia="Arial" w:hAnsi="Arial"/>
          <w:sz w:val="19"/>
          <w:szCs w:val="19"/>
          <w:color w:val="010000"/>
        </w:rPr>
      </w:pPr>
    </w:p>
    <w:p>
      <w:pPr>
        <w:ind w:firstLine="1244"/>
        <w:spacing w:after="0" w:line="238" w:lineRule="auto"/>
        <w:tabs>
          <w:tab w:leader="none" w:pos="1856"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61" w:lineRule="exact"/>
        <w:rPr>
          <w:rFonts w:ascii="Arial" w:cs="Arial" w:eastAsia="Arial" w:hAnsi="Arial"/>
          <w:sz w:val="19"/>
          <w:szCs w:val="19"/>
          <w:color w:val="010000"/>
        </w:rPr>
      </w:pPr>
    </w:p>
    <w:p>
      <w:pPr>
        <w:ind w:firstLine="1244"/>
        <w:spacing w:after="0" w:line="238" w:lineRule="auto"/>
        <w:tabs>
          <w:tab w:leader="none" w:pos="1849"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determine whether Awards will be granted singly, in combination with, in tandem with, in replacement of, or as alternatives to, other Awards under this Plan or any other incentive or compensation plan of the Company or any Subsidiary;</w:t>
      </w:r>
    </w:p>
    <w:p>
      <w:pPr>
        <w:spacing w:after="0" w:line="161" w:lineRule="exact"/>
        <w:rPr>
          <w:rFonts w:ascii="Arial" w:cs="Arial" w:eastAsia="Arial" w:hAnsi="Arial"/>
          <w:sz w:val="19"/>
          <w:szCs w:val="19"/>
          <w:color w:val="010000"/>
        </w:rPr>
      </w:pPr>
    </w:p>
    <w:p>
      <w:pPr>
        <w:ind w:left="1860" w:hanging="616"/>
        <w:spacing w:after="0"/>
        <w:tabs>
          <w:tab w:leader="none" w:pos="1860"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grant waivers of Plan or Award conditions;</w:t>
      </w:r>
    </w:p>
    <w:p>
      <w:pPr>
        <w:spacing w:after="0" w:line="182" w:lineRule="exact"/>
        <w:rPr>
          <w:rFonts w:ascii="Arial" w:cs="Arial" w:eastAsia="Arial" w:hAnsi="Arial"/>
          <w:sz w:val="19"/>
          <w:szCs w:val="19"/>
          <w:color w:val="010000"/>
        </w:rPr>
      </w:pPr>
    </w:p>
    <w:p>
      <w:pPr>
        <w:ind w:left="1860" w:hanging="616"/>
        <w:spacing w:after="0"/>
        <w:tabs>
          <w:tab w:leader="none" w:pos="1860"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determine the vesting, exercisability and payment of Awards;</w:t>
      </w:r>
    </w:p>
    <w:p>
      <w:pPr>
        <w:spacing w:after="0" w:line="182" w:lineRule="exact"/>
        <w:rPr>
          <w:rFonts w:ascii="Arial" w:cs="Arial" w:eastAsia="Arial" w:hAnsi="Arial"/>
          <w:sz w:val="19"/>
          <w:szCs w:val="19"/>
          <w:color w:val="010000"/>
        </w:rPr>
      </w:pPr>
    </w:p>
    <w:p>
      <w:pPr>
        <w:ind w:left="1860" w:hanging="616"/>
        <w:spacing w:after="0"/>
        <w:tabs>
          <w:tab w:leader="none" w:pos="1860"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correct any defect, supply any omission or reconcile any inconsistency in this Plan, any Award or any Award Agreement;</w:t>
      </w:r>
    </w:p>
    <w:p>
      <w:pPr>
        <w:spacing w:after="0" w:line="205" w:lineRule="exact"/>
        <w:rPr>
          <w:rFonts w:ascii="Arial" w:cs="Arial" w:eastAsia="Arial" w:hAnsi="Arial"/>
          <w:sz w:val="17"/>
          <w:szCs w:val="17"/>
          <w:color w:val="010000"/>
        </w:rPr>
      </w:pPr>
    </w:p>
    <w:p>
      <w:pPr>
        <w:ind w:left="1860" w:hanging="616"/>
        <w:spacing w:after="0"/>
        <w:tabs>
          <w:tab w:leader="none" w:pos="1860"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determine whether an Award has been vested and/or earned;</w:t>
      </w:r>
    </w:p>
    <w:p>
      <w:pPr>
        <w:spacing w:after="0" w:line="182" w:lineRule="exact"/>
        <w:rPr>
          <w:rFonts w:ascii="Arial" w:cs="Arial" w:eastAsia="Arial" w:hAnsi="Arial"/>
          <w:sz w:val="19"/>
          <w:szCs w:val="19"/>
          <w:color w:val="010000"/>
        </w:rPr>
      </w:pPr>
    </w:p>
    <w:p>
      <w:pPr>
        <w:ind w:left="1860" w:hanging="616"/>
        <w:spacing w:after="0"/>
        <w:tabs>
          <w:tab w:leader="none" w:pos="1860"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determine the terms and conditions of any, and to institute any Exchange Program;</w:t>
      </w:r>
    </w:p>
    <w:p>
      <w:pPr>
        <w:spacing w:after="0" w:line="182" w:lineRule="exact"/>
        <w:rPr>
          <w:rFonts w:ascii="Arial" w:cs="Arial" w:eastAsia="Arial" w:hAnsi="Arial"/>
          <w:sz w:val="19"/>
          <w:szCs w:val="19"/>
          <w:color w:val="010000"/>
        </w:rPr>
      </w:pPr>
    </w:p>
    <w:p>
      <w:pPr>
        <w:ind w:left="1860" w:hanging="616"/>
        <w:spacing w:after="0"/>
        <w:tabs>
          <w:tab w:leader="none" w:pos="1860"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reduce, waive or modify any criteria with respect to Performance Factors;</w:t>
      </w:r>
    </w:p>
    <w:p>
      <w:pPr>
        <w:spacing w:after="0" w:line="182" w:lineRule="exact"/>
        <w:rPr>
          <w:rFonts w:ascii="Arial" w:cs="Arial" w:eastAsia="Arial" w:hAnsi="Arial"/>
          <w:sz w:val="19"/>
          <w:szCs w:val="19"/>
          <w:color w:val="010000"/>
        </w:rPr>
      </w:pPr>
    </w:p>
    <w:p>
      <w:pPr>
        <w:ind w:left="1860" w:hanging="616"/>
        <w:spacing w:after="0"/>
        <w:tabs>
          <w:tab w:leader="none" w:pos="1860"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adjust Performance Factors;</w:t>
      </w:r>
    </w:p>
    <w:p>
      <w:pPr>
        <w:spacing w:after="0" w:line="182" w:lineRule="exact"/>
        <w:rPr>
          <w:rFonts w:ascii="Arial" w:cs="Arial" w:eastAsia="Arial" w:hAnsi="Arial"/>
          <w:sz w:val="19"/>
          <w:szCs w:val="19"/>
          <w:color w:val="010000"/>
        </w:rPr>
      </w:pPr>
    </w:p>
    <w:p>
      <w:pPr>
        <w:jc w:val="both"/>
        <w:ind w:firstLine="1244"/>
        <w:spacing w:after="0" w:line="230" w:lineRule="auto"/>
        <w:tabs>
          <w:tab w:leader="none" w:pos="1849"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adopt terms and conditions, rules and/or procedures (including the adoption of any subplan under this Plan) relating to the operation and administration of the Plan to accommodate requirements of local law and procedures outside of the United States or to qualify Awards for special tax treatment under laws of jurisdictions other than the United States;</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17" w:lineRule="exact"/>
        <w:rPr>
          <w:sz w:val="20"/>
          <w:szCs w:val="20"/>
          <w:color w:val="auto"/>
        </w:rPr>
      </w:pPr>
    </w:p>
    <w:p>
      <w:pPr>
        <w:ind w:left="1860" w:hanging="616"/>
        <w:spacing w:after="0"/>
        <w:tabs>
          <w:tab w:leader="none" w:pos="1860"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exercise discretion with respect to Performance Awards; and</w:t>
      </w:r>
    </w:p>
    <w:p>
      <w:pPr>
        <w:spacing w:after="0" w:line="182" w:lineRule="exact"/>
        <w:rPr>
          <w:rFonts w:ascii="Arial" w:cs="Arial" w:eastAsia="Arial" w:hAnsi="Arial"/>
          <w:sz w:val="19"/>
          <w:szCs w:val="19"/>
          <w:color w:val="010000"/>
        </w:rPr>
      </w:pPr>
    </w:p>
    <w:p>
      <w:pPr>
        <w:jc w:val="both"/>
        <w:ind w:firstLine="1244"/>
        <w:spacing w:after="0" w:line="233" w:lineRule="auto"/>
        <w:tabs>
          <w:tab w:leader="none" w:pos="1849"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make all other determinations necessary or advisable for the administration of this Plan, including imposing, incidental to the grant of an Award, conditions with respect to the Award, including procedures to ensure that an Employee is eligible to participate in the Plan prior to the granting of any awards to such Employee under the Plan (including, without limitation, a requirement, if any, that each such Employee certify to the Company prior to the receipt of an award under the Plan that he or she has not been previously employed by the Company or a Subsidiary, or if previously employed, has had a bona fide period of non-employment, and that the grant of an award under the Plan is an inducement material to his or her agreement to enter into employment with the Company or a Subsidiary).</w:t>
      </w:r>
    </w:p>
    <w:p>
      <w:pPr>
        <w:spacing w:after="0" w:line="158" w:lineRule="exact"/>
        <w:rPr>
          <w:sz w:val="20"/>
          <w:szCs w:val="20"/>
          <w:color w:val="auto"/>
        </w:rPr>
      </w:pPr>
    </w:p>
    <w:p>
      <w:pPr>
        <w:jc w:val="both"/>
        <w:ind w:firstLine="620"/>
        <w:spacing w:after="0" w:line="237" w:lineRule="auto"/>
        <w:rPr>
          <w:sz w:val="20"/>
          <w:szCs w:val="20"/>
          <w:color w:val="auto"/>
        </w:rPr>
      </w:pPr>
      <w:r>
        <w:rPr>
          <w:rFonts w:ascii="Arial" w:cs="Arial" w:eastAsia="Arial" w:hAnsi="Arial"/>
          <w:sz w:val="18"/>
          <w:szCs w:val="18"/>
          <w:b w:val="1"/>
          <w:bCs w:val="1"/>
          <w:color w:val="010000"/>
        </w:rPr>
        <w:t xml:space="preserve">4.2. </w:t>
      </w:r>
      <w:r>
        <w:rPr>
          <w:rFonts w:ascii="Arial" w:cs="Arial" w:eastAsia="Arial" w:hAnsi="Arial"/>
          <w:sz w:val="18"/>
          <w:szCs w:val="18"/>
          <w:u w:val="single" w:color="auto"/>
          <w:color w:val="000000"/>
        </w:rPr>
        <w:t>Committee Interpretation and Discretion</w:t>
      </w:r>
      <w:r>
        <w:rPr>
          <w:rFonts w:ascii="Arial" w:cs="Arial" w:eastAsia="Arial" w:hAnsi="Arial"/>
          <w:sz w:val="18"/>
          <w:szCs w:val="18"/>
          <w:color w:val="000000"/>
        </w:rPr>
        <w:t>. Any determination made by the Committee with respect to any Award will be made in its</w:t>
      </w:r>
      <w:r>
        <w:rPr>
          <w:rFonts w:ascii="Arial" w:cs="Arial" w:eastAsia="Arial" w:hAnsi="Arial"/>
          <w:sz w:val="18"/>
          <w:szCs w:val="18"/>
          <w:b w:val="1"/>
          <w:bCs w:val="1"/>
          <w:color w:val="010000"/>
        </w:rPr>
        <w:t xml:space="preserve"> </w:t>
      </w:r>
      <w:r>
        <w:rPr>
          <w:rFonts w:ascii="Arial" w:cs="Arial" w:eastAsia="Arial" w:hAnsi="Arial"/>
          <w:sz w:val="18"/>
          <w:szCs w:val="18"/>
          <w:color w:val="000000"/>
        </w:rPr>
        <w:t>sole discretion at the time of grant of the Award or, unless in contravention of any express term of the Plan or Award, at any later time, and such determination will be final and binding on the Company and all persons having an interest in any Award under the Plan. Any dispute regarding the interpretation of the Plan or any Award Agreement will be submitted by the Participant or Company to the Committee for review. The resolution of such a dispute by the Committee will be final and binding on the Company and the Participant.</w:t>
      </w:r>
    </w:p>
    <w:p>
      <w:pPr>
        <w:spacing w:after="0" w:line="154" w:lineRule="exact"/>
        <w:rPr>
          <w:sz w:val="20"/>
          <w:szCs w:val="20"/>
          <w:color w:val="auto"/>
        </w:rPr>
      </w:pPr>
    </w:p>
    <w:p>
      <w:pPr>
        <w:jc w:val="both"/>
        <w:ind w:firstLine="620"/>
        <w:spacing w:after="0" w:line="270" w:lineRule="auto"/>
        <w:rPr>
          <w:sz w:val="20"/>
          <w:szCs w:val="20"/>
          <w:color w:val="auto"/>
        </w:rPr>
      </w:pPr>
      <w:r>
        <w:rPr>
          <w:rFonts w:ascii="Arial" w:cs="Arial" w:eastAsia="Arial" w:hAnsi="Arial"/>
          <w:sz w:val="18"/>
          <w:szCs w:val="18"/>
          <w:b w:val="1"/>
          <w:bCs w:val="1"/>
          <w:color w:val="010000"/>
        </w:rPr>
        <w:t xml:space="preserve">4.3. </w:t>
      </w:r>
      <w:r>
        <w:rPr>
          <w:rFonts w:ascii="Arial" w:cs="Arial" w:eastAsia="Arial" w:hAnsi="Arial"/>
          <w:sz w:val="18"/>
          <w:szCs w:val="18"/>
          <w:u w:val="single" w:color="auto"/>
          <w:color w:val="000000"/>
        </w:rPr>
        <w:t>Documentation</w:t>
      </w:r>
      <w:r>
        <w:rPr>
          <w:rFonts w:ascii="Arial" w:cs="Arial" w:eastAsia="Arial" w:hAnsi="Arial"/>
          <w:sz w:val="18"/>
          <w:szCs w:val="18"/>
          <w:color w:val="000000"/>
        </w:rPr>
        <w:t>. The Award Agreement for a given Award, the Plan and any other documents may be delivered to, and accepted by,</w:t>
      </w:r>
      <w:r>
        <w:rPr>
          <w:rFonts w:ascii="Arial" w:cs="Arial" w:eastAsia="Arial" w:hAnsi="Arial"/>
          <w:sz w:val="18"/>
          <w:szCs w:val="18"/>
          <w:b w:val="1"/>
          <w:bCs w:val="1"/>
          <w:color w:val="010000"/>
        </w:rPr>
        <w:t xml:space="preserve"> </w:t>
      </w:r>
      <w:r>
        <w:rPr>
          <w:rFonts w:ascii="Arial" w:cs="Arial" w:eastAsia="Arial" w:hAnsi="Arial"/>
          <w:sz w:val="18"/>
          <w:szCs w:val="18"/>
          <w:color w:val="000000"/>
        </w:rPr>
        <w:t>a Participant or any other person in any manner (including electronic distribution or posting) that meets applicable legal requirements.</w:t>
      </w:r>
    </w:p>
    <w:p>
      <w:pPr>
        <w:spacing w:after="0" w:line="129" w:lineRule="exact"/>
        <w:rPr>
          <w:sz w:val="20"/>
          <w:szCs w:val="20"/>
          <w:color w:val="auto"/>
        </w:rPr>
      </w:pPr>
    </w:p>
    <w:p>
      <w:pPr>
        <w:jc w:val="both"/>
        <w:ind w:firstLine="620"/>
        <w:spacing w:after="0" w:line="229" w:lineRule="auto"/>
        <w:rPr>
          <w:sz w:val="20"/>
          <w:szCs w:val="20"/>
          <w:color w:val="auto"/>
        </w:rPr>
      </w:pPr>
      <w:r>
        <w:rPr>
          <w:rFonts w:ascii="Arial" w:cs="Arial" w:eastAsia="Arial" w:hAnsi="Arial"/>
          <w:sz w:val="18"/>
          <w:szCs w:val="18"/>
          <w:b w:val="1"/>
          <w:bCs w:val="1"/>
          <w:color w:val="010000"/>
        </w:rPr>
        <w:t xml:space="preserve">4.4. </w:t>
      </w:r>
      <w:r>
        <w:rPr>
          <w:rFonts w:ascii="Arial" w:cs="Arial" w:eastAsia="Arial" w:hAnsi="Arial"/>
          <w:sz w:val="18"/>
          <w:szCs w:val="18"/>
          <w:u w:val="single" w:color="auto"/>
          <w:color w:val="000000"/>
        </w:rPr>
        <w:t>Foreign Award Recipients</w:t>
      </w:r>
      <w:r>
        <w:rPr>
          <w:rFonts w:ascii="Arial" w:cs="Arial" w:eastAsia="Arial" w:hAnsi="Arial"/>
          <w:sz w:val="18"/>
          <w:szCs w:val="18"/>
          <w:color w:val="000000"/>
        </w:rPr>
        <w:t>. Notwithstanding any provision of the Plan to the contrary, in order to comply with the laws and</w:t>
      </w:r>
      <w:r>
        <w:rPr>
          <w:rFonts w:ascii="Arial" w:cs="Arial" w:eastAsia="Arial" w:hAnsi="Arial"/>
          <w:sz w:val="18"/>
          <w:szCs w:val="18"/>
          <w:b w:val="1"/>
          <w:bCs w:val="1"/>
          <w:color w:val="010000"/>
        </w:rPr>
        <w:t xml:space="preserve"> </w:t>
      </w:r>
      <w:r>
        <w:rPr>
          <w:rFonts w:ascii="Arial" w:cs="Arial" w:eastAsia="Arial" w:hAnsi="Arial"/>
          <w:sz w:val="18"/>
          <w:szCs w:val="18"/>
          <w:color w:val="000000"/>
        </w:rPr>
        <w:t>practices in other countries in which the Company and its Subsidiaries operate or have Employees or other individuals eligible for Awards, the Committee, in its sole discretion, will have the power and authority to: (a) determine which Subsidiaries will be covered by the Plan; (b) determine which individuals outside the United States are eligible to participate in the Plan;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provided, however, that no such subplans and/or modifications will increase the share limitations contained in Section 2.1 hereof; and (e) take any action, before or after an Award is made, that the Committee determines to be necessary or advisable to obtain approval or comply with any local governmental regulatory exemptions or approvals. Notwithstanding the foregoing, the Committee may not take any actions hereunder, and no Awards will be granted, that would violate the Exchange Act or any other applicable United States securities law, the Code, or any other applicable United States governing statute or law.</w:t>
      </w:r>
    </w:p>
    <w:p>
      <w:pPr>
        <w:spacing w:after="0" w:line="163" w:lineRule="exact"/>
        <w:rPr>
          <w:sz w:val="20"/>
          <w:szCs w:val="20"/>
          <w:color w:val="auto"/>
        </w:rPr>
      </w:pPr>
    </w:p>
    <w:p>
      <w:pPr>
        <w:jc w:val="both"/>
        <w:ind w:firstLine="3"/>
        <w:spacing w:after="0" w:line="227" w:lineRule="auto"/>
        <w:tabs>
          <w:tab w:leader="none" w:pos="620" w:val="left"/>
        </w:tabs>
        <w:numPr>
          <w:ilvl w:val="0"/>
          <w:numId w:val="7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OPTIONS</w:t>
      </w:r>
      <w:r>
        <w:rPr>
          <w:rFonts w:ascii="Arial" w:cs="Arial" w:eastAsia="Arial" w:hAnsi="Arial"/>
          <w:sz w:val="19"/>
          <w:szCs w:val="19"/>
          <w:color w:val="auto"/>
        </w:rPr>
        <w:t>. An Option is the right but not the obligation to purchase a Share, subject to certain conditions, if applicable. The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may grant Options to Eligible Employees (such Options shall be Nonqualified Stock Options (“</w:t>
      </w:r>
      <w:r>
        <w:rPr>
          <w:rFonts w:ascii="Arial" w:cs="Arial" w:eastAsia="Arial" w:hAnsi="Arial"/>
          <w:sz w:val="19"/>
          <w:szCs w:val="19"/>
          <w:b w:val="1"/>
          <w:bCs w:val="1"/>
          <w:i w:val="1"/>
          <w:iCs w:val="1"/>
          <w:color w:val="auto"/>
        </w:rPr>
        <w:t>NSOs</w:t>
      </w:r>
      <w:r>
        <w:rPr>
          <w:rFonts w:ascii="Arial" w:cs="Arial" w:eastAsia="Arial" w:hAnsi="Arial"/>
          <w:sz w:val="19"/>
          <w:szCs w:val="19"/>
          <w:color w:val="auto"/>
        </w:rPr>
        <w:t>”)) and may determine the number of Shares subject to the Option, the Exercise Price of the Option, the period during which the Option may vest and be exercised, and all other terms and conditions of the Option, subject to the following terms of this section.</w:t>
      </w:r>
    </w:p>
    <w:p>
      <w:pPr>
        <w:spacing w:after="0" w:line="155" w:lineRule="exact"/>
        <w:rPr>
          <w:sz w:val="20"/>
          <w:szCs w:val="20"/>
          <w:color w:val="auto"/>
        </w:rPr>
      </w:pPr>
    </w:p>
    <w:p>
      <w:pPr>
        <w:jc w:val="both"/>
        <w:ind w:firstLine="620"/>
        <w:spacing w:after="0" w:line="253" w:lineRule="auto"/>
        <w:rPr>
          <w:sz w:val="20"/>
          <w:szCs w:val="20"/>
          <w:color w:val="auto"/>
        </w:rPr>
      </w:pPr>
      <w:r>
        <w:rPr>
          <w:rFonts w:ascii="Arial" w:cs="Arial" w:eastAsia="Arial" w:hAnsi="Arial"/>
          <w:sz w:val="17"/>
          <w:szCs w:val="17"/>
          <w:b w:val="1"/>
          <w:bCs w:val="1"/>
          <w:color w:val="010000"/>
        </w:rPr>
        <w:t xml:space="preserve">5.1. </w:t>
      </w:r>
      <w:r>
        <w:rPr>
          <w:rFonts w:ascii="Arial" w:cs="Arial" w:eastAsia="Arial" w:hAnsi="Arial"/>
          <w:sz w:val="17"/>
          <w:szCs w:val="17"/>
          <w:u w:val="single" w:color="auto"/>
          <w:color w:val="000000"/>
        </w:rPr>
        <w:t>Option Grant</w:t>
      </w:r>
      <w:r>
        <w:rPr>
          <w:rFonts w:ascii="Arial" w:cs="Arial" w:eastAsia="Arial" w:hAnsi="Arial"/>
          <w:sz w:val="17"/>
          <w:szCs w:val="17"/>
          <w:color w:val="000000"/>
        </w:rPr>
        <w:t>. An Option may be, but need not be, awarded upon satisfaction of such Performance Factors during any Performance</w:t>
      </w:r>
      <w:r>
        <w:rPr>
          <w:rFonts w:ascii="Arial" w:cs="Arial" w:eastAsia="Arial" w:hAnsi="Arial"/>
          <w:sz w:val="17"/>
          <w:szCs w:val="17"/>
          <w:b w:val="1"/>
          <w:bCs w:val="1"/>
          <w:color w:val="010000"/>
        </w:rPr>
        <w:t xml:space="preserve"> </w:t>
      </w:r>
      <w:r>
        <w:rPr>
          <w:rFonts w:ascii="Arial" w:cs="Arial" w:eastAsia="Arial" w:hAnsi="Arial"/>
          <w:sz w:val="17"/>
          <w:szCs w:val="17"/>
          <w:color w:val="000000"/>
        </w:rPr>
        <w:t>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12" w:lineRule="exact"/>
        <w:rPr>
          <w:sz w:val="20"/>
          <w:szCs w:val="20"/>
          <w:color w:val="auto"/>
        </w:rPr>
      </w:pPr>
    </w:p>
    <w:p>
      <w:pPr>
        <w:jc w:val="both"/>
        <w:ind w:firstLine="620"/>
        <w:spacing w:after="0" w:line="232" w:lineRule="auto"/>
        <w:rPr>
          <w:sz w:val="20"/>
          <w:szCs w:val="20"/>
          <w:color w:val="auto"/>
        </w:rPr>
      </w:pPr>
      <w:r>
        <w:rPr>
          <w:rFonts w:ascii="Arial" w:cs="Arial" w:eastAsia="Arial" w:hAnsi="Arial"/>
          <w:sz w:val="19"/>
          <w:szCs w:val="19"/>
          <w:b w:val="1"/>
          <w:bCs w:val="1"/>
          <w:color w:val="010000"/>
        </w:rPr>
        <w:t xml:space="preserve">5.2. </w:t>
      </w:r>
      <w:r>
        <w:rPr>
          <w:rFonts w:ascii="Arial" w:cs="Arial" w:eastAsia="Arial" w:hAnsi="Arial"/>
          <w:sz w:val="19"/>
          <w:szCs w:val="19"/>
          <w:u w:val="single" w:color="auto"/>
          <w:color w:val="000000"/>
        </w:rPr>
        <w:t>Date of Grant</w:t>
      </w:r>
      <w:r>
        <w:rPr>
          <w:rFonts w:ascii="Arial" w:cs="Arial" w:eastAsia="Arial" w:hAnsi="Arial"/>
          <w:sz w:val="19"/>
          <w:szCs w:val="19"/>
          <w:color w:val="000000"/>
        </w:rPr>
        <w:t>. The date of grant of an Option will be the date on which the Committee makes the determination to grant such</w:t>
      </w:r>
      <w:r>
        <w:rPr>
          <w:rFonts w:ascii="Arial" w:cs="Arial" w:eastAsia="Arial" w:hAnsi="Arial"/>
          <w:sz w:val="19"/>
          <w:szCs w:val="19"/>
          <w:b w:val="1"/>
          <w:bCs w:val="1"/>
          <w:color w:val="010000"/>
        </w:rPr>
        <w:t xml:space="preserve"> </w:t>
      </w:r>
      <w:r>
        <w:rPr>
          <w:rFonts w:ascii="Arial" w:cs="Arial" w:eastAsia="Arial" w:hAnsi="Arial"/>
          <w:sz w:val="19"/>
          <w:szCs w:val="19"/>
          <w:color w:val="000000"/>
        </w:rPr>
        <w:t>Option, or a specified future date. The Award Agreement will be delivered to the Participant within a reasonable time after the granting of the Option.</w:t>
      </w:r>
    </w:p>
    <w:p>
      <w:pPr>
        <w:spacing w:after="0" w:line="155" w:lineRule="exact"/>
        <w:rPr>
          <w:sz w:val="20"/>
          <w:szCs w:val="20"/>
          <w:color w:val="auto"/>
        </w:rPr>
      </w:pPr>
    </w:p>
    <w:p>
      <w:pPr>
        <w:jc w:val="both"/>
        <w:ind w:firstLine="620"/>
        <w:spacing w:after="0" w:line="227" w:lineRule="auto"/>
        <w:rPr>
          <w:sz w:val="20"/>
          <w:szCs w:val="20"/>
          <w:color w:val="auto"/>
        </w:rPr>
      </w:pPr>
      <w:r>
        <w:rPr>
          <w:rFonts w:ascii="Arial" w:cs="Arial" w:eastAsia="Arial" w:hAnsi="Arial"/>
          <w:sz w:val="19"/>
          <w:szCs w:val="19"/>
          <w:b w:val="1"/>
          <w:bCs w:val="1"/>
          <w:color w:val="010000"/>
        </w:rPr>
        <w:t xml:space="preserve">5.3. </w:t>
      </w:r>
      <w:r>
        <w:rPr>
          <w:rFonts w:ascii="Arial" w:cs="Arial" w:eastAsia="Arial" w:hAnsi="Arial"/>
          <w:sz w:val="19"/>
          <w:szCs w:val="19"/>
          <w:u w:val="single" w:color="auto"/>
          <w:color w:val="000000"/>
        </w:rPr>
        <w:t>Exercise Period</w:t>
      </w:r>
      <w:r>
        <w:rPr>
          <w:rFonts w:ascii="Arial" w:cs="Arial" w:eastAsia="Arial" w:hAnsi="Arial"/>
          <w:sz w:val="19"/>
          <w:szCs w:val="19"/>
          <w:color w:val="000000"/>
        </w:rPr>
        <w:t>. Options may be vested and exercisable within the times or upon the conditions as set forth in the Award</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Agreement governing such Option;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no Option will be exercisable after the expiration of ten (10) years from the date the Option is granted. The Committee also may provide for Options to become exercisable at one time or from time to time, periodically or otherwise, in such number of Shares or percentage of Shares as the Committee determines.</w:t>
      </w:r>
    </w:p>
    <w:p>
      <w:pPr>
        <w:spacing w:after="0" w:line="155" w:lineRule="exact"/>
        <w:rPr>
          <w:sz w:val="20"/>
          <w:szCs w:val="20"/>
          <w:color w:val="auto"/>
        </w:rPr>
      </w:pPr>
    </w:p>
    <w:p>
      <w:pPr>
        <w:jc w:val="both"/>
        <w:ind w:firstLine="620"/>
        <w:spacing w:after="0" w:line="227" w:lineRule="auto"/>
        <w:rPr>
          <w:sz w:val="20"/>
          <w:szCs w:val="20"/>
          <w:color w:val="auto"/>
        </w:rPr>
      </w:pPr>
      <w:r>
        <w:rPr>
          <w:rFonts w:ascii="Arial" w:cs="Arial" w:eastAsia="Arial" w:hAnsi="Arial"/>
          <w:sz w:val="19"/>
          <w:szCs w:val="19"/>
          <w:b w:val="1"/>
          <w:bCs w:val="1"/>
          <w:color w:val="010000"/>
        </w:rPr>
        <w:t xml:space="preserve">5.4. </w:t>
      </w:r>
      <w:r>
        <w:rPr>
          <w:rFonts w:ascii="Arial" w:cs="Arial" w:eastAsia="Arial" w:hAnsi="Arial"/>
          <w:sz w:val="19"/>
          <w:szCs w:val="19"/>
          <w:u w:val="single" w:color="auto"/>
          <w:color w:val="000000"/>
        </w:rPr>
        <w:t>Exercise Price</w:t>
      </w:r>
      <w:r>
        <w:rPr>
          <w:rFonts w:ascii="Arial" w:cs="Arial" w:eastAsia="Arial" w:hAnsi="Arial"/>
          <w:sz w:val="19"/>
          <w:szCs w:val="19"/>
          <w:color w:val="000000"/>
        </w:rPr>
        <w:t>. The Exercise Price of an Option will be determined by the Committee when the Option is granted; provided that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Exercise Price of an Option will be not less than one hundred percent (100%) of the Fair Market Value of the Shares on the date of grant. Payment for the Shares purchased may be made in accordance with Section 11 and the Award Agreement and in accordance with any procedures established by the Company.</w:t>
      </w:r>
    </w:p>
    <w:p>
      <w:pPr>
        <w:spacing w:after="0" w:line="155" w:lineRule="exact"/>
        <w:rPr>
          <w:sz w:val="20"/>
          <w:szCs w:val="20"/>
          <w:color w:val="auto"/>
        </w:rPr>
      </w:pPr>
    </w:p>
    <w:p>
      <w:pPr>
        <w:jc w:val="both"/>
        <w:ind w:firstLine="620"/>
        <w:spacing w:after="0" w:line="229" w:lineRule="auto"/>
        <w:rPr>
          <w:sz w:val="20"/>
          <w:szCs w:val="20"/>
          <w:color w:val="auto"/>
        </w:rPr>
      </w:pPr>
      <w:r>
        <w:rPr>
          <w:rFonts w:ascii="Arial" w:cs="Arial" w:eastAsia="Arial" w:hAnsi="Arial"/>
          <w:sz w:val="18"/>
          <w:szCs w:val="18"/>
          <w:b w:val="1"/>
          <w:bCs w:val="1"/>
          <w:color w:val="010000"/>
        </w:rPr>
        <w:t xml:space="preserve">5.5. </w:t>
      </w:r>
      <w:r>
        <w:rPr>
          <w:rFonts w:ascii="Arial" w:cs="Arial" w:eastAsia="Arial" w:hAnsi="Arial"/>
          <w:sz w:val="18"/>
          <w:szCs w:val="18"/>
          <w:u w:val="single" w:color="auto"/>
          <w:color w:val="000000"/>
        </w:rPr>
        <w:t>Method of Exercise</w:t>
      </w:r>
      <w:r>
        <w:rPr>
          <w:rFonts w:ascii="Arial" w:cs="Arial" w:eastAsia="Arial" w:hAnsi="Arial"/>
          <w:sz w:val="18"/>
          <w:szCs w:val="18"/>
          <w:color w:val="000000"/>
        </w:rPr>
        <w:t>. Any Option granted hereunder will be vested and exercisable according to the terms of the Plan and at such</w:t>
      </w:r>
      <w:r>
        <w:rPr>
          <w:rFonts w:ascii="Arial" w:cs="Arial" w:eastAsia="Arial" w:hAnsi="Arial"/>
          <w:sz w:val="18"/>
          <w:szCs w:val="18"/>
          <w:b w:val="1"/>
          <w:bCs w:val="1"/>
          <w:color w:val="010000"/>
        </w:rPr>
        <w:t xml:space="preserve"> </w:t>
      </w:r>
      <w:r>
        <w:rPr>
          <w:rFonts w:ascii="Arial" w:cs="Arial" w:eastAsia="Arial" w:hAnsi="Arial"/>
          <w:sz w:val="18"/>
          <w:szCs w:val="18"/>
          <w:color w:val="000000"/>
        </w:rPr>
        <w:t>times 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2.4 of the Plan. Exercising an Option in any manner will decrease the number of Shares thereafter available, both for purposes of the Plan and for sale under the Option, by the number of Shares as to which the Option is exercised.</w:t>
      </w:r>
    </w:p>
    <w:p>
      <w:pPr>
        <w:spacing w:after="0" w:line="160" w:lineRule="exact"/>
        <w:rPr>
          <w:sz w:val="20"/>
          <w:szCs w:val="20"/>
          <w:color w:val="auto"/>
        </w:rPr>
      </w:pPr>
    </w:p>
    <w:p>
      <w:pPr>
        <w:jc w:val="both"/>
        <w:ind w:firstLine="620"/>
        <w:spacing w:after="0"/>
        <w:rPr>
          <w:sz w:val="20"/>
          <w:szCs w:val="20"/>
          <w:color w:val="auto"/>
        </w:rPr>
      </w:pPr>
      <w:r>
        <w:rPr>
          <w:rFonts w:ascii="Arial" w:cs="Arial" w:eastAsia="Arial" w:hAnsi="Arial"/>
          <w:sz w:val="18"/>
          <w:szCs w:val="18"/>
          <w:b w:val="1"/>
          <w:bCs w:val="1"/>
          <w:color w:val="010000"/>
        </w:rPr>
        <w:t xml:space="preserve">5.6. </w:t>
      </w:r>
      <w:r>
        <w:rPr>
          <w:rFonts w:ascii="Arial" w:cs="Arial" w:eastAsia="Arial" w:hAnsi="Arial"/>
          <w:sz w:val="18"/>
          <w:szCs w:val="18"/>
          <w:u w:val="single" w:color="auto"/>
          <w:color w:val="000000"/>
        </w:rPr>
        <w:t>Termination of Service</w:t>
      </w:r>
      <w:r>
        <w:rPr>
          <w:rFonts w:ascii="Arial" w:cs="Arial" w:eastAsia="Arial" w:hAnsi="Arial"/>
          <w:sz w:val="19"/>
          <w:szCs w:val="19"/>
          <w:color w:val="000000"/>
        </w:rPr>
        <w:t>.</w:t>
      </w:r>
      <w:r>
        <w:rPr>
          <w:rFonts w:ascii="Arial" w:cs="Arial" w:eastAsia="Arial" w:hAnsi="Arial"/>
          <w:sz w:val="18"/>
          <w:szCs w:val="18"/>
          <w:b w:val="1"/>
          <w:bCs w:val="1"/>
          <w:color w:val="010000"/>
        </w:rPr>
        <w:t xml:space="preserve"> </w:t>
      </w:r>
      <w:r>
        <w:rPr>
          <w:rFonts w:ascii="Arial" w:cs="Arial" w:eastAsia="Arial" w:hAnsi="Arial"/>
          <w:sz w:val="18"/>
          <w:szCs w:val="18"/>
          <w:color w:val="000000"/>
        </w:rPr>
        <w:t>If the Participant’s Service terminates for any reason except for Cause or the Participant’s death or</w:t>
      </w:r>
      <w:r>
        <w:rPr>
          <w:rFonts w:ascii="Arial" w:cs="Arial" w:eastAsia="Arial" w:hAnsi="Arial"/>
          <w:sz w:val="18"/>
          <w:szCs w:val="18"/>
          <w:b w:val="1"/>
          <w:bCs w:val="1"/>
          <w:color w:val="010000"/>
        </w:rPr>
        <w:t xml:space="preserve"> </w:t>
      </w:r>
      <w:r>
        <w:rPr>
          <w:rFonts w:ascii="Arial" w:cs="Arial" w:eastAsia="Arial" w:hAnsi="Arial"/>
          <w:sz w:val="18"/>
          <w:szCs w:val="18"/>
          <w:color w:val="000000"/>
        </w:rPr>
        <w:t>Disability, then the Participant may exercise such Participant’s Options only to the extent that such Options would have been exercisable by the Participant on the date Participant’s Service terminates no later than three (3) months after the date Participant’s Service terminates (or such shorter or longer time period as may be determined by the Committee), but in any event no later than the expiration date of the Options.</w:t>
      </w:r>
    </w:p>
    <w:p>
      <w:pPr>
        <w:spacing w:after="0" w:line="160" w:lineRule="exact"/>
        <w:rPr>
          <w:sz w:val="20"/>
          <w:szCs w:val="20"/>
          <w:color w:val="auto"/>
        </w:rPr>
      </w:pPr>
    </w:p>
    <w:p>
      <w:pPr>
        <w:jc w:val="both"/>
        <w:ind w:firstLine="1244"/>
        <w:spacing w:after="0" w:line="221" w:lineRule="auto"/>
        <w:tabs>
          <w:tab w:leader="none" w:pos="1851" w:val="left"/>
        </w:tabs>
        <w:numPr>
          <w:ilvl w:val="0"/>
          <w:numId w:val="78"/>
        </w:numPr>
        <w:rPr>
          <w:rFonts w:ascii="Arial" w:cs="Arial" w:eastAsia="Arial" w:hAnsi="Arial"/>
          <w:sz w:val="19"/>
          <w:szCs w:val="19"/>
          <w:color w:val="010000"/>
        </w:rPr>
      </w:pPr>
      <w:r>
        <w:rPr>
          <w:rFonts w:ascii="Arial" w:cs="Arial" w:eastAsia="Arial" w:hAnsi="Arial"/>
          <w:sz w:val="19"/>
          <w:szCs w:val="19"/>
          <w:u w:val="single" w:color="auto"/>
          <w:color w:val="auto"/>
        </w:rPr>
        <w:t>Death</w:t>
      </w:r>
      <w:r>
        <w:rPr>
          <w:rFonts w:ascii="Arial" w:cs="Arial" w:eastAsia="Arial" w:hAnsi="Arial"/>
          <w:sz w:val="19"/>
          <w:szCs w:val="19"/>
          <w:color w:val="auto"/>
        </w:rPr>
        <w:t>.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or longer time period as may be determined by the Committee), but in any event no later than the expiration date of the Options.</w:t>
      </w:r>
    </w:p>
    <w:p>
      <w:pPr>
        <w:spacing w:after="0" w:line="162" w:lineRule="exact"/>
        <w:rPr>
          <w:rFonts w:ascii="Arial" w:cs="Arial" w:eastAsia="Arial" w:hAnsi="Arial"/>
          <w:sz w:val="19"/>
          <w:szCs w:val="19"/>
          <w:color w:val="010000"/>
        </w:rPr>
      </w:pPr>
    </w:p>
    <w:p>
      <w:pPr>
        <w:jc w:val="both"/>
        <w:ind w:firstLine="1244"/>
        <w:spacing w:after="0" w:line="244" w:lineRule="auto"/>
        <w:tabs>
          <w:tab w:leader="none" w:pos="1849" w:val="left"/>
        </w:tabs>
        <w:numPr>
          <w:ilvl w:val="0"/>
          <w:numId w:val="78"/>
        </w:numPr>
        <w:rPr>
          <w:rFonts w:ascii="Arial" w:cs="Arial" w:eastAsia="Arial" w:hAnsi="Arial"/>
          <w:sz w:val="18"/>
          <w:szCs w:val="18"/>
          <w:color w:val="010000"/>
        </w:rPr>
      </w:pPr>
      <w:r>
        <w:rPr>
          <w:rFonts w:ascii="Arial" w:cs="Arial" w:eastAsia="Arial" w:hAnsi="Arial"/>
          <w:sz w:val="18"/>
          <w:szCs w:val="18"/>
          <w:u w:val="single" w:color="auto"/>
          <w:color w:val="auto"/>
        </w:rPr>
        <w:t>Disability</w:t>
      </w:r>
      <w:r>
        <w:rPr>
          <w:rFonts w:ascii="Arial" w:cs="Arial" w:eastAsia="Arial" w:hAnsi="Arial"/>
          <w:sz w:val="18"/>
          <w:szCs w:val="18"/>
          <w:color w:val="auto"/>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twelve (12) months after the date Participant’s Service terminates (or such shorter or longer time period as may be determined by the Committee), but in any event no later than the expiration date of the Options.</w:t>
      </w:r>
    </w:p>
    <w:p>
      <w:pPr>
        <w:spacing w:after="0" w:line="161" w:lineRule="exact"/>
        <w:rPr>
          <w:sz w:val="20"/>
          <w:szCs w:val="20"/>
          <w:color w:val="auto"/>
        </w:rPr>
      </w:pPr>
    </w:p>
    <w:p>
      <w:pPr>
        <w:jc w:val="both"/>
        <w:ind w:firstLine="1244"/>
        <w:spacing w:after="0" w:line="208" w:lineRule="auto"/>
        <w:tabs>
          <w:tab w:leader="none" w:pos="1851" w:val="left"/>
        </w:tabs>
        <w:numPr>
          <w:ilvl w:val="0"/>
          <w:numId w:val="79"/>
        </w:numPr>
        <w:rPr>
          <w:rFonts w:ascii="Arial" w:cs="Arial" w:eastAsia="Arial" w:hAnsi="Arial"/>
          <w:sz w:val="19"/>
          <w:szCs w:val="19"/>
          <w:color w:val="010000"/>
        </w:rPr>
      </w:pPr>
      <w:r>
        <w:rPr>
          <w:rFonts w:ascii="Arial" w:cs="Arial" w:eastAsia="Arial" w:hAnsi="Arial"/>
          <w:sz w:val="19"/>
          <w:szCs w:val="19"/>
          <w:u w:val="single" w:color="auto"/>
          <w:color w:val="auto"/>
        </w:rPr>
        <w:t>Cause</w:t>
      </w:r>
      <w:r>
        <w:rPr>
          <w:rFonts w:ascii="Arial" w:cs="Arial" w:eastAsia="Arial" w:hAnsi="Arial"/>
          <w:sz w:val="19"/>
          <w:szCs w:val="19"/>
          <w:color w:val="auto"/>
        </w:rPr>
        <w:t>. If the Participant’s Service terminates for Cause, then Participant’s Options (whether or not vested) will expire on the date of termination of Participant’s Service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the Plan.</w:t>
      </w:r>
    </w:p>
    <w:p>
      <w:pPr>
        <w:spacing w:after="0" w:line="142" w:lineRule="exact"/>
        <w:rPr>
          <w:sz w:val="20"/>
          <w:szCs w:val="20"/>
          <w:color w:val="auto"/>
        </w:rPr>
      </w:pPr>
    </w:p>
    <w:p>
      <w:pPr>
        <w:jc w:val="both"/>
        <w:ind w:firstLine="620"/>
        <w:spacing w:after="0" w:line="232" w:lineRule="auto"/>
        <w:rPr>
          <w:sz w:val="20"/>
          <w:szCs w:val="20"/>
          <w:color w:val="auto"/>
        </w:rPr>
      </w:pPr>
      <w:r>
        <w:rPr>
          <w:rFonts w:ascii="Arial" w:cs="Arial" w:eastAsia="Arial" w:hAnsi="Arial"/>
          <w:sz w:val="19"/>
          <w:szCs w:val="19"/>
          <w:b w:val="1"/>
          <w:bCs w:val="1"/>
          <w:color w:val="010000"/>
        </w:rPr>
        <w:t xml:space="preserve">5.7. </w:t>
      </w:r>
      <w:r>
        <w:rPr>
          <w:rFonts w:ascii="Arial" w:cs="Arial" w:eastAsia="Arial" w:hAnsi="Arial"/>
          <w:sz w:val="19"/>
          <w:szCs w:val="19"/>
          <w:u w:val="single" w:color="auto"/>
          <w:color w:val="000000"/>
        </w:rPr>
        <w:t>Limitations on Exercise</w:t>
      </w:r>
      <w:r>
        <w:rPr>
          <w:rFonts w:ascii="Arial" w:cs="Arial" w:eastAsia="Arial" w:hAnsi="Arial"/>
          <w:sz w:val="19"/>
          <w:szCs w:val="19"/>
          <w:color w:val="000000"/>
        </w:rPr>
        <w:t>. The Committee may specify a minimum number of Shares that may be purchased on any exercise of an</w:t>
      </w:r>
      <w:r>
        <w:rPr>
          <w:rFonts w:ascii="Arial" w:cs="Arial" w:eastAsia="Arial" w:hAnsi="Arial"/>
          <w:sz w:val="19"/>
          <w:szCs w:val="19"/>
          <w:b w:val="1"/>
          <w:bCs w:val="1"/>
          <w:color w:val="010000"/>
        </w:rPr>
        <w:t xml:space="preserve"> </w:t>
      </w:r>
      <w:r>
        <w:rPr>
          <w:rFonts w:ascii="Arial" w:cs="Arial" w:eastAsia="Arial" w:hAnsi="Arial"/>
          <w:sz w:val="19"/>
          <w:szCs w:val="19"/>
          <w:color w:val="000000"/>
        </w:rPr>
        <w:t>Option, provided that such minimum number will not prevent any Participant from exercising the Option for the full number of Shares for which it is then exercisable.</w:t>
      </w:r>
    </w:p>
    <w:p>
      <w:pPr>
        <w:spacing w:after="0" w:line="155" w:lineRule="exact"/>
        <w:rPr>
          <w:sz w:val="20"/>
          <w:szCs w:val="20"/>
          <w:color w:val="auto"/>
        </w:rPr>
      </w:pPr>
    </w:p>
    <w:p>
      <w:pPr>
        <w:jc w:val="both"/>
        <w:ind w:firstLine="620"/>
        <w:spacing w:after="0" w:line="237" w:lineRule="auto"/>
        <w:rPr>
          <w:sz w:val="20"/>
          <w:szCs w:val="20"/>
          <w:color w:val="auto"/>
        </w:rPr>
      </w:pPr>
      <w:r>
        <w:rPr>
          <w:rFonts w:ascii="Arial" w:cs="Arial" w:eastAsia="Arial" w:hAnsi="Arial"/>
          <w:sz w:val="18"/>
          <w:szCs w:val="18"/>
          <w:b w:val="1"/>
          <w:bCs w:val="1"/>
          <w:color w:val="010000"/>
        </w:rPr>
        <w:t xml:space="preserve">5.8. </w:t>
      </w:r>
      <w:r>
        <w:rPr>
          <w:rFonts w:ascii="Arial" w:cs="Arial" w:eastAsia="Arial" w:hAnsi="Arial"/>
          <w:sz w:val="18"/>
          <w:szCs w:val="18"/>
          <w:u w:val="single" w:color="auto"/>
          <w:color w:val="000000"/>
        </w:rPr>
        <w:t>Modification, Extension or Renewal</w:t>
      </w:r>
      <w:r>
        <w:rPr>
          <w:rFonts w:ascii="Arial" w:cs="Arial" w:eastAsia="Arial" w:hAnsi="Arial"/>
          <w:sz w:val="18"/>
          <w:szCs w:val="18"/>
          <w:color w:val="000000"/>
        </w:rPr>
        <w:t>. The Committee may modify, extend or renew outstanding Options and authorize the grant of</w:t>
      </w:r>
      <w:r>
        <w:rPr>
          <w:rFonts w:ascii="Arial" w:cs="Arial" w:eastAsia="Arial" w:hAnsi="Arial"/>
          <w:sz w:val="18"/>
          <w:szCs w:val="18"/>
          <w:b w:val="1"/>
          <w:bCs w:val="1"/>
          <w:color w:val="010000"/>
        </w:rPr>
        <w:t xml:space="preserve"> </w:t>
      </w:r>
      <w:r>
        <w:rPr>
          <w:rFonts w:ascii="Arial" w:cs="Arial" w:eastAsia="Arial" w:hAnsi="Arial"/>
          <w:sz w:val="18"/>
          <w:szCs w:val="18"/>
          <w:color w:val="000000"/>
        </w:rPr>
        <w:t xml:space="preserve">new Options in substitution therefor, provided that any such action may not, without the written consent of a Participant, impair any of such Participant’s rights under any Option previously granted. Subject to Section 17 of this Plan, by written notice to affected Participants, the Committee may reduce the Exercise Price of outstanding Options without the consent of such Participants;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the Exercise Price may not be reduced below the Fair Market Value on the date the action is taken to reduce the Exercise Price.</w:t>
      </w:r>
    </w:p>
    <w:p>
      <w:pPr>
        <w:spacing w:after="0" w:line="154" w:lineRule="exact"/>
        <w:rPr>
          <w:sz w:val="20"/>
          <w:szCs w:val="20"/>
          <w:color w:val="auto"/>
        </w:rPr>
      </w:pPr>
    </w:p>
    <w:p>
      <w:pPr>
        <w:jc w:val="both"/>
        <w:ind w:firstLine="3"/>
        <w:spacing w:after="0" w:line="227" w:lineRule="auto"/>
        <w:tabs>
          <w:tab w:leader="none" w:pos="620" w:val="left"/>
        </w:tabs>
        <w:numPr>
          <w:ilvl w:val="0"/>
          <w:numId w:val="8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RESTRICTED STOCK AWARDS</w:t>
      </w:r>
      <w:r>
        <w:rPr>
          <w:rFonts w:ascii="Arial" w:cs="Arial" w:eastAsia="Arial" w:hAnsi="Arial"/>
          <w:sz w:val="19"/>
          <w:szCs w:val="19"/>
          <w:color w:val="auto"/>
        </w:rPr>
        <w:t>. A Restricted Stock Award is an offer by the Company to sell to an Eligible Employee Shares that are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restrictions (“</w:t>
      </w:r>
      <w:r>
        <w:rPr>
          <w:rFonts w:ascii="Arial" w:cs="Arial" w:eastAsia="Arial" w:hAnsi="Arial"/>
          <w:sz w:val="19"/>
          <w:szCs w:val="19"/>
          <w:b w:val="1"/>
          <w:bCs w:val="1"/>
          <w:i w:val="1"/>
          <w:iCs w:val="1"/>
          <w:color w:val="auto"/>
        </w:rPr>
        <w:t>Restricted Stock</w:t>
      </w:r>
      <w:r>
        <w:rPr>
          <w:rFonts w:ascii="Arial" w:cs="Arial" w:eastAsia="Arial" w:hAnsi="Arial"/>
          <w:sz w:val="19"/>
          <w:szCs w:val="19"/>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55" w:lineRule="exact"/>
        <w:rPr>
          <w:sz w:val="20"/>
          <w:szCs w:val="20"/>
          <w:color w:val="auto"/>
        </w:rPr>
      </w:pPr>
    </w:p>
    <w:p>
      <w:pPr>
        <w:jc w:val="both"/>
        <w:ind w:firstLine="620"/>
        <w:spacing w:after="0" w:line="224" w:lineRule="auto"/>
        <w:rPr>
          <w:sz w:val="20"/>
          <w:szCs w:val="20"/>
          <w:color w:val="auto"/>
        </w:rPr>
      </w:pPr>
      <w:r>
        <w:rPr>
          <w:rFonts w:ascii="Arial" w:cs="Arial" w:eastAsia="Arial" w:hAnsi="Arial"/>
          <w:sz w:val="19"/>
          <w:szCs w:val="19"/>
          <w:b w:val="1"/>
          <w:bCs w:val="1"/>
          <w:color w:val="010000"/>
        </w:rPr>
        <w:t xml:space="preserve">6.1. </w:t>
      </w:r>
      <w:r>
        <w:rPr>
          <w:rFonts w:ascii="Arial" w:cs="Arial" w:eastAsia="Arial" w:hAnsi="Arial"/>
          <w:sz w:val="19"/>
          <w:szCs w:val="19"/>
          <w:u w:val="single" w:color="auto"/>
          <w:color w:val="000000"/>
        </w:rPr>
        <w:t>Restricted Stock Purchase Agreement</w:t>
      </w:r>
      <w:r>
        <w:rPr>
          <w:rFonts w:ascii="Arial" w:cs="Arial" w:eastAsia="Arial" w:hAnsi="Arial"/>
          <w:sz w:val="19"/>
          <w:szCs w:val="19"/>
          <w:color w:val="000000"/>
        </w:rPr>
        <w:t>. All purchases under a Restricted Stock Award will be evidenced by an Award Agreement.</w:t>
      </w:r>
      <w:r>
        <w:rPr>
          <w:rFonts w:ascii="Arial" w:cs="Arial" w:eastAsia="Arial" w:hAnsi="Arial"/>
          <w:sz w:val="19"/>
          <w:szCs w:val="19"/>
          <w:b w:val="1"/>
          <w:bCs w:val="1"/>
          <w:color w:val="010000"/>
        </w:rPr>
        <w:t xml:space="preserve"> </w:t>
      </w:r>
      <w:r>
        <w:rPr>
          <w:rFonts w:ascii="Arial" w:cs="Arial" w:eastAsia="Arial" w:hAnsi="Arial"/>
          <w:sz w:val="19"/>
          <w:szCs w:val="19"/>
          <w:color w:val="000000"/>
        </w:rPr>
        <w:t>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spacing w:after="0" w:line="156" w:lineRule="exact"/>
        <w:rPr>
          <w:sz w:val="20"/>
          <w:szCs w:val="20"/>
          <w:color w:val="auto"/>
        </w:rPr>
      </w:pPr>
    </w:p>
    <w:p>
      <w:pPr>
        <w:jc w:val="both"/>
        <w:ind w:firstLine="620"/>
        <w:spacing w:after="0" w:line="247" w:lineRule="auto"/>
        <w:rPr>
          <w:sz w:val="20"/>
          <w:szCs w:val="20"/>
          <w:color w:val="auto"/>
        </w:rPr>
      </w:pPr>
      <w:r>
        <w:rPr>
          <w:rFonts w:ascii="Arial" w:cs="Arial" w:eastAsia="Arial" w:hAnsi="Arial"/>
          <w:sz w:val="18"/>
          <w:szCs w:val="18"/>
          <w:b w:val="1"/>
          <w:bCs w:val="1"/>
          <w:color w:val="010000"/>
        </w:rPr>
        <w:t xml:space="preserve">6.2. </w:t>
      </w:r>
      <w:r>
        <w:rPr>
          <w:rFonts w:ascii="Arial" w:cs="Arial" w:eastAsia="Arial" w:hAnsi="Arial"/>
          <w:sz w:val="18"/>
          <w:szCs w:val="18"/>
          <w:u w:val="single" w:color="auto"/>
          <w:color w:val="000000"/>
        </w:rPr>
        <w:t>Purchase Price</w:t>
      </w:r>
      <w:r>
        <w:rPr>
          <w:rFonts w:ascii="Arial" w:cs="Arial" w:eastAsia="Arial" w:hAnsi="Arial"/>
          <w:sz w:val="18"/>
          <w:szCs w:val="18"/>
          <w:color w:val="000000"/>
        </w:rPr>
        <w:t>. The Purchase Price for a Restricted Stock Award will be determined by the Committee and may be less than Fair</w:t>
      </w:r>
      <w:r>
        <w:rPr>
          <w:rFonts w:ascii="Arial" w:cs="Arial" w:eastAsia="Arial" w:hAnsi="Arial"/>
          <w:sz w:val="18"/>
          <w:szCs w:val="18"/>
          <w:b w:val="1"/>
          <w:bCs w:val="1"/>
          <w:color w:val="010000"/>
        </w:rPr>
        <w:t xml:space="preserve"> </w:t>
      </w:r>
      <w:r>
        <w:rPr>
          <w:rFonts w:ascii="Arial" w:cs="Arial" w:eastAsia="Arial" w:hAnsi="Arial"/>
          <w:sz w:val="18"/>
          <w:szCs w:val="18"/>
          <w:color w:val="000000"/>
        </w:rPr>
        <w:t>Market Value on the date the Restricted Stock Award is granted. Payment of the Purchase Price must be made in accordance with Section 11 of the Plan, and the Award Agreement and in accordance with any procedures established by the Company.</w:t>
      </w:r>
    </w:p>
    <w:p>
      <w:pPr>
        <w:spacing w:after="0" w:line="149" w:lineRule="exact"/>
        <w:rPr>
          <w:sz w:val="20"/>
          <w:szCs w:val="20"/>
          <w:color w:val="auto"/>
        </w:rPr>
      </w:pPr>
    </w:p>
    <w:p>
      <w:pPr>
        <w:jc w:val="both"/>
        <w:ind w:firstLine="620"/>
        <w:spacing w:after="0" w:line="248" w:lineRule="auto"/>
        <w:rPr>
          <w:sz w:val="20"/>
          <w:szCs w:val="20"/>
          <w:color w:val="auto"/>
        </w:rPr>
      </w:pPr>
      <w:r>
        <w:rPr>
          <w:rFonts w:ascii="Arial" w:cs="Arial" w:eastAsia="Arial" w:hAnsi="Arial"/>
          <w:sz w:val="17"/>
          <w:szCs w:val="17"/>
          <w:b w:val="1"/>
          <w:bCs w:val="1"/>
          <w:color w:val="010000"/>
        </w:rPr>
        <w:t xml:space="preserve">6.3. </w:t>
      </w:r>
      <w:r>
        <w:rPr>
          <w:rFonts w:ascii="Arial" w:cs="Arial" w:eastAsia="Arial" w:hAnsi="Arial"/>
          <w:sz w:val="17"/>
          <w:szCs w:val="17"/>
          <w:u w:val="single" w:color="auto"/>
          <w:color w:val="000000"/>
        </w:rPr>
        <w:t>Terms of Restricted Stock Awards</w:t>
      </w:r>
      <w:r>
        <w:rPr>
          <w:rFonts w:ascii="Arial" w:cs="Arial" w:eastAsia="Arial" w:hAnsi="Arial"/>
          <w:sz w:val="17"/>
          <w:szCs w:val="17"/>
          <w:color w:val="000000"/>
        </w:rPr>
        <w:t>. Restricted Stock Awards will be subject to such restrictions as the Committee may impose or</w:t>
      </w:r>
      <w:r>
        <w:rPr>
          <w:rFonts w:ascii="Arial" w:cs="Arial" w:eastAsia="Arial" w:hAnsi="Arial"/>
          <w:sz w:val="17"/>
          <w:szCs w:val="17"/>
          <w:b w:val="1"/>
          <w:bCs w:val="1"/>
          <w:color w:val="010000"/>
        </w:rPr>
        <w:t xml:space="preserve"> </w:t>
      </w:r>
      <w:r>
        <w:rPr>
          <w:rFonts w:ascii="Arial" w:cs="Arial" w:eastAsia="Arial" w:hAnsi="Arial"/>
          <w:sz w:val="17"/>
          <w:szCs w:val="17"/>
          <w:color w:val="000000"/>
        </w:rPr>
        <w:t>are required by 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11" w:lineRule="exact"/>
        <w:rPr>
          <w:sz w:val="20"/>
          <w:szCs w:val="20"/>
          <w:color w:val="auto"/>
        </w:rPr>
      </w:pPr>
    </w:p>
    <w:p>
      <w:pPr>
        <w:ind w:firstLine="620"/>
        <w:spacing w:after="0" w:line="243" w:lineRule="auto"/>
        <w:rPr>
          <w:sz w:val="20"/>
          <w:szCs w:val="20"/>
          <w:color w:val="auto"/>
        </w:rPr>
      </w:pPr>
      <w:r>
        <w:rPr>
          <w:rFonts w:ascii="Arial" w:cs="Arial" w:eastAsia="Arial" w:hAnsi="Arial"/>
          <w:sz w:val="19"/>
          <w:szCs w:val="19"/>
          <w:b w:val="1"/>
          <w:bCs w:val="1"/>
          <w:color w:val="010000"/>
        </w:rPr>
        <w:t xml:space="preserve">6.4. </w:t>
      </w:r>
      <w:r>
        <w:rPr>
          <w:rFonts w:ascii="Arial" w:cs="Arial" w:eastAsia="Arial" w:hAnsi="Arial"/>
          <w:sz w:val="19"/>
          <w:szCs w:val="19"/>
          <w:u w:val="single" w:color="auto"/>
          <w:color w:val="000000"/>
        </w:rPr>
        <w:t>Termination of Service</w:t>
      </w:r>
      <w:r>
        <w:rPr>
          <w:rFonts w:ascii="Arial" w:cs="Arial" w:eastAsia="Arial" w:hAnsi="Arial"/>
          <w:sz w:val="19"/>
          <w:szCs w:val="19"/>
          <w:color w:val="000000"/>
        </w:rPr>
        <w:t>. Except as may be set forth in the Participant’s Award Agreement, vesting ceases on such date Participant’s</w:t>
      </w:r>
      <w:r>
        <w:rPr>
          <w:rFonts w:ascii="Arial" w:cs="Arial" w:eastAsia="Arial" w:hAnsi="Arial"/>
          <w:sz w:val="19"/>
          <w:szCs w:val="19"/>
          <w:b w:val="1"/>
          <w:bCs w:val="1"/>
          <w:color w:val="010000"/>
        </w:rPr>
        <w:t xml:space="preserve"> </w:t>
      </w:r>
      <w:r>
        <w:rPr>
          <w:rFonts w:ascii="Arial" w:cs="Arial" w:eastAsia="Arial" w:hAnsi="Arial"/>
          <w:sz w:val="19"/>
          <w:szCs w:val="19"/>
          <w:color w:val="000000"/>
        </w:rPr>
        <w:t>Service terminates (unless determined otherwise by the Committee).</w:t>
      </w:r>
    </w:p>
    <w:p>
      <w:pPr>
        <w:spacing w:after="0" w:line="152" w:lineRule="exact"/>
        <w:rPr>
          <w:sz w:val="20"/>
          <w:szCs w:val="20"/>
          <w:color w:val="auto"/>
        </w:rPr>
      </w:pPr>
    </w:p>
    <w:p>
      <w:pPr>
        <w:jc w:val="both"/>
        <w:ind w:firstLine="3"/>
        <w:spacing w:after="0" w:line="232" w:lineRule="auto"/>
        <w:tabs>
          <w:tab w:leader="none" w:pos="620" w:val="left"/>
        </w:tabs>
        <w:numPr>
          <w:ilvl w:val="0"/>
          <w:numId w:val="8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STOCK BONUS AWARDS</w:t>
      </w:r>
      <w:r>
        <w:rPr>
          <w:rFonts w:ascii="Arial" w:cs="Arial" w:eastAsia="Arial" w:hAnsi="Arial"/>
          <w:sz w:val="19"/>
          <w:szCs w:val="19"/>
          <w:color w:val="auto"/>
        </w:rPr>
        <w:t>. A Stock Bonus Award is an award to an Eligible Employee of Shares for Services to be rendered or for past</w:t>
      </w:r>
      <w:r>
        <w:rPr>
          <w:rFonts w:ascii="Arial" w:cs="Arial" w:eastAsia="Arial" w:hAnsi="Arial"/>
          <w:sz w:val="19"/>
          <w:szCs w:val="19"/>
          <w:b w:val="1"/>
          <w:bCs w:val="1"/>
          <w:color w:val="auto"/>
        </w:rPr>
        <w:t xml:space="preserve"> </w:t>
      </w:r>
      <w:r>
        <w:rPr>
          <w:rFonts w:ascii="Arial" w:cs="Arial" w:eastAsia="Arial" w:hAnsi="Arial"/>
          <w:sz w:val="19"/>
          <w:szCs w:val="19"/>
          <w:color w:val="auto"/>
        </w:rPr>
        <w:t>Services already rendered to the Company or any Subsidiary. All Stock Bonus Awards shall be made pursuant to an Award Agreement. No payment from the Participant will be required for Shares awarded pursuant to a Stock Bonus Award.</w:t>
      </w:r>
    </w:p>
    <w:p>
      <w:pPr>
        <w:spacing w:after="0" w:line="155" w:lineRule="exact"/>
        <w:rPr>
          <w:sz w:val="20"/>
          <w:szCs w:val="20"/>
          <w:color w:val="auto"/>
        </w:rPr>
      </w:pPr>
    </w:p>
    <w:p>
      <w:pPr>
        <w:jc w:val="both"/>
        <w:ind w:firstLine="620"/>
        <w:spacing w:after="0" w:line="220" w:lineRule="auto"/>
        <w:rPr>
          <w:sz w:val="20"/>
          <w:szCs w:val="20"/>
          <w:color w:val="auto"/>
        </w:rPr>
      </w:pPr>
      <w:r>
        <w:rPr>
          <w:rFonts w:ascii="Arial" w:cs="Arial" w:eastAsia="Arial" w:hAnsi="Arial"/>
          <w:sz w:val="19"/>
          <w:szCs w:val="19"/>
          <w:b w:val="1"/>
          <w:bCs w:val="1"/>
          <w:color w:val="010000"/>
        </w:rPr>
        <w:t xml:space="preserve">7.1. </w:t>
      </w:r>
      <w:r>
        <w:rPr>
          <w:rFonts w:ascii="Arial" w:cs="Arial" w:eastAsia="Arial" w:hAnsi="Arial"/>
          <w:sz w:val="19"/>
          <w:szCs w:val="19"/>
          <w:u w:val="single" w:color="auto"/>
          <w:color w:val="000000"/>
        </w:rPr>
        <w:t>Terms of Stock Bonus Awards</w:t>
      </w:r>
      <w:r>
        <w:rPr>
          <w:rFonts w:ascii="Arial" w:cs="Arial" w:eastAsia="Arial" w:hAnsi="Arial"/>
          <w:sz w:val="19"/>
          <w:szCs w:val="19"/>
          <w:color w:val="000000"/>
        </w:rPr>
        <w:t>. The Committee will determine the number of Shares to be awarded to the Participant under a Stock</w:t>
      </w:r>
      <w:r>
        <w:rPr>
          <w:rFonts w:ascii="Arial" w:cs="Arial" w:eastAsia="Arial" w:hAnsi="Arial"/>
          <w:sz w:val="19"/>
          <w:szCs w:val="19"/>
          <w:b w:val="1"/>
          <w:bCs w:val="1"/>
          <w:color w:val="010000"/>
        </w:rPr>
        <w:t xml:space="preserve"> </w:t>
      </w:r>
      <w:r>
        <w:rPr>
          <w:rFonts w:ascii="Arial" w:cs="Arial" w:eastAsia="Arial" w:hAnsi="Arial"/>
          <w:sz w:val="19"/>
          <w:szCs w:val="19"/>
          <w:color w:val="000000"/>
        </w:rPr>
        <w:t>Bonus 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55" w:lineRule="exact"/>
        <w:rPr>
          <w:sz w:val="20"/>
          <w:szCs w:val="20"/>
          <w:color w:val="auto"/>
        </w:rPr>
      </w:pPr>
    </w:p>
    <w:p>
      <w:pPr>
        <w:jc w:val="both"/>
        <w:ind w:firstLine="620"/>
        <w:spacing w:after="0" w:line="300" w:lineRule="auto"/>
        <w:rPr>
          <w:sz w:val="20"/>
          <w:szCs w:val="20"/>
          <w:color w:val="auto"/>
        </w:rPr>
      </w:pPr>
      <w:r>
        <w:rPr>
          <w:rFonts w:ascii="Arial" w:cs="Arial" w:eastAsia="Arial" w:hAnsi="Arial"/>
          <w:sz w:val="17"/>
          <w:szCs w:val="17"/>
          <w:b w:val="1"/>
          <w:bCs w:val="1"/>
          <w:color w:val="010000"/>
        </w:rPr>
        <w:t xml:space="preserve">7.2. </w:t>
      </w:r>
      <w:r>
        <w:rPr>
          <w:rFonts w:ascii="Arial" w:cs="Arial" w:eastAsia="Arial" w:hAnsi="Arial"/>
          <w:sz w:val="17"/>
          <w:szCs w:val="17"/>
          <w:u w:val="single" w:color="auto"/>
          <w:color w:val="000000"/>
        </w:rPr>
        <w:t>Form of Payment to Participant</w:t>
      </w:r>
      <w:r>
        <w:rPr>
          <w:rFonts w:ascii="Arial" w:cs="Arial" w:eastAsia="Arial" w:hAnsi="Arial"/>
          <w:sz w:val="17"/>
          <w:szCs w:val="17"/>
          <w:color w:val="000000"/>
        </w:rPr>
        <w:t>. Payment may be made in the form of cash, whole Shares, or a combination thereof, based on the</w:t>
      </w:r>
      <w:r>
        <w:rPr>
          <w:rFonts w:ascii="Arial" w:cs="Arial" w:eastAsia="Arial" w:hAnsi="Arial"/>
          <w:sz w:val="17"/>
          <w:szCs w:val="17"/>
          <w:b w:val="1"/>
          <w:bCs w:val="1"/>
          <w:color w:val="010000"/>
        </w:rPr>
        <w:t xml:space="preserve"> </w:t>
      </w:r>
      <w:r>
        <w:rPr>
          <w:rFonts w:ascii="Arial" w:cs="Arial" w:eastAsia="Arial" w:hAnsi="Arial"/>
          <w:sz w:val="17"/>
          <w:szCs w:val="17"/>
          <w:color w:val="000000"/>
        </w:rPr>
        <w:t>Fair Market Value of the Shares earned under a Stock Bonus Award on the date of payment, as determined in the sole discretion of the Committee.</w:t>
      </w:r>
    </w:p>
    <w:p>
      <w:pPr>
        <w:spacing w:after="0" w:line="106"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9"/>
          <w:szCs w:val="19"/>
          <w:b w:val="1"/>
          <w:bCs w:val="1"/>
          <w:color w:val="010000"/>
        </w:rPr>
        <w:t xml:space="preserve">7.3. </w:t>
      </w:r>
      <w:r>
        <w:rPr>
          <w:rFonts w:ascii="Arial" w:cs="Arial" w:eastAsia="Arial" w:hAnsi="Arial"/>
          <w:sz w:val="19"/>
          <w:szCs w:val="19"/>
          <w:u w:val="single" w:color="auto"/>
          <w:color w:val="000000"/>
        </w:rPr>
        <w:t>Termination of Service</w:t>
      </w:r>
      <w:r>
        <w:rPr>
          <w:rFonts w:ascii="Arial" w:cs="Arial" w:eastAsia="Arial" w:hAnsi="Arial"/>
          <w:sz w:val="19"/>
          <w:szCs w:val="19"/>
          <w:color w:val="000000"/>
        </w:rPr>
        <w:t>. Except as may be set forth in the Participant’s Award Agreement, vesting ceases on such date Participant’s</w:t>
      </w:r>
      <w:r>
        <w:rPr>
          <w:rFonts w:ascii="Arial" w:cs="Arial" w:eastAsia="Arial" w:hAnsi="Arial"/>
          <w:sz w:val="19"/>
          <w:szCs w:val="19"/>
          <w:b w:val="1"/>
          <w:bCs w:val="1"/>
          <w:color w:val="010000"/>
        </w:rPr>
        <w:t xml:space="preserve"> </w:t>
      </w:r>
      <w:r>
        <w:rPr>
          <w:rFonts w:ascii="Arial" w:cs="Arial" w:eastAsia="Arial" w:hAnsi="Arial"/>
          <w:sz w:val="19"/>
          <w:szCs w:val="19"/>
          <w:color w:val="000000"/>
        </w:rPr>
        <w:t>Service terminates (unless determined otherwise by the Committee).</w:t>
      </w:r>
    </w:p>
    <w:p>
      <w:pPr>
        <w:spacing w:after="0" w:line="152" w:lineRule="exact"/>
        <w:rPr>
          <w:sz w:val="20"/>
          <w:szCs w:val="20"/>
          <w:color w:val="auto"/>
        </w:rPr>
      </w:pPr>
    </w:p>
    <w:p>
      <w:pPr>
        <w:jc w:val="both"/>
        <w:ind w:firstLine="3"/>
        <w:spacing w:after="0" w:line="258" w:lineRule="auto"/>
        <w:tabs>
          <w:tab w:leader="none" w:pos="620" w:val="left"/>
        </w:tabs>
        <w:numPr>
          <w:ilvl w:val="0"/>
          <w:numId w:val="82"/>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STOCK APPRECIATION RIGHTS</w:t>
      </w:r>
      <w:r>
        <w:rPr>
          <w:rFonts w:ascii="Arial" w:cs="Arial" w:eastAsia="Arial" w:hAnsi="Arial"/>
          <w:sz w:val="17"/>
          <w:szCs w:val="17"/>
          <w:color w:val="auto"/>
        </w:rPr>
        <w:t>. A Stock Appreciation Right (“</w:t>
      </w:r>
      <w:r>
        <w:rPr>
          <w:rFonts w:ascii="Arial" w:cs="Arial" w:eastAsia="Arial" w:hAnsi="Arial"/>
          <w:sz w:val="17"/>
          <w:szCs w:val="17"/>
          <w:b w:val="1"/>
          <w:bCs w:val="1"/>
          <w:i w:val="1"/>
          <w:iCs w:val="1"/>
          <w:color w:val="auto"/>
        </w:rPr>
        <w:t>SAR</w:t>
      </w:r>
      <w:r>
        <w:rPr>
          <w:rFonts w:ascii="Arial" w:cs="Arial" w:eastAsia="Arial" w:hAnsi="Arial"/>
          <w:sz w:val="17"/>
          <w:szCs w:val="17"/>
          <w:color w:val="auto"/>
        </w:rPr>
        <w:t>”) is an award to an Eligible Employee that may be settled in</w:t>
      </w:r>
      <w:r>
        <w:rPr>
          <w:rFonts w:ascii="Arial" w:cs="Arial" w:eastAsia="Arial" w:hAnsi="Arial"/>
          <w:sz w:val="17"/>
          <w:szCs w:val="17"/>
          <w:b w:val="1"/>
          <w:bCs w:val="1"/>
          <w:color w:val="auto"/>
        </w:rPr>
        <w:t xml:space="preserve"> </w:t>
      </w:r>
      <w:r>
        <w:rPr>
          <w:rFonts w:ascii="Arial" w:cs="Arial" w:eastAsia="Arial" w:hAnsi="Arial"/>
          <w:sz w:val="17"/>
          <w:szCs w:val="17"/>
          <w:color w:val="auto"/>
        </w:rPr>
        <w:t>cash, or Shares (which may consist of Restricted Stock), having a value equal to (a) the difference between the Fair Market Value on the date of exercise less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41" w:lineRule="exact"/>
        <w:rPr>
          <w:sz w:val="20"/>
          <w:szCs w:val="20"/>
          <w:color w:val="auto"/>
        </w:rPr>
      </w:pPr>
    </w:p>
    <w:p>
      <w:pPr>
        <w:jc w:val="both"/>
        <w:ind w:firstLine="620"/>
        <w:spacing w:after="0" w:line="246" w:lineRule="auto"/>
        <w:rPr>
          <w:sz w:val="20"/>
          <w:szCs w:val="20"/>
          <w:color w:val="auto"/>
        </w:rPr>
      </w:pPr>
      <w:r>
        <w:rPr>
          <w:rFonts w:ascii="Arial" w:cs="Arial" w:eastAsia="Arial" w:hAnsi="Arial"/>
          <w:sz w:val="17"/>
          <w:szCs w:val="17"/>
          <w:b w:val="1"/>
          <w:bCs w:val="1"/>
          <w:color w:val="010000"/>
        </w:rPr>
        <w:t xml:space="preserve">8.1. </w:t>
      </w:r>
      <w:r>
        <w:rPr>
          <w:rFonts w:ascii="Arial" w:cs="Arial" w:eastAsia="Arial" w:hAnsi="Arial"/>
          <w:sz w:val="17"/>
          <w:szCs w:val="17"/>
          <w:u w:val="single" w:color="auto"/>
          <w:color w:val="000000"/>
        </w:rPr>
        <w:t>Terms of SARs</w:t>
      </w:r>
      <w:r>
        <w:rPr>
          <w:rFonts w:ascii="Arial" w:cs="Arial" w:eastAsia="Arial" w:hAnsi="Arial"/>
          <w:sz w:val="17"/>
          <w:szCs w:val="17"/>
          <w:color w:val="000000"/>
        </w:rPr>
        <w:t>. The Committee will determine the terms of each SAR including, without limitation: (a) the number of Shares</w:t>
      </w:r>
      <w:r>
        <w:rPr>
          <w:rFonts w:ascii="Arial" w:cs="Arial" w:eastAsia="Arial" w:hAnsi="Arial"/>
          <w:sz w:val="17"/>
          <w:szCs w:val="17"/>
          <w:b w:val="1"/>
          <w:bCs w:val="1"/>
          <w:color w:val="010000"/>
        </w:rPr>
        <w:t xml:space="preserve"> </w:t>
      </w:r>
      <w:r>
        <w:rPr>
          <w:rFonts w:ascii="Arial" w:cs="Arial" w:eastAsia="Arial" w:hAnsi="Arial"/>
          <w:sz w:val="17"/>
          <w:szCs w:val="17"/>
          <w:color w:val="000000"/>
        </w:rPr>
        <w:t>subject to the 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A SAR may be awarded upon satisfaction of Performance Factors, if any, during any Performance Period as are set out in advance in the Participant’s individual Award Agreement. If the SAR is being earned upon the satisfaction of Performance Factors, then the Committee will: (x) determine the nature, length and starting date of any Performance Period for each SAR; and (y)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54" w:lineRule="exact"/>
        <w:rPr>
          <w:sz w:val="20"/>
          <w:szCs w:val="20"/>
          <w:color w:val="auto"/>
        </w:rPr>
      </w:pPr>
    </w:p>
    <w:p>
      <w:pPr>
        <w:jc w:val="both"/>
        <w:ind w:firstLine="620"/>
        <w:spacing w:after="0" w:line="227" w:lineRule="auto"/>
        <w:rPr>
          <w:sz w:val="20"/>
          <w:szCs w:val="20"/>
          <w:color w:val="auto"/>
        </w:rPr>
      </w:pPr>
      <w:r>
        <w:rPr>
          <w:rFonts w:ascii="Arial" w:cs="Arial" w:eastAsia="Arial" w:hAnsi="Arial"/>
          <w:sz w:val="19"/>
          <w:szCs w:val="19"/>
          <w:b w:val="1"/>
          <w:bCs w:val="1"/>
          <w:color w:val="010000"/>
        </w:rPr>
        <w:t xml:space="preserve">8.2. </w:t>
      </w:r>
      <w:r>
        <w:rPr>
          <w:rFonts w:ascii="Arial" w:cs="Arial" w:eastAsia="Arial" w:hAnsi="Arial"/>
          <w:sz w:val="19"/>
          <w:szCs w:val="19"/>
          <w:u w:val="single" w:color="auto"/>
          <w:color w:val="000000"/>
        </w:rPr>
        <w:t>Exercise Period and Expiration Date</w:t>
      </w:r>
      <w:r>
        <w:rPr>
          <w:rFonts w:ascii="Arial" w:cs="Arial" w:eastAsia="Arial" w:hAnsi="Arial"/>
          <w:sz w:val="19"/>
          <w:szCs w:val="19"/>
          <w:color w:val="000000"/>
        </w:rPr>
        <w:t>. A SAR will be exercisable within the times or upon the occurrence of events determined by</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17" w:lineRule="exact"/>
        <w:rPr>
          <w:sz w:val="20"/>
          <w:szCs w:val="20"/>
          <w:color w:val="auto"/>
        </w:rPr>
      </w:pPr>
    </w:p>
    <w:p>
      <w:pPr>
        <w:jc w:val="both"/>
        <w:spacing w:after="0" w:line="225" w:lineRule="auto"/>
        <w:rPr>
          <w:sz w:val="20"/>
          <w:szCs w:val="20"/>
          <w:color w:val="auto"/>
        </w:rPr>
      </w:pPr>
      <w:r>
        <w:rPr>
          <w:rFonts w:ascii="Arial" w:cs="Arial" w:eastAsia="Arial" w:hAnsi="Arial"/>
          <w:sz w:val="19"/>
          <w:szCs w:val="19"/>
          <w:color w:val="auto"/>
        </w:rPr>
        <w:t>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57" w:lineRule="exact"/>
        <w:rPr>
          <w:sz w:val="20"/>
          <w:szCs w:val="20"/>
          <w:color w:val="auto"/>
        </w:rPr>
      </w:pPr>
    </w:p>
    <w:p>
      <w:pPr>
        <w:jc w:val="both"/>
        <w:ind w:firstLine="620"/>
        <w:spacing w:after="0" w:line="222" w:lineRule="auto"/>
        <w:rPr>
          <w:sz w:val="20"/>
          <w:szCs w:val="20"/>
          <w:color w:val="auto"/>
        </w:rPr>
      </w:pPr>
      <w:r>
        <w:rPr>
          <w:rFonts w:ascii="Arial" w:cs="Arial" w:eastAsia="Arial" w:hAnsi="Arial"/>
          <w:sz w:val="19"/>
          <w:szCs w:val="19"/>
          <w:b w:val="1"/>
          <w:bCs w:val="1"/>
          <w:color w:val="010000"/>
        </w:rPr>
        <w:t xml:space="preserve">8.3. </w:t>
      </w:r>
      <w:r>
        <w:rPr>
          <w:rFonts w:ascii="Arial" w:cs="Arial" w:eastAsia="Arial" w:hAnsi="Arial"/>
          <w:sz w:val="19"/>
          <w:szCs w:val="19"/>
          <w:u w:val="single" w:color="auto"/>
          <w:color w:val="000000"/>
        </w:rPr>
        <w:t>Form of Settlement</w:t>
      </w:r>
      <w:r>
        <w:rPr>
          <w:rFonts w:ascii="Arial" w:cs="Arial" w:eastAsia="Arial" w:hAnsi="Arial"/>
          <w:sz w:val="19"/>
          <w:szCs w:val="19"/>
          <w:color w:val="000000"/>
        </w:rPr>
        <w:t>. Upon exercise of a SAR, a Participant will be entitled to receive payment from the Company in an amount</w:t>
      </w:r>
      <w:r>
        <w:rPr>
          <w:rFonts w:ascii="Arial" w:cs="Arial" w:eastAsia="Arial" w:hAnsi="Arial"/>
          <w:sz w:val="19"/>
          <w:szCs w:val="19"/>
          <w:b w:val="1"/>
          <w:bCs w:val="1"/>
          <w:color w:val="010000"/>
        </w:rPr>
        <w:t xml:space="preserve"> </w:t>
      </w:r>
      <w:r>
        <w:rPr>
          <w:rFonts w:ascii="Arial" w:cs="Arial" w:eastAsia="Arial" w:hAnsi="Arial"/>
          <w:sz w:val="19"/>
          <w:szCs w:val="19"/>
          <w:color w:val="000000"/>
        </w:rPr>
        <w:t>determined by multiplying (a) the difference between the Fair Market Value of a Share on the date of exercise less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spacing w:after="0" w:line="157"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9"/>
          <w:szCs w:val="19"/>
          <w:b w:val="1"/>
          <w:bCs w:val="1"/>
          <w:color w:val="010000"/>
        </w:rPr>
        <w:t xml:space="preserve">8.4. </w:t>
      </w:r>
      <w:r>
        <w:rPr>
          <w:rFonts w:ascii="Arial" w:cs="Arial" w:eastAsia="Arial" w:hAnsi="Arial"/>
          <w:sz w:val="19"/>
          <w:szCs w:val="19"/>
          <w:u w:val="single" w:color="auto"/>
          <w:color w:val="000000"/>
        </w:rPr>
        <w:t>Termination of Service</w:t>
      </w:r>
      <w:r>
        <w:rPr>
          <w:rFonts w:ascii="Arial" w:cs="Arial" w:eastAsia="Arial" w:hAnsi="Arial"/>
          <w:sz w:val="19"/>
          <w:szCs w:val="19"/>
          <w:color w:val="000000"/>
        </w:rPr>
        <w:t>. Except as may be set forth in the Participant’s Award Agreement, vesting ceases on such date Participant’s</w:t>
      </w:r>
      <w:r>
        <w:rPr>
          <w:rFonts w:ascii="Arial" w:cs="Arial" w:eastAsia="Arial" w:hAnsi="Arial"/>
          <w:sz w:val="19"/>
          <w:szCs w:val="19"/>
          <w:b w:val="1"/>
          <w:bCs w:val="1"/>
          <w:color w:val="010000"/>
        </w:rPr>
        <w:t xml:space="preserve"> </w:t>
      </w:r>
      <w:r>
        <w:rPr>
          <w:rFonts w:ascii="Arial" w:cs="Arial" w:eastAsia="Arial" w:hAnsi="Arial"/>
          <w:sz w:val="19"/>
          <w:szCs w:val="19"/>
          <w:color w:val="000000"/>
        </w:rPr>
        <w:t>Service terminates (unless determined otherwise by the Committee).</w:t>
      </w:r>
    </w:p>
    <w:p>
      <w:pPr>
        <w:spacing w:after="0" w:line="152" w:lineRule="exact"/>
        <w:rPr>
          <w:sz w:val="20"/>
          <w:szCs w:val="20"/>
          <w:color w:val="auto"/>
        </w:rPr>
      </w:pPr>
    </w:p>
    <w:p>
      <w:pPr>
        <w:jc w:val="both"/>
        <w:ind w:firstLine="3"/>
        <w:spacing w:after="0" w:line="232" w:lineRule="auto"/>
        <w:tabs>
          <w:tab w:leader="none" w:pos="620" w:val="left"/>
        </w:tabs>
        <w:numPr>
          <w:ilvl w:val="0"/>
          <w:numId w:val="8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RESTRICTED STOCK UNITS</w:t>
      </w:r>
      <w:r>
        <w:rPr>
          <w:rFonts w:ascii="Arial" w:cs="Arial" w:eastAsia="Arial" w:hAnsi="Arial"/>
          <w:sz w:val="19"/>
          <w:szCs w:val="19"/>
          <w:color w:val="auto"/>
        </w:rPr>
        <w:t>. A Restricted Stock Unit (“</w:t>
      </w:r>
      <w:r>
        <w:rPr>
          <w:rFonts w:ascii="Arial" w:cs="Arial" w:eastAsia="Arial" w:hAnsi="Arial"/>
          <w:sz w:val="19"/>
          <w:szCs w:val="19"/>
          <w:b w:val="1"/>
          <w:bCs w:val="1"/>
          <w:i w:val="1"/>
          <w:iCs w:val="1"/>
          <w:color w:val="auto"/>
        </w:rPr>
        <w:t>RSU</w:t>
      </w:r>
      <w:r>
        <w:rPr>
          <w:rFonts w:ascii="Arial" w:cs="Arial" w:eastAsia="Arial" w:hAnsi="Arial"/>
          <w:sz w:val="19"/>
          <w:szCs w:val="19"/>
          <w:color w:val="auto"/>
        </w:rPr>
        <w:t>”) is an award to an Eligible Employee covering a number of Shares that</w:t>
      </w:r>
      <w:r>
        <w:rPr>
          <w:rFonts w:ascii="Arial" w:cs="Arial" w:eastAsia="Arial" w:hAnsi="Arial"/>
          <w:sz w:val="19"/>
          <w:szCs w:val="19"/>
          <w:b w:val="1"/>
          <w:bCs w:val="1"/>
          <w:color w:val="auto"/>
        </w:rPr>
        <w:t xml:space="preserve"> </w:t>
      </w:r>
      <w:r>
        <w:rPr>
          <w:rFonts w:ascii="Arial" w:cs="Arial" w:eastAsia="Arial" w:hAnsi="Arial"/>
          <w:sz w:val="19"/>
          <w:szCs w:val="19"/>
          <w:color w:val="auto"/>
        </w:rPr>
        <w:t>may be settled in cash, or by issuance of those Shares (which may consist of Restricted Stock). All RSUs shall be made pursuant to an Award Agreement.</w:t>
      </w:r>
    </w:p>
    <w:p>
      <w:pPr>
        <w:spacing w:after="0" w:line="155" w:lineRule="exact"/>
        <w:rPr>
          <w:sz w:val="20"/>
          <w:szCs w:val="20"/>
          <w:color w:val="auto"/>
        </w:rPr>
      </w:pPr>
    </w:p>
    <w:p>
      <w:pPr>
        <w:jc w:val="both"/>
        <w:ind w:firstLine="620"/>
        <w:spacing w:after="0" w:line="246" w:lineRule="auto"/>
        <w:rPr>
          <w:sz w:val="20"/>
          <w:szCs w:val="20"/>
          <w:color w:val="auto"/>
        </w:rPr>
      </w:pPr>
      <w:r>
        <w:rPr>
          <w:rFonts w:ascii="Arial" w:cs="Arial" w:eastAsia="Arial" w:hAnsi="Arial"/>
          <w:sz w:val="17"/>
          <w:szCs w:val="17"/>
          <w:b w:val="1"/>
          <w:bCs w:val="1"/>
          <w:color w:val="010000"/>
        </w:rPr>
        <w:t xml:space="preserve">9.1. </w:t>
      </w:r>
      <w:r>
        <w:rPr>
          <w:rFonts w:ascii="Arial" w:cs="Arial" w:eastAsia="Arial" w:hAnsi="Arial"/>
          <w:sz w:val="17"/>
          <w:szCs w:val="17"/>
          <w:u w:val="single" w:color="auto"/>
          <w:color w:val="000000"/>
        </w:rPr>
        <w:t>Terms of RSUs</w:t>
      </w:r>
      <w:r>
        <w:rPr>
          <w:rFonts w:ascii="Arial" w:cs="Arial" w:eastAsia="Arial" w:hAnsi="Arial"/>
          <w:sz w:val="17"/>
          <w:szCs w:val="17"/>
          <w:color w:val="000000"/>
        </w:rPr>
        <w:t>. The Committee will determine the terms of an RSU including, without limitation: (a) the number of Shares subject</w:t>
      </w:r>
      <w:r>
        <w:rPr>
          <w:rFonts w:ascii="Arial" w:cs="Arial" w:eastAsia="Arial" w:hAnsi="Arial"/>
          <w:sz w:val="17"/>
          <w:szCs w:val="17"/>
          <w:b w:val="1"/>
          <w:bCs w:val="1"/>
          <w:color w:val="010000"/>
        </w:rPr>
        <w:t xml:space="preserve"> </w:t>
      </w:r>
      <w:r>
        <w:rPr>
          <w:rFonts w:ascii="Arial" w:cs="Arial" w:eastAsia="Arial" w:hAnsi="Arial"/>
          <w:sz w:val="17"/>
          <w:szCs w:val="17"/>
          <w:color w:val="000000"/>
        </w:rPr>
        <w:t>to the RSU; (b) the time or times during which the RSU may be settled; (c) the consideration to be distributed on settlement; and (d) the effect of the Participant’s termination of Service on each RSU; provided that no RSU shall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(x) determine the nature, length and starting date of any Performance Period for the RSU; (y) select from among the Performance Factors to be used to measure the performance, if any; and (z)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54" w:lineRule="exact"/>
        <w:rPr>
          <w:sz w:val="20"/>
          <w:szCs w:val="20"/>
          <w:color w:val="auto"/>
        </w:rPr>
      </w:pPr>
    </w:p>
    <w:p>
      <w:pPr>
        <w:jc w:val="both"/>
        <w:ind w:firstLine="620"/>
        <w:spacing w:after="0"/>
        <w:rPr>
          <w:sz w:val="20"/>
          <w:szCs w:val="20"/>
          <w:color w:val="auto"/>
        </w:rPr>
      </w:pPr>
      <w:r>
        <w:rPr>
          <w:rFonts w:ascii="Arial" w:cs="Arial" w:eastAsia="Arial" w:hAnsi="Arial"/>
          <w:sz w:val="18"/>
          <w:szCs w:val="18"/>
          <w:b w:val="1"/>
          <w:bCs w:val="1"/>
          <w:color w:val="010000"/>
        </w:rPr>
        <w:t xml:space="preserve">9.2. </w:t>
      </w:r>
      <w:r>
        <w:rPr>
          <w:rFonts w:ascii="Arial" w:cs="Arial" w:eastAsia="Arial" w:hAnsi="Arial"/>
          <w:sz w:val="18"/>
          <w:szCs w:val="18"/>
          <w:u w:val="single" w:color="auto"/>
          <w:color w:val="000000"/>
        </w:rPr>
        <w:t>Form and Timing of Settlement</w:t>
      </w:r>
      <w:r>
        <w:rPr>
          <w:rFonts w:ascii="Arial" w:cs="Arial" w:eastAsia="Arial" w:hAnsi="Arial"/>
          <w:sz w:val="18"/>
          <w:szCs w:val="18"/>
          <w:color w:val="000000"/>
        </w:rPr>
        <w:t>. Payment of earned RSUs shall be made as soon as practicable after the date(s) determined by the</w:t>
      </w:r>
      <w:r>
        <w:rPr>
          <w:rFonts w:ascii="Arial" w:cs="Arial" w:eastAsia="Arial" w:hAnsi="Arial"/>
          <w:sz w:val="18"/>
          <w:szCs w:val="18"/>
          <w:b w:val="1"/>
          <w:bCs w:val="1"/>
          <w:color w:val="010000"/>
        </w:rPr>
        <w:t xml:space="preserve"> </w:t>
      </w:r>
      <w:r>
        <w:rPr>
          <w:rFonts w:ascii="Arial" w:cs="Arial" w:eastAsia="Arial" w:hAnsi="Arial"/>
          <w:sz w:val="18"/>
          <w:szCs w:val="18"/>
          <w:color w:val="000000"/>
        </w:rPr>
        <w:t>Committee and set forth in the Award Agreement. The Committee, in its sole discretion, may settle earned RSUs in cash, Shares, or a combination of both. The Committee may also permit a Participant to defer payment under an RSU to a date or dates after the RSU is earned provided that the terms of the RSU and any deferral satisfy the requirements of Section 409A of the Code to the extent applicable.</w:t>
      </w:r>
    </w:p>
    <w:p>
      <w:pPr>
        <w:spacing w:after="0" w:line="154"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9"/>
          <w:szCs w:val="19"/>
          <w:b w:val="1"/>
          <w:bCs w:val="1"/>
          <w:color w:val="010000"/>
        </w:rPr>
        <w:t xml:space="preserve">9.3. </w:t>
      </w:r>
      <w:r>
        <w:rPr>
          <w:rFonts w:ascii="Arial" w:cs="Arial" w:eastAsia="Arial" w:hAnsi="Arial"/>
          <w:sz w:val="19"/>
          <w:szCs w:val="19"/>
          <w:u w:val="single" w:color="auto"/>
          <w:color w:val="000000"/>
        </w:rPr>
        <w:t>Termination of Service</w:t>
      </w:r>
      <w:r>
        <w:rPr>
          <w:rFonts w:ascii="Arial" w:cs="Arial" w:eastAsia="Arial" w:hAnsi="Arial"/>
          <w:sz w:val="19"/>
          <w:szCs w:val="19"/>
          <w:color w:val="000000"/>
        </w:rPr>
        <w:t>. Except as may be set forth in the Participant’s Award Agreement, vesting ceases on such date Participant’s</w:t>
      </w:r>
      <w:r>
        <w:rPr>
          <w:rFonts w:ascii="Arial" w:cs="Arial" w:eastAsia="Arial" w:hAnsi="Arial"/>
          <w:sz w:val="19"/>
          <w:szCs w:val="19"/>
          <w:b w:val="1"/>
          <w:bCs w:val="1"/>
          <w:color w:val="010000"/>
        </w:rPr>
        <w:t xml:space="preserve"> </w:t>
      </w:r>
      <w:r>
        <w:rPr>
          <w:rFonts w:ascii="Arial" w:cs="Arial" w:eastAsia="Arial" w:hAnsi="Arial"/>
          <w:sz w:val="19"/>
          <w:szCs w:val="19"/>
          <w:color w:val="000000"/>
        </w:rPr>
        <w:t>Service terminates (unless determined otherwise by the Committee).</w:t>
      </w:r>
    </w:p>
    <w:p>
      <w:pPr>
        <w:spacing w:after="0" w:line="152" w:lineRule="exact"/>
        <w:rPr>
          <w:sz w:val="20"/>
          <w:szCs w:val="20"/>
          <w:color w:val="auto"/>
        </w:rPr>
      </w:pPr>
    </w:p>
    <w:p>
      <w:pPr>
        <w:jc w:val="both"/>
        <w:ind w:firstLine="3"/>
        <w:spacing w:after="0" w:line="227" w:lineRule="auto"/>
        <w:tabs>
          <w:tab w:leader="none" w:pos="611" w:val="left"/>
        </w:tabs>
        <w:numPr>
          <w:ilvl w:val="0"/>
          <w:numId w:val="84"/>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PERFORMANCE AWARDS</w:t>
      </w:r>
      <w:r>
        <w:rPr>
          <w:rFonts w:ascii="Arial" w:cs="Arial" w:eastAsia="Arial" w:hAnsi="Arial"/>
          <w:sz w:val="19"/>
          <w:szCs w:val="19"/>
          <w:color w:val="auto"/>
        </w:rPr>
        <w:t>. A Performance Award is an award to an Eligible Employee that is based upon the attainment of</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09"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9"/>
          <w:szCs w:val="19"/>
          <w:b w:val="1"/>
          <w:bCs w:val="1"/>
          <w:color w:val="010000"/>
        </w:rPr>
        <w:t>10.1.</w:t>
      </w:r>
      <w:r>
        <w:rPr>
          <w:sz w:val="20"/>
          <w:szCs w:val="20"/>
          <w:color w:val="auto"/>
        </w:rPr>
        <w:tab/>
      </w:r>
      <w:r>
        <w:rPr>
          <w:rFonts w:ascii="Arial" w:cs="Arial" w:eastAsia="Arial" w:hAnsi="Arial"/>
          <w:sz w:val="17"/>
          <w:szCs w:val="17"/>
          <w:color w:val="auto"/>
        </w:rPr>
        <w:t>Performance Awards shall include Performance Shares, Performance Units, and cash-based Awards as set forth in Sections 10.1(a),</w:t>
      </w:r>
    </w:p>
    <w:p>
      <w:pPr>
        <w:spacing w:after="0"/>
        <w:rPr>
          <w:sz w:val="20"/>
          <w:szCs w:val="20"/>
          <w:color w:val="auto"/>
        </w:rPr>
      </w:pPr>
      <w:r>
        <w:rPr>
          <w:rFonts w:ascii="Arial" w:cs="Arial" w:eastAsia="Arial" w:hAnsi="Arial"/>
          <w:sz w:val="19"/>
          <w:szCs w:val="19"/>
          <w:color w:val="auto"/>
        </w:rPr>
        <w:t>10.1(b), and 10.1(c) below.</w:t>
      </w:r>
    </w:p>
    <w:p>
      <w:pPr>
        <w:spacing w:after="0" w:line="166" w:lineRule="exact"/>
        <w:rPr>
          <w:sz w:val="20"/>
          <w:szCs w:val="20"/>
          <w:color w:val="auto"/>
        </w:rPr>
      </w:pPr>
    </w:p>
    <w:p>
      <w:pPr>
        <w:jc w:val="both"/>
        <w:ind w:firstLine="1244"/>
        <w:spacing w:after="0" w:line="232" w:lineRule="auto"/>
        <w:tabs>
          <w:tab w:leader="none" w:pos="1851"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Performance Shares</w:t>
      </w:r>
      <w:r>
        <w:rPr>
          <w:rFonts w:ascii="Arial" w:cs="Arial" w:eastAsia="Arial" w:hAnsi="Arial"/>
          <w:sz w:val="18"/>
          <w:szCs w:val="18"/>
          <w:color w:val="auto"/>
        </w:rPr>
        <w:t>. The Committee may grant Awards of Performance Shares, designate the Participants to whom Performance Shares are to be awarded and determine the number of Performance Shares and the terms and conditions of each such Award. Performance Shares shall consist of a unit valued by reference to a designated number of Shares, the value of which may be paid to the Participant by delivery of Shares or, if set forth in the instrument evidencing the Award, of such property as the Committee shall determine, including, without limitation, cash, Shares,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shall determine in its sole discretion.</w:t>
      </w:r>
    </w:p>
    <w:p>
      <w:pPr>
        <w:spacing w:after="0" w:line="162" w:lineRule="exact"/>
        <w:rPr>
          <w:rFonts w:ascii="Arial" w:cs="Arial" w:eastAsia="Arial" w:hAnsi="Arial"/>
          <w:sz w:val="18"/>
          <w:szCs w:val="18"/>
          <w:color w:val="010000"/>
        </w:rPr>
      </w:pPr>
    </w:p>
    <w:p>
      <w:pPr>
        <w:jc w:val="both"/>
        <w:ind w:firstLine="1244"/>
        <w:spacing w:after="0" w:line="221" w:lineRule="auto"/>
        <w:tabs>
          <w:tab w:leader="none" w:pos="1849" w:val="left"/>
        </w:tabs>
        <w:numPr>
          <w:ilvl w:val="0"/>
          <w:numId w:val="85"/>
        </w:numPr>
        <w:rPr>
          <w:rFonts w:ascii="Arial" w:cs="Arial" w:eastAsia="Arial" w:hAnsi="Arial"/>
          <w:sz w:val="19"/>
          <w:szCs w:val="19"/>
          <w:color w:val="010000"/>
        </w:rPr>
      </w:pPr>
      <w:r>
        <w:rPr>
          <w:rFonts w:ascii="Arial" w:cs="Arial" w:eastAsia="Arial" w:hAnsi="Arial"/>
          <w:sz w:val="19"/>
          <w:szCs w:val="19"/>
          <w:u w:val="single" w:color="auto"/>
          <w:color w:val="auto"/>
        </w:rPr>
        <w:t>Performance Units</w:t>
      </w:r>
      <w:r>
        <w:rPr>
          <w:rFonts w:ascii="Arial" w:cs="Arial" w:eastAsia="Arial" w:hAnsi="Arial"/>
          <w:sz w:val="19"/>
          <w:szCs w:val="19"/>
          <w:color w:val="auto"/>
        </w:rPr>
        <w:t>. The Committee may grant Awards of Performance Units,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62" w:lineRule="exact"/>
        <w:rPr>
          <w:rFonts w:ascii="Arial" w:cs="Arial" w:eastAsia="Arial" w:hAnsi="Arial"/>
          <w:sz w:val="19"/>
          <w:szCs w:val="19"/>
          <w:color w:val="010000"/>
        </w:rPr>
      </w:pPr>
    </w:p>
    <w:p>
      <w:pPr>
        <w:jc w:val="both"/>
        <w:ind w:firstLine="1244"/>
        <w:spacing w:after="0" w:line="230" w:lineRule="auto"/>
        <w:tabs>
          <w:tab w:leader="none" w:pos="1851" w:val="left"/>
        </w:tabs>
        <w:numPr>
          <w:ilvl w:val="0"/>
          <w:numId w:val="85"/>
        </w:numPr>
        <w:rPr>
          <w:rFonts w:ascii="Arial" w:cs="Arial" w:eastAsia="Arial" w:hAnsi="Arial"/>
          <w:sz w:val="19"/>
          <w:szCs w:val="19"/>
          <w:color w:val="010000"/>
        </w:rPr>
      </w:pPr>
      <w:r>
        <w:rPr>
          <w:rFonts w:ascii="Arial" w:cs="Arial" w:eastAsia="Arial" w:hAnsi="Arial"/>
          <w:sz w:val="19"/>
          <w:szCs w:val="19"/>
          <w:u w:val="single" w:color="auto"/>
          <w:color w:val="auto"/>
        </w:rPr>
        <w:t>Cash-Settled Performance Awards</w:t>
      </w:r>
      <w:r>
        <w:rPr>
          <w:rFonts w:ascii="Arial" w:cs="Arial" w:eastAsia="Arial" w:hAnsi="Arial"/>
          <w:sz w:val="19"/>
          <w:szCs w:val="19"/>
          <w:color w:val="auto"/>
        </w:rPr>
        <w:t>. The Committee may grant cash-settled Performance Awards to Participants under the terms of this Plan. Such awards will be based on the attainment of performance goals using the Performance Factors within this Plan that are established by the Committee for the relevant performance period.</w:t>
      </w:r>
    </w:p>
    <w:p>
      <w:pPr>
        <w:spacing w:after="0" w:line="154" w:lineRule="exact"/>
        <w:rPr>
          <w:sz w:val="20"/>
          <w:szCs w:val="20"/>
          <w:color w:val="auto"/>
        </w:rPr>
      </w:pPr>
    </w:p>
    <w:p>
      <w:pPr>
        <w:jc w:val="both"/>
        <w:ind w:firstLine="620"/>
        <w:spacing w:after="0" w:line="241" w:lineRule="auto"/>
        <w:rPr>
          <w:sz w:val="20"/>
          <w:szCs w:val="20"/>
          <w:color w:val="auto"/>
        </w:rPr>
      </w:pPr>
      <w:r>
        <w:rPr>
          <w:rFonts w:ascii="Arial" w:cs="Arial" w:eastAsia="Arial" w:hAnsi="Arial"/>
          <w:sz w:val="17"/>
          <w:szCs w:val="17"/>
          <w:b w:val="1"/>
          <w:bCs w:val="1"/>
          <w:color w:val="010000"/>
        </w:rPr>
        <w:t xml:space="preserve">10.2. </w:t>
      </w:r>
      <w:r>
        <w:rPr>
          <w:rFonts w:ascii="Arial" w:cs="Arial" w:eastAsia="Arial" w:hAnsi="Arial"/>
          <w:sz w:val="17"/>
          <w:szCs w:val="17"/>
          <w:u w:val="single" w:color="auto"/>
          <w:color w:val="000000"/>
        </w:rPr>
        <w:t>Terms of Performance Awards</w:t>
      </w:r>
      <w:r>
        <w:rPr>
          <w:rFonts w:ascii="Arial" w:cs="Arial" w:eastAsia="Arial" w:hAnsi="Arial"/>
          <w:sz w:val="17"/>
          <w:szCs w:val="17"/>
          <w:color w:val="000000"/>
        </w:rPr>
        <w:t>. Performance Awards will be based on the attainment of performance goals using the Performance</w:t>
      </w:r>
      <w:r>
        <w:rPr>
          <w:rFonts w:ascii="Arial" w:cs="Arial" w:eastAsia="Arial" w:hAnsi="Arial"/>
          <w:sz w:val="17"/>
          <w:szCs w:val="17"/>
          <w:b w:val="1"/>
          <w:bCs w:val="1"/>
          <w:color w:val="010000"/>
        </w:rPr>
        <w:t xml:space="preserve"> </w:t>
      </w:r>
      <w:r>
        <w:rPr>
          <w:rFonts w:ascii="Arial" w:cs="Arial" w:eastAsia="Arial" w:hAnsi="Arial"/>
          <w:sz w:val="17"/>
          <w:szCs w:val="17"/>
          <w:color w:val="000000"/>
        </w:rPr>
        <w:t>Factors 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(x) determine the nature, length and starting date of any Performance Period; (y) select from among the Performance Factors to be used; and</w:t>
      </w:r>
    </w:p>
    <w:p>
      <w:pPr>
        <w:spacing w:after="0" w:line="5" w:lineRule="exact"/>
        <w:rPr>
          <w:sz w:val="20"/>
          <w:szCs w:val="20"/>
          <w:color w:val="auto"/>
        </w:rPr>
      </w:pPr>
    </w:p>
    <w:p>
      <w:pPr>
        <w:jc w:val="both"/>
        <w:ind w:firstLine="3"/>
        <w:spacing w:after="0" w:line="255" w:lineRule="auto"/>
        <w:tabs>
          <w:tab w:leader="none" w:pos="278" w:val="left"/>
        </w:tabs>
        <w:numPr>
          <w:ilvl w:val="0"/>
          <w:numId w:val="86"/>
        </w:numPr>
        <w:rPr>
          <w:rFonts w:ascii="Arial" w:cs="Arial" w:eastAsia="Arial" w:hAnsi="Arial"/>
          <w:sz w:val="17"/>
          <w:szCs w:val="17"/>
          <w:color w:val="auto"/>
        </w:rPr>
      </w:pPr>
      <w:r>
        <w:rPr>
          <w:rFonts w:ascii="Arial" w:cs="Arial" w:eastAsia="Arial" w:hAnsi="Arial"/>
          <w:sz w:val="17"/>
          <w:szCs w:val="17"/>
          <w:color w:val="auto"/>
        </w:rPr>
        <w:t>determine the number of Shares deemed subject to the award of Performance Shares.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43" w:lineRule="exact"/>
        <w:rPr>
          <w:sz w:val="20"/>
          <w:szCs w:val="20"/>
          <w:color w:val="auto"/>
        </w:rPr>
      </w:pPr>
    </w:p>
    <w:p>
      <w:pPr>
        <w:ind w:firstLine="620"/>
        <w:spacing w:after="0" w:line="243" w:lineRule="auto"/>
        <w:rPr>
          <w:sz w:val="20"/>
          <w:szCs w:val="20"/>
          <w:color w:val="auto"/>
        </w:rPr>
      </w:pPr>
      <w:r>
        <w:rPr>
          <w:rFonts w:ascii="Arial" w:cs="Arial" w:eastAsia="Arial" w:hAnsi="Arial"/>
          <w:sz w:val="19"/>
          <w:szCs w:val="19"/>
          <w:b w:val="1"/>
          <w:bCs w:val="1"/>
          <w:color w:val="010000"/>
        </w:rPr>
        <w:t xml:space="preserve">10.3. </w:t>
      </w:r>
      <w:r>
        <w:rPr>
          <w:rFonts w:ascii="Arial" w:cs="Arial" w:eastAsia="Arial" w:hAnsi="Arial"/>
          <w:sz w:val="19"/>
          <w:szCs w:val="19"/>
          <w:u w:val="single" w:color="auto"/>
          <w:color w:val="000000"/>
        </w:rPr>
        <w:t>Termination of Service</w:t>
      </w:r>
      <w:r>
        <w:rPr>
          <w:rFonts w:ascii="Arial" w:cs="Arial" w:eastAsia="Arial" w:hAnsi="Arial"/>
          <w:sz w:val="19"/>
          <w:szCs w:val="19"/>
          <w:color w:val="000000"/>
        </w:rPr>
        <w:t>. Except as may be set forth in the Participant’s Award Agreement, vesting ceases on the date Participant’s</w:t>
      </w:r>
      <w:r>
        <w:rPr>
          <w:rFonts w:ascii="Arial" w:cs="Arial" w:eastAsia="Arial" w:hAnsi="Arial"/>
          <w:sz w:val="19"/>
          <w:szCs w:val="19"/>
          <w:b w:val="1"/>
          <w:bCs w:val="1"/>
          <w:color w:val="010000"/>
        </w:rPr>
        <w:t xml:space="preserve"> </w:t>
      </w:r>
      <w:r>
        <w:rPr>
          <w:rFonts w:ascii="Arial" w:cs="Arial" w:eastAsia="Arial" w:hAnsi="Arial"/>
          <w:sz w:val="19"/>
          <w:szCs w:val="19"/>
          <w:color w:val="000000"/>
        </w:rPr>
        <w:t>Service terminates (unless determined otherwise by the Committee).</w:t>
      </w:r>
    </w:p>
    <w:p>
      <w:pPr>
        <w:spacing w:after="0" w:line="152" w:lineRule="exact"/>
        <w:rPr>
          <w:sz w:val="20"/>
          <w:szCs w:val="20"/>
          <w:color w:val="auto"/>
        </w:rPr>
      </w:pPr>
    </w:p>
    <w:p>
      <w:pPr>
        <w:jc w:val="both"/>
        <w:ind w:firstLine="3"/>
        <w:spacing w:after="0" w:line="232" w:lineRule="auto"/>
        <w:tabs>
          <w:tab w:leader="none" w:pos="601" w:val="left"/>
        </w:tabs>
        <w:numPr>
          <w:ilvl w:val="0"/>
          <w:numId w:val="8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PAYMENT FOR SHARE PURCHASES</w:t>
      </w:r>
      <w:r>
        <w:rPr>
          <w:rFonts w:ascii="Arial" w:cs="Arial" w:eastAsia="Arial" w:hAnsi="Arial"/>
          <w:sz w:val="19"/>
          <w:szCs w:val="19"/>
          <w:color w:val="auto"/>
        </w:rPr>
        <w:t>. Payment from a Participant for Shares purchased pursuant to this Plan may be made in cash or</w:t>
      </w:r>
      <w:r>
        <w:rPr>
          <w:rFonts w:ascii="Arial" w:cs="Arial" w:eastAsia="Arial" w:hAnsi="Arial"/>
          <w:sz w:val="19"/>
          <w:szCs w:val="19"/>
          <w:b w:val="1"/>
          <w:bCs w:val="1"/>
          <w:color w:val="auto"/>
        </w:rPr>
        <w:t xml:space="preserve"> </w:t>
      </w:r>
      <w:r>
        <w:rPr>
          <w:rFonts w:ascii="Arial" w:cs="Arial" w:eastAsia="Arial" w:hAnsi="Arial"/>
          <w:sz w:val="19"/>
          <w:szCs w:val="19"/>
          <w:color w:val="auto"/>
        </w:rPr>
        <w:t>by check or, where approved for the Participant by the Committee and where permitted by law (and to the extent not otherwise set forth in the applicable Award Agreement):</w:t>
      </w:r>
    </w:p>
    <w:p>
      <w:pPr>
        <w:spacing w:after="0" w:line="160" w:lineRule="exact"/>
        <w:rPr>
          <w:rFonts w:ascii="Arial" w:cs="Arial" w:eastAsia="Arial" w:hAnsi="Arial"/>
          <w:sz w:val="19"/>
          <w:szCs w:val="19"/>
          <w:b w:val="1"/>
          <w:bCs w:val="1"/>
          <w:color w:val="010000"/>
        </w:rPr>
      </w:pPr>
    </w:p>
    <w:p>
      <w:pPr>
        <w:ind w:left="1860" w:hanging="616"/>
        <w:spacing w:after="0"/>
        <w:tabs>
          <w:tab w:leader="none" w:pos="1860" w:val="left"/>
        </w:tabs>
        <w:numPr>
          <w:ilvl w:val="1"/>
          <w:numId w:val="87"/>
        </w:numPr>
        <w:rPr>
          <w:rFonts w:ascii="Arial" w:cs="Arial" w:eastAsia="Arial" w:hAnsi="Arial"/>
          <w:sz w:val="19"/>
          <w:szCs w:val="19"/>
          <w:color w:val="010000"/>
        </w:rPr>
      </w:pPr>
      <w:r>
        <w:rPr>
          <w:rFonts w:ascii="Arial" w:cs="Arial" w:eastAsia="Arial" w:hAnsi="Arial"/>
          <w:sz w:val="19"/>
          <w:szCs w:val="19"/>
          <w:color w:val="auto"/>
        </w:rPr>
        <w:t>by cancellation of indebtedness of the Company to the Participant;</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18" w:lineRule="exact"/>
        <w:rPr>
          <w:sz w:val="20"/>
          <w:szCs w:val="20"/>
          <w:color w:val="auto"/>
        </w:rPr>
      </w:pPr>
    </w:p>
    <w:p>
      <w:pPr>
        <w:ind w:firstLine="1244"/>
        <w:spacing w:after="0" w:line="238" w:lineRule="auto"/>
        <w:tabs>
          <w:tab w:leader="none" w:pos="1849" w:val="left"/>
        </w:tabs>
        <w:numPr>
          <w:ilvl w:val="1"/>
          <w:numId w:val="88"/>
        </w:numPr>
        <w:rPr>
          <w:rFonts w:ascii="Arial" w:cs="Arial" w:eastAsia="Arial" w:hAnsi="Arial"/>
          <w:sz w:val="19"/>
          <w:szCs w:val="19"/>
          <w:color w:val="010000"/>
        </w:rPr>
      </w:pPr>
      <w:r>
        <w:rPr>
          <w:rFonts w:ascii="Arial" w:cs="Arial" w:eastAsia="Arial" w:hAnsi="Arial"/>
          <w:sz w:val="19"/>
          <w:szCs w:val="19"/>
          <w:color w:val="auto"/>
        </w:rPr>
        <w:t>by surrender of shares of the Company held by the Participant that have a Fair Market Value on the date of surrender equal to the aggregate exercise price of the Shares as to which said Award will be exercised or settled;</w:t>
      </w:r>
    </w:p>
    <w:p>
      <w:pPr>
        <w:spacing w:after="0" w:line="161" w:lineRule="exact"/>
        <w:rPr>
          <w:rFonts w:ascii="Arial" w:cs="Arial" w:eastAsia="Arial" w:hAnsi="Arial"/>
          <w:sz w:val="19"/>
          <w:szCs w:val="19"/>
          <w:color w:val="010000"/>
        </w:rPr>
      </w:pPr>
    </w:p>
    <w:p>
      <w:pPr>
        <w:ind w:left="1860" w:hanging="616"/>
        <w:spacing w:after="0"/>
        <w:tabs>
          <w:tab w:leader="none" w:pos="1860" w:val="left"/>
        </w:tabs>
        <w:numPr>
          <w:ilvl w:val="1"/>
          <w:numId w:val="88"/>
        </w:numPr>
        <w:rPr>
          <w:rFonts w:ascii="Arial" w:cs="Arial" w:eastAsia="Arial" w:hAnsi="Arial"/>
          <w:sz w:val="17"/>
          <w:szCs w:val="17"/>
          <w:color w:val="010000"/>
        </w:rPr>
      </w:pPr>
      <w:r>
        <w:rPr>
          <w:rFonts w:ascii="Arial" w:cs="Arial" w:eastAsia="Arial" w:hAnsi="Arial"/>
          <w:sz w:val="17"/>
          <w:szCs w:val="17"/>
          <w:color w:val="auto"/>
        </w:rPr>
        <w:t>by waiver of compensation due or accrued to the Participant for services rendered or to be rendered to the Company or a</w:t>
      </w:r>
    </w:p>
    <w:p>
      <w:pPr>
        <w:spacing w:after="0" w:line="1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9"/>
          <w:szCs w:val="19"/>
          <w:color w:val="auto"/>
        </w:rPr>
        <w:t>Subsidiary;</w:t>
      </w:r>
    </w:p>
    <w:p>
      <w:pPr>
        <w:spacing w:after="0" w:line="166" w:lineRule="exact"/>
        <w:rPr>
          <w:rFonts w:ascii="Arial" w:cs="Arial" w:eastAsia="Arial" w:hAnsi="Arial"/>
          <w:sz w:val="17"/>
          <w:szCs w:val="17"/>
          <w:color w:val="010000"/>
        </w:rPr>
      </w:pPr>
    </w:p>
    <w:p>
      <w:pPr>
        <w:ind w:firstLine="1244"/>
        <w:spacing w:after="0" w:line="238" w:lineRule="auto"/>
        <w:tabs>
          <w:tab w:leader="none" w:pos="1849" w:val="left"/>
        </w:tabs>
        <w:numPr>
          <w:ilvl w:val="1"/>
          <w:numId w:val="88"/>
        </w:numPr>
        <w:rPr>
          <w:rFonts w:ascii="Arial" w:cs="Arial" w:eastAsia="Arial" w:hAnsi="Arial"/>
          <w:sz w:val="19"/>
          <w:szCs w:val="19"/>
          <w:color w:val="010000"/>
        </w:rPr>
      </w:pPr>
      <w:r>
        <w:rPr>
          <w:rFonts w:ascii="Arial" w:cs="Arial" w:eastAsia="Arial" w:hAnsi="Arial"/>
          <w:sz w:val="19"/>
          <w:szCs w:val="19"/>
          <w:color w:val="auto"/>
        </w:rPr>
        <w:t>by consideration received by the Company pursuant to a broker-assisted or other form of cashless exercise program implemented by the Company in connection with the Plan;</w:t>
      </w:r>
    </w:p>
    <w:p>
      <w:pPr>
        <w:spacing w:after="0" w:line="161" w:lineRule="exact"/>
        <w:rPr>
          <w:rFonts w:ascii="Arial" w:cs="Arial" w:eastAsia="Arial" w:hAnsi="Arial"/>
          <w:sz w:val="19"/>
          <w:szCs w:val="19"/>
          <w:color w:val="010000"/>
        </w:rPr>
      </w:pPr>
    </w:p>
    <w:p>
      <w:pPr>
        <w:ind w:left="1860" w:hanging="616"/>
        <w:spacing w:after="0"/>
        <w:tabs>
          <w:tab w:leader="none" w:pos="1860" w:val="left"/>
        </w:tabs>
        <w:numPr>
          <w:ilvl w:val="1"/>
          <w:numId w:val="88"/>
        </w:numPr>
        <w:rPr>
          <w:rFonts w:ascii="Arial" w:cs="Arial" w:eastAsia="Arial" w:hAnsi="Arial"/>
          <w:sz w:val="19"/>
          <w:szCs w:val="19"/>
          <w:color w:val="010000"/>
        </w:rPr>
      </w:pPr>
      <w:r>
        <w:rPr>
          <w:rFonts w:ascii="Arial" w:cs="Arial" w:eastAsia="Arial" w:hAnsi="Arial"/>
          <w:sz w:val="19"/>
          <w:szCs w:val="19"/>
          <w:color w:val="auto"/>
        </w:rPr>
        <w:t>by any combination of the foregoing; or</w:t>
      </w:r>
    </w:p>
    <w:p>
      <w:pPr>
        <w:spacing w:after="0" w:line="182" w:lineRule="exact"/>
        <w:rPr>
          <w:rFonts w:ascii="Arial" w:cs="Arial" w:eastAsia="Arial" w:hAnsi="Arial"/>
          <w:sz w:val="19"/>
          <w:szCs w:val="19"/>
          <w:color w:val="010000"/>
        </w:rPr>
      </w:pPr>
    </w:p>
    <w:p>
      <w:pPr>
        <w:ind w:left="1860" w:hanging="616"/>
        <w:spacing w:after="0"/>
        <w:tabs>
          <w:tab w:leader="none" w:pos="1860" w:val="left"/>
        </w:tabs>
        <w:numPr>
          <w:ilvl w:val="1"/>
          <w:numId w:val="88"/>
        </w:numPr>
        <w:rPr>
          <w:rFonts w:ascii="Arial" w:cs="Arial" w:eastAsia="Arial" w:hAnsi="Arial"/>
          <w:sz w:val="19"/>
          <w:szCs w:val="19"/>
          <w:color w:val="010000"/>
        </w:rPr>
      </w:pPr>
      <w:r>
        <w:rPr>
          <w:rFonts w:ascii="Arial" w:cs="Arial" w:eastAsia="Arial" w:hAnsi="Arial"/>
          <w:sz w:val="19"/>
          <w:szCs w:val="19"/>
          <w:color w:val="auto"/>
        </w:rPr>
        <w:t>by any other method of payment as is permitted by applicable law.</w:t>
      </w:r>
    </w:p>
    <w:p>
      <w:pPr>
        <w:spacing w:after="0" w:line="176" w:lineRule="exact"/>
        <w:rPr>
          <w:rFonts w:ascii="Arial" w:cs="Arial" w:eastAsia="Arial" w:hAnsi="Arial"/>
          <w:sz w:val="19"/>
          <w:szCs w:val="19"/>
          <w:color w:val="010000"/>
        </w:rPr>
      </w:pPr>
    </w:p>
    <w:p>
      <w:pPr>
        <w:ind w:left="620" w:hanging="617"/>
        <w:spacing w:after="0"/>
        <w:tabs>
          <w:tab w:leader="none" w:pos="620" w:val="left"/>
        </w:tabs>
        <w:numPr>
          <w:ilvl w:val="0"/>
          <w:numId w:val="8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WITHHOLDING TAXES</w:t>
      </w:r>
      <w:r>
        <w:rPr>
          <w:rFonts w:ascii="Arial" w:cs="Arial" w:eastAsia="Arial" w:hAnsi="Arial"/>
          <w:sz w:val="19"/>
          <w:szCs w:val="19"/>
          <w:color w:val="auto"/>
        </w:rPr>
        <w:t>.</w:t>
      </w:r>
    </w:p>
    <w:p>
      <w:pPr>
        <w:spacing w:after="0" w:line="182" w:lineRule="exact"/>
        <w:rPr>
          <w:sz w:val="20"/>
          <w:szCs w:val="20"/>
          <w:color w:val="auto"/>
        </w:rPr>
      </w:pPr>
    </w:p>
    <w:p>
      <w:pPr>
        <w:jc w:val="both"/>
        <w:ind w:firstLine="620"/>
        <w:spacing w:after="0" w:line="232" w:lineRule="auto"/>
        <w:rPr>
          <w:sz w:val="20"/>
          <w:szCs w:val="20"/>
          <w:color w:val="auto"/>
        </w:rPr>
      </w:pPr>
      <w:r>
        <w:rPr>
          <w:rFonts w:ascii="Arial" w:cs="Arial" w:eastAsia="Arial" w:hAnsi="Arial"/>
          <w:sz w:val="18"/>
          <w:szCs w:val="18"/>
          <w:b w:val="1"/>
          <w:bCs w:val="1"/>
          <w:color w:val="010000"/>
        </w:rPr>
        <w:t xml:space="preserve">12.1. </w:t>
      </w:r>
      <w:r>
        <w:rPr>
          <w:rFonts w:ascii="Arial" w:cs="Arial" w:eastAsia="Arial" w:hAnsi="Arial"/>
          <w:sz w:val="18"/>
          <w:szCs w:val="18"/>
          <w:u w:val="single" w:color="auto"/>
          <w:color w:val="000000"/>
        </w:rPr>
        <w:t>Withholding Generally</w:t>
      </w:r>
      <w:r>
        <w:rPr>
          <w:rFonts w:ascii="Arial" w:cs="Arial" w:eastAsia="Arial" w:hAnsi="Arial"/>
          <w:sz w:val="18"/>
          <w:szCs w:val="18"/>
          <w:color w:val="000000"/>
        </w:rPr>
        <w:t>. Whenever Shares are to be issued in satisfaction of Awards granted under this Plan or a tax event occurs,</w:t>
      </w:r>
      <w:r>
        <w:rPr>
          <w:rFonts w:ascii="Arial" w:cs="Arial" w:eastAsia="Arial" w:hAnsi="Arial"/>
          <w:sz w:val="18"/>
          <w:szCs w:val="18"/>
          <w:b w:val="1"/>
          <w:bCs w:val="1"/>
          <w:color w:val="010000"/>
        </w:rPr>
        <w:t xml:space="preserve"> </w:t>
      </w:r>
      <w:r>
        <w:rPr>
          <w:rFonts w:ascii="Arial" w:cs="Arial" w:eastAsia="Arial" w:hAnsi="Arial"/>
          <w:sz w:val="18"/>
          <w:szCs w:val="18"/>
          <w:color w:val="000000"/>
        </w:rPr>
        <w:t>the Company may require the Participant to remit to the Company or to the Subsidiary, as applicable, employing the Participant, an amount sufficient to satisfy applicable U.S. federal, state, local and international tax or any other tax or social insurance liability (the “</w:t>
      </w:r>
      <w:r>
        <w:rPr>
          <w:rFonts w:ascii="Arial" w:cs="Arial" w:eastAsia="Arial" w:hAnsi="Arial"/>
          <w:sz w:val="18"/>
          <w:szCs w:val="18"/>
          <w:b w:val="1"/>
          <w:bCs w:val="1"/>
          <w:i w:val="1"/>
          <w:iCs w:val="1"/>
          <w:color w:val="000000"/>
        </w:rPr>
        <w:t>Tax-Related Items</w:t>
      </w:r>
      <w:r>
        <w:rPr>
          <w:rFonts w:ascii="Arial" w:cs="Arial" w:eastAsia="Arial" w:hAnsi="Arial"/>
          <w:sz w:val="18"/>
          <w:szCs w:val="18"/>
          <w:color w:val="000000"/>
        </w:rPr>
        <w:t>”) required to be withheld from the Participant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Items. Unless otherwise determined by the Committee, the Fair Market Value of the Shares will be determined as of the date that the taxes are required to be withheld and such Shares will be valued based on the value of the actual trade or, if there is none, the Fair Market Value of the Shares as of the previous trading day.</w:t>
      </w:r>
    </w:p>
    <w:p>
      <w:pPr>
        <w:spacing w:after="0" w:line="157" w:lineRule="exact"/>
        <w:rPr>
          <w:sz w:val="20"/>
          <w:szCs w:val="20"/>
          <w:color w:val="auto"/>
        </w:rPr>
      </w:pPr>
    </w:p>
    <w:p>
      <w:pPr>
        <w:jc w:val="both"/>
        <w:ind w:firstLine="620"/>
        <w:spacing w:after="0" w:line="219" w:lineRule="auto"/>
        <w:rPr>
          <w:sz w:val="20"/>
          <w:szCs w:val="20"/>
          <w:color w:val="auto"/>
        </w:rPr>
      </w:pPr>
      <w:r>
        <w:rPr>
          <w:rFonts w:ascii="Arial" w:cs="Arial" w:eastAsia="Arial" w:hAnsi="Arial"/>
          <w:sz w:val="19"/>
          <w:szCs w:val="19"/>
          <w:b w:val="1"/>
          <w:bCs w:val="1"/>
          <w:color w:val="010000"/>
        </w:rPr>
        <w:t xml:space="preserve">12.2. </w:t>
      </w:r>
      <w:r>
        <w:rPr>
          <w:rFonts w:ascii="Arial" w:cs="Arial" w:eastAsia="Arial" w:hAnsi="Arial"/>
          <w:sz w:val="19"/>
          <w:szCs w:val="19"/>
          <w:u w:val="single" w:color="auto"/>
          <w:color w:val="000000"/>
        </w:rPr>
        <w:t>Stock Withholding</w:t>
      </w:r>
      <w:r>
        <w:rPr>
          <w:rFonts w:ascii="Arial" w:cs="Arial" w:eastAsia="Arial" w:hAnsi="Arial"/>
          <w:sz w:val="19"/>
          <w:szCs w:val="19"/>
          <w:color w:val="000000"/>
        </w:rPr>
        <w:t>. The Committee, or its delegate(s), as permitted by applicable law, in its sole discretion and pursuant to such</w:t>
      </w:r>
      <w:r>
        <w:rPr>
          <w:rFonts w:ascii="Arial" w:cs="Arial" w:eastAsia="Arial" w:hAnsi="Arial"/>
          <w:sz w:val="19"/>
          <w:szCs w:val="19"/>
          <w:b w:val="1"/>
          <w:bCs w:val="1"/>
          <w:color w:val="010000"/>
        </w:rPr>
        <w:t xml:space="preserve"> </w:t>
      </w:r>
      <w:r>
        <w:rPr>
          <w:rFonts w:ascii="Arial" w:cs="Arial" w:eastAsia="Arial" w:hAnsi="Arial"/>
          <w:sz w:val="19"/>
          <w:szCs w:val="19"/>
          <w:color w:val="000000"/>
        </w:rPr>
        <w:t>procedures as it may specify from time to time and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(but not in excess of) the maximum permissible statutory tax rate for the applicable tax jurisdiction, to the extent consistent with applicable laws.</w:t>
      </w:r>
    </w:p>
    <w:p>
      <w:pPr>
        <w:spacing w:after="0" w:line="157" w:lineRule="exact"/>
        <w:rPr>
          <w:sz w:val="20"/>
          <w:szCs w:val="20"/>
          <w:color w:val="auto"/>
        </w:rPr>
      </w:pPr>
    </w:p>
    <w:p>
      <w:pPr>
        <w:jc w:val="both"/>
        <w:ind w:firstLine="3"/>
        <w:spacing w:after="0" w:line="221" w:lineRule="auto"/>
        <w:tabs>
          <w:tab w:leader="none" w:pos="611" w:val="left"/>
        </w:tabs>
        <w:numPr>
          <w:ilvl w:val="0"/>
          <w:numId w:val="9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TRANSFERABILITY</w:t>
      </w:r>
      <w:r>
        <w:rPr>
          <w:rFonts w:ascii="Arial" w:cs="Arial" w:eastAsia="Arial" w:hAnsi="Arial"/>
          <w:sz w:val="19"/>
          <w:szCs w:val="19"/>
          <w:color w:val="auto"/>
        </w:rPr>
        <w:t>. Unless determined otherwise by the Committee, an Award may not be sold, pledged, assigned, hypothecated,</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 (b) after the Participant’s death, by the legal representative of the Participant’s heirs or legatees; and (c) by a Permitted Transferee.</w:t>
      </w:r>
    </w:p>
    <w:p>
      <w:pPr>
        <w:spacing w:after="0" w:line="155" w:lineRule="exact"/>
        <w:rPr>
          <w:rFonts w:ascii="Arial" w:cs="Arial" w:eastAsia="Arial" w:hAnsi="Arial"/>
          <w:sz w:val="19"/>
          <w:szCs w:val="19"/>
          <w:b w:val="1"/>
          <w:bCs w:val="1"/>
          <w:color w:val="010000"/>
        </w:rPr>
      </w:pPr>
    </w:p>
    <w:p>
      <w:pPr>
        <w:ind w:left="620" w:hanging="617"/>
        <w:spacing w:after="0"/>
        <w:tabs>
          <w:tab w:leader="none" w:pos="620" w:val="left"/>
        </w:tabs>
        <w:numPr>
          <w:ilvl w:val="0"/>
          <w:numId w:val="9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PRIVILEGES OF STOCK OWNERSHIP; RESTRICTIONS ON SHARES</w:t>
      </w:r>
      <w:r>
        <w:rPr>
          <w:rFonts w:ascii="Arial" w:cs="Arial" w:eastAsia="Arial" w:hAnsi="Arial"/>
          <w:sz w:val="19"/>
          <w:szCs w:val="19"/>
          <w:color w:val="auto"/>
        </w:rPr>
        <w:t>.</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11" w:lineRule="exact"/>
        <w:rPr>
          <w:sz w:val="20"/>
          <w:szCs w:val="20"/>
          <w:color w:val="auto"/>
        </w:rPr>
      </w:pPr>
    </w:p>
    <w:p>
      <w:pPr>
        <w:jc w:val="both"/>
        <w:ind w:firstLine="620"/>
        <w:spacing w:after="0" w:line="228" w:lineRule="auto"/>
        <w:rPr>
          <w:sz w:val="20"/>
          <w:szCs w:val="20"/>
          <w:color w:val="auto"/>
        </w:rPr>
      </w:pPr>
      <w:r>
        <w:rPr>
          <w:rFonts w:ascii="Arial" w:cs="Arial" w:eastAsia="Arial" w:hAnsi="Arial"/>
          <w:sz w:val="18"/>
          <w:szCs w:val="18"/>
          <w:b w:val="1"/>
          <w:bCs w:val="1"/>
          <w:color w:val="010000"/>
        </w:rPr>
        <w:t xml:space="preserve">14.1. </w:t>
      </w:r>
      <w:r>
        <w:rPr>
          <w:rFonts w:ascii="Arial" w:cs="Arial" w:eastAsia="Arial" w:hAnsi="Arial"/>
          <w:sz w:val="18"/>
          <w:szCs w:val="18"/>
          <w:u w:val="single" w:color="auto"/>
          <w:color w:val="000000"/>
        </w:rPr>
        <w:t>Voting and Dividends</w:t>
      </w:r>
      <w:r>
        <w:rPr>
          <w:rFonts w:ascii="Arial" w:cs="Arial" w:eastAsia="Arial" w:hAnsi="Arial"/>
          <w:sz w:val="18"/>
          <w:szCs w:val="18"/>
          <w:color w:val="000000"/>
        </w:rPr>
        <w:t>. No Participant will have any of the rights of a stockholder with respect to any Shares until the Shares are</w:t>
      </w:r>
      <w:r>
        <w:rPr>
          <w:rFonts w:ascii="Arial" w:cs="Arial" w:eastAsia="Arial" w:hAnsi="Arial"/>
          <w:sz w:val="18"/>
          <w:szCs w:val="18"/>
          <w:b w:val="1"/>
          <w:bCs w:val="1"/>
          <w:color w:val="010000"/>
        </w:rPr>
        <w:t xml:space="preserve"> </w:t>
      </w:r>
      <w:r>
        <w:rPr>
          <w:rFonts w:ascii="Arial" w:cs="Arial" w:eastAsia="Arial" w:hAnsi="Arial"/>
          <w:sz w:val="18"/>
          <w:szCs w:val="18"/>
          <w:color w:val="000000"/>
        </w:rPr>
        <w:t xml:space="preserve">issued 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xml:space="preserve">, that the Participant will have no right to such stock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w:t>
      </w:r>
      <w:r>
        <w:rPr>
          <w:rFonts w:ascii="Arial" w:cs="Arial" w:eastAsia="Arial" w:hAnsi="Arial"/>
          <w:sz w:val="18"/>
          <w:szCs w:val="18"/>
          <w:u w:val="single" w:color="auto"/>
          <w:color w:val="000000"/>
        </w:rPr>
        <w:t>provided</w:t>
      </w:r>
      <w:r>
        <w:rPr>
          <w:rFonts w:ascii="Arial" w:cs="Arial" w:eastAsia="Arial" w:hAnsi="Arial"/>
          <w:sz w:val="18"/>
          <w:szCs w:val="18"/>
          <w:color w:val="000000"/>
        </w:rPr>
        <w:t>,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w:t>
      </w:r>
    </w:p>
    <w:p>
      <w:pPr>
        <w:spacing w:after="0" w:line="159" w:lineRule="exact"/>
        <w:rPr>
          <w:sz w:val="20"/>
          <w:szCs w:val="20"/>
          <w:color w:val="auto"/>
        </w:rPr>
      </w:pPr>
    </w:p>
    <w:p>
      <w:pPr>
        <w:jc w:val="both"/>
        <w:ind w:firstLine="620"/>
        <w:spacing w:after="0" w:line="224" w:lineRule="auto"/>
        <w:rPr>
          <w:sz w:val="20"/>
          <w:szCs w:val="20"/>
          <w:color w:val="auto"/>
        </w:rPr>
      </w:pPr>
      <w:r>
        <w:rPr>
          <w:rFonts w:ascii="Arial" w:cs="Arial" w:eastAsia="Arial" w:hAnsi="Arial"/>
          <w:sz w:val="19"/>
          <w:szCs w:val="19"/>
          <w:b w:val="1"/>
          <w:bCs w:val="1"/>
          <w:color w:val="010000"/>
        </w:rPr>
        <w:t xml:space="preserve">14.2. </w:t>
      </w:r>
      <w:r>
        <w:rPr>
          <w:rFonts w:ascii="Arial" w:cs="Arial" w:eastAsia="Arial" w:hAnsi="Arial"/>
          <w:sz w:val="19"/>
          <w:szCs w:val="19"/>
          <w:u w:val="single" w:color="auto"/>
          <w:color w:val="000000"/>
        </w:rPr>
        <w:t>Restrictions on Shares</w:t>
      </w:r>
      <w:r>
        <w:rPr>
          <w:rFonts w:ascii="Arial" w:cs="Arial" w:eastAsia="Arial" w:hAnsi="Arial"/>
          <w:sz w:val="19"/>
          <w:szCs w:val="19"/>
          <w:color w:val="000000"/>
        </w:rPr>
        <w:t>. At the discretion of the Committee, the Company may reserve to itself and/or its assignee(s) a right to</w:t>
      </w:r>
      <w:r>
        <w:rPr>
          <w:rFonts w:ascii="Arial" w:cs="Arial" w:eastAsia="Arial" w:hAnsi="Arial"/>
          <w:sz w:val="19"/>
          <w:szCs w:val="19"/>
          <w:b w:val="1"/>
          <w:bCs w:val="1"/>
          <w:color w:val="010000"/>
        </w:rPr>
        <w:t xml:space="preserve"> </w:t>
      </w:r>
      <w:r>
        <w:rPr>
          <w:rFonts w:ascii="Arial" w:cs="Arial" w:eastAsia="Arial" w:hAnsi="Arial"/>
          <w:sz w:val="19"/>
          <w:szCs w:val="19"/>
          <w:color w:val="000000"/>
        </w:rPr>
        <w:t>repurchase (a “</w:t>
      </w:r>
      <w:r>
        <w:rPr>
          <w:rFonts w:ascii="Arial" w:cs="Arial" w:eastAsia="Arial" w:hAnsi="Arial"/>
          <w:sz w:val="19"/>
          <w:szCs w:val="19"/>
          <w:b w:val="1"/>
          <w:bCs w:val="1"/>
          <w:i w:val="1"/>
          <w:iCs w:val="1"/>
          <w:color w:val="000000"/>
        </w:rPr>
        <w:t>Right of Repurchase</w:t>
      </w:r>
      <w:r>
        <w:rPr>
          <w:rFonts w:ascii="Arial" w:cs="Arial" w:eastAsia="Arial" w:hAnsi="Arial"/>
          <w:sz w:val="19"/>
          <w:szCs w:val="19"/>
          <w:color w:val="000000"/>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56" w:lineRule="exact"/>
        <w:rPr>
          <w:sz w:val="20"/>
          <w:szCs w:val="20"/>
          <w:color w:val="auto"/>
        </w:rPr>
      </w:pPr>
    </w:p>
    <w:p>
      <w:pPr>
        <w:jc w:val="both"/>
        <w:ind w:firstLine="3"/>
        <w:spacing w:after="0" w:line="258" w:lineRule="auto"/>
        <w:tabs>
          <w:tab w:leader="none" w:pos="611" w:val="left"/>
        </w:tabs>
        <w:numPr>
          <w:ilvl w:val="0"/>
          <w:numId w:val="91"/>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CERTIFICATES</w:t>
      </w:r>
      <w:r>
        <w:rPr>
          <w:rFonts w:ascii="Arial" w:cs="Arial" w:eastAsia="Arial" w:hAnsi="Arial"/>
          <w:sz w:val="17"/>
          <w:szCs w:val="17"/>
          <w:color w:val="auto"/>
        </w:rPr>
        <w:t>. All Shares or other securities whether or not certificated, delivered under this Plan will be subject to such stock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41" w:lineRule="exact"/>
        <w:rPr>
          <w:rFonts w:ascii="Arial" w:cs="Arial" w:eastAsia="Arial" w:hAnsi="Arial"/>
          <w:sz w:val="17"/>
          <w:szCs w:val="17"/>
          <w:b w:val="1"/>
          <w:bCs w:val="1"/>
          <w:color w:val="010000"/>
        </w:rPr>
      </w:pPr>
    </w:p>
    <w:p>
      <w:pPr>
        <w:jc w:val="both"/>
        <w:ind w:firstLine="3"/>
        <w:spacing w:after="0" w:line="244" w:lineRule="auto"/>
        <w:tabs>
          <w:tab w:leader="none" w:pos="611" w:val="left"/>
        </w:tabs>
        <w:numPr>
          <w:ilvl w:val="0"/>
          <w:numId w:val="91"/>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ESCROW; PLEDGE OF SHARES</w:t>
      </w:r>
      <w:r>
        <w:rPr>
          <w:rFonts w:ascii="Arial" w:cs="Arial" w:eastAsia="Arial" w:hAnsi="Arial"/>
          <w:sz w:val="17"/>
          <w:szCs w:val="17"/>
          <w:color w:val="auto"/>
        </w:rPr>
        <w:t>. To enforce any restrictions on a Participant’s Shares, the Committee may require the Participant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12" w:lineRule="exact"/>
        <w:rPr>
          <w:sz w:val="20"/>
          <w:szCs w:val="20"/>
          <w:color w:val="auto"/>
        </w:rPr>
      </w:pPr>
    </w:p>
    <w:p>
      <w:pPr>
        <w:jc w:val="both"/>
        <w:ind w:firstLine="3"/>
        <w:spacing w:after="0" w:line="224" w:lineRule="auto"/>
        <w:tabs>
          <w:tab w:leader="none" w:pos="611" w:val="left"/>
        </w:tabs>
        <w:numPr>
          <w:ilvl w:val="0"/>
          <w:numId w:val="9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REPRICING; EXCHANGE AND BUYOUT OF AWARDS</w:t>
      </w:r>
      <w:r>
        <w:rPr>
          <w:rFonts w:ascii="Arial" w:cs="Arial" w:eastAsia="Arial" w:hAnsi="Arial"/>
          <w:sz w:val="19"/>
          <w:szCs w:val="19"/>
          <w:color w:val="auto"/>
        </w:rPr>
        <w:t>. Without prior stockholder approval, the Committee may (a) reprice Options</w:t>
      </w:r>
      <w:r>
        <w:rPr>
          <w:rFonts w:ascii="Arial" w:cs="Arial" w:eastAsia="Arial" w:hAnsi="Arial"/>
          <w:sz w:val="19"/>
          <w:szCs w:val="19"/>
          <w:b w:val="1"/>
          <w:bCs w:val="1"/>
          <w:color w:val="auto"/>
        </w:rPr>
        <w:t xml:space="preserve"> </w:t>
      </w:r>
      <w:r>
        <w:rPr>
          <w:rFonts w:ascii="Arial" w:cs="Arial" w:eastAsia="Arial" w:hAnsi="Arial"/>
          <w:sz w:val="19"/>
          <w:szCs w:val="19"/>
          <w:color w:val="auto"/>
        </w:rPr>
        <w:t>or 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5.9 of the Plan), pay cash or issue new Awards in exchange for the surrender and cancellation of any, or all, outstanding Awards.</w:t>
      </w:r>
    </w:p>
    <w:p>
      <w:pPr>
        <w:spacing w:after="0" w:line="156" w:lineRule="exact"/>
        <w:rPr>
          <w:rFonts w:ascii="Arial" w:cs="Arial" w:eastAsia="Arial" w:hAnsi="Arial"/>
          <w:sz w:val="19"/>
          <w:szCs w:val="19"/>
          <w:b w:val="1"/>
          <w:bCs w:val="1"/>
          <w:color w:val="010000"/>
        </w:rPr>
      </w:pPr>
    </w:p>
    <w:p>
      <w:pPr>
        <w:jc w:val="both"/>
        <w:ind w:firstLine="3"/>
        <w:spacing w:after="0" w:line="230" w:lineRule="auto"/>
        <w:tabs>
          <w:tab w:leader="none" w:pos="611" w:val="left"/>
        </w:tabs>
        <w:numPr>
          <w:ilvl w:val="0"/>
          <w:numId w:val="92"/>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SECURITIES LAW AND OTHER REGULATORY COMPLIANCE</w:t>
      </w:r>
      <w:r>
        <w:rPr>
          <w:rFonts w:ascii="Arial" w:cs="Arial" w:eastAsia="Arial" w:hAnsi="Arial"/>
          <w:sz w:val="18"/>
          <w:szCs w:val="18"/>
          <w:color w:val="auto"/>
        </w:rPr>
        <w:t>. An Award will not be effective unless such Award is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all applicable U.S. and foreign federal and state securities and exchange control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spacing w:after="0" w:line="161" w:lineRule="exact"/>
        <w:rPr>
          <w:rFonts w:ascii="Arial" w:cs="Arial" w:eastAsia="Arial" w:hAnsi="Arial"/>
          <w:sz w:val="18"/>
          <w:szCs w:val="18"/>
          <w:b w:val="1"/>
          <w:bCs w:val="1"/>
          <w:color w:val="010000"/>
        </w:rPr>
      </w:pPr>
    </w:p>
    <w:p>
      <w:pPr>
        <w:jc w:val="both"/>
        <w:ind w:firstLine="3"/>
        <w:spacing w:after="0" w:line="232" w:lineRule="auto"/>
        <w:tabs>
          <w:tab w:leader="none" w:pos="611" w:val="left"/>
        </w:tabs>
        <w:numPr>
          <w:ilvl w:val="0"/>
          <w:numId w:val="9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NO OBLIGATION TO EMPLOY</w:t>
      </w:r>
      <w:r>
        <w:rPr>
          <w:rFonts w:ascii="Arial" w:cs="Arial" w:eastAsia="Arial" w:hAnsi="Arial"/>
          <w:sz w:val="19"/>
          <w:szCs w:val="19"/>
          <w:color w:val="auto"/>
        </w:rPr>
        <w:t>. Nothing in this Plan or any Award granted under this Plan will confer or be deemed to confer on any</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any right to continue in the employ of, or to continue any other relationship with, the Company or any Subsidiary or limit in any way the right of the Company or any Subsidiary to terminate Participant’s employment or other relationship at any time.</w:t>
      </w:r>
    </w:p>
    <w:p>
      <w:pPr>
        <w:spacing w:after="0" w:line="154" w:lineRule="exact"/>
        <w:rPr>
          <w:rFonts w:ascii="Arial" w:cs="Arial" w:eastAsia="Arial" w:hAnsi="Arial"/>
          <w:sz w:val="19"/>
          <w:szCs w:val="19"/>
          <w:b w:val="1"/>
          <w:bCs w:val="1"/>
          <w:color w:val="010000"/>
        </w:rPr>
      </w:pPr>
    </w:p>
    <w:p>
      <w:pPr>
        <w:ind w:left="620" w:hanging="617"/>
        <w:spacing w:after="0"/>
        <w:tabs>
          <w:tab w:leader="none" w:pos="620" w:val="left"/>
        </w:tabs>
        <w:numPr>
          <w:ilvl w:val="0"/>
          <w:numId w:val="9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CORPORATE TRANSACTIONS</w:t>
      </w:r>
      <w:r>
        <w:rPr>
          <w:rFonts w:ascii="Arial" w:cs="Arial" w:eastAsia="Arial" w:hAnsi="Arial"/>
          <w:sz w:val="19"/>
          <w:szCs w:val="19"/>
          <w:color w:val="auto"/>
        </w:rPr>
        <w:t>.</w:t>
      </w:r>
    </w:p>
    <w:p>
      <w:pPr>
        <w:spacing w:after="0" w:line="179"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9"/>
          <w:szCs w:val="19"/>
          <w:b w:val="1"/>
          <w:bCs w:val="1"/>
          <w:color w:val="010000"/>
        </w:rPr>
        <w:t>20.1.</w:t>
      </w:r>
      <w:r>
        <w:rPr>
          <w:sz w:val="20"/>
          <w:szCs w:val="20"/>
          <w:color w:val="auto"/>
        </w:rPr>
        <w:tab/>
      </w:r>
      <w:r>
        <w:rPr>
          <w:rFonts w:ascii="Arial" w:cs="Arial" w:eastAsia="Arial" w:hAnsi="Arial"/>
          <w:sz w:val="17"/>
          <w:szCs w:val="17"/>
          <w:u w:val="single" w:color="auto"/>
          <w:color w:val="auto"/>
        </w:rPr>
        <w:t>Assumption or Replacement of Awards by Successor</w:t>
      </w:r>
      <w:r>
        <w:rPr>
          <w:rFonts w:ascii="Arial" w:cs="Arial" w:eastAsia="Arial" w:hAnsi="Arial"/>
          <w:sz w:val="17"/>
          <w:szCs w:val="17"/>
          <w:color w:val="auto"/>
        </w:rPr>
        <w:t>. In the event of a Corporate Transaction any or all outstanding Awards may be</w:t>
      </w:r>
    </w:p>
    <w:p>
      <w:pPr>
        <w:jc w:val="both"/>
        <w:ind w:firstLine="3"/>
        <w:spacing w:after="0" w:line="241" w:lineRule="auto"/>
        <w:tabs>
          <w:tab w:leader="none" w:pos="272"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continued by the Company, if the Company is the successor entity; or (b) assumed or substituted by the successor corporation, or a parent or subsidiary of the successor corporation, for substantially equivalent Awards (including, but not limited to, a payment in cash or the right to acquire the same consideration paid to the stockholders of the Company pursuant to the Corporate Transaction), in each case after taking into account appropriate adjustments for the number and kind of shares and exercise prices. The successor corporation may also issue, as replacement of outstanding Shares of the Company held by the Participant, substantially similar shares or other property subject to repurchase restrictions no less favorable to the Participant. In the event such successor corporation refuses to assume, substitute or replace any Award in accordance with this Section 20, then notwithstanding any other provision in this Plan to the contrary, each such Award shall become fully vested and, as applicable, exercisable and any rights of repurchase or forfeiture restrictions thereon shall lapse, immediately prior to the consummation of the Corporation Transaction. Performance Awards not assumed pursuant to the foregoing shall be deemed earned and vested at 100% of target level, unless otherwise indicated pursuant to the terms and conditions of the applicable Award Agreement.</w:t>
      </w:r>
    </w:p>
    <w:p>
      <w:pPr>
        <w:spacing w:after="0" w:line="166" w:lineRule="exact"/>
        <w:rPr>
          <w:sz w:val="20"/>
          <w:szCs w:val="20"/>
          <w:color w:val="auto"/>
        </w:rPr>
      </w:pPr>
    </w:p>
    <w:p>
      <w:pPr>
        <w:jc w:val="both"/>
        <w:ind w:firstLine="620"/>
        <w:spacing w:after="0" w:line="238" w:lineRule="auto"/>
        <w:rPr>
          <w:sz w:val="20"/>
          <w:szCs w:val="20"/>
          <w:color w:val="auto"/>
        </w:rPr>
      </w:pPr>
      <w:r>
        <w:rPr>
          <w:rFonts w:ascii="Arial" w:cs="Arial" w:eastAsia="Arial" w:hAnsi="Arial"/>
          <w:sz w:val="18"/>
          <w:szCs w:val="18"/>
          <w:color w:val="auto"/>
        </w:rPr>
        <w:t>If an Award vests in lieu of assumption or substitution in connection with a Corporate Transaction as provided above, the Committee will notify the holder of such Award in writing or electronically that such Award will be exercisable for a period of time determined by the Committee in its sole discretion, and such Award will terminate upon the expiration of such period without consideration. Any determinations by the Committee need not treat all outstanding Awards in an identical manner, and shall be final and binding on each applicable Participant.</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12" w:lineRule="exact"/>
        <w:rPr>
          <w:sz w:val="20"/>
          <w:szCs w:val="20"/>
          <w:color w:val="auto"/>
        </w:rPr>
      </w:pPr>
    </w:p>
    <w:p>
      <w:pPr>
        <w:jc w:val="both"/>
        <w:ind w:firstLine="620"/>
        <w:spacing w:after="0" w:line="231" w:lineRule="auto"/>
        <w:rPr>
          <w:sz w:val="20"/>
          <w:szCs w:val="20"/>
          <w:color w:val="auto"/>
        </w:rPr>
      </w:pPr>
      <w:r>
        <w:rPr>
          <w:rFonts w:ascii="Arial" w:cs="Arial" w:eastAsia="Arial" w:hAnsi="Arial"/>
          <w:sz w:val="18"/>
          <w:szCs w:val="18"/>
          <w:b w:val="1"/>
          <w:bCs w:val="1"/>
          <w:color w:val="010000"/>
        </w:rPr>
        <w:t xml:space="preserve">20.2. </w:t>
      </w:r>
      <w:r>
        <w:rPr>
          <w:rFonts w:ascii="Arial" w:cs="Arial" w:eastAsia="Arial" w:hAnsi="Arial"/>
          <w:sz w:val="18"/>
          <w:szCs w:val="18"/>
          <w:u w:val="single" w:color="auto"/>
          <w:color w:val="000000"/>
        </w:rPr>
        <w:t>Assumption of Awards by the Company</w:t>
      </w:r>
      <w:r>
        <w:rPr>
          <w:rFonts w:ascii="Arial" w:cs="Arial" w:eastAsia="Arial" w:hAnsi="Arial"/>
          <w:sz w:val="18"/>
          <w:szCs w:val="18"/>
          <w:color w:val="000000"/>
        </w:rPr>
        <w:t>. The Company, from time to time, also may substitute or assume outstanding awards</w:t>
      </w:r>
      <w:r>
        <w:rPr>
          <w:rFonts w:ascii="Arial" w:cs="Arial" w:eastAsia="Arial" w:hAnsi="Arial"/>
          <w:sz w:val="18"/>
          <w:szCs w:val="18"/>
          <w:b w:val="1"/>
          <w:bCs w:val="1"/>
          <w:color w:val="010000"/>
        </w:rPr>
        <w:t xml:space="preserve"> </w:t>
      </w:r>
      <w:r>
        <w:rPr>
          <w:rFonts w:ascii="Arial" w:cs="Arial" w:eastAsia="Arial" w:hAnsi="Arial"/>
          <w:sz w:val="18"/>
          <w:szCs w:val="18"/>
          <w:color w:val="000000"/>
        </w:rPr>
        <w:t>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In the event the Company elects to grant a new Option in substitution rather than assuming an existing option, such new Option may be granted with a similarly adjusted Exercise Price. Substitute Awards will not reduce the number of Shares authorized for grant under the Plan or authorized for grant to a Participant in a calendar year.</w:t>
      </w:r>
    </w:p>
    <w:p>
      <w:pPr>
        <w:spacing w:after="0" w:line="158" w:lineRule="exact"/>
        <w:rPr>
          <w:sz w:val="20"/>
          <w:szCs w:val="20"/>
          <w:color w:val="auto"/>
        </w:rPr>
      </w:pPr>
    </w:p>
    <w:p>
      <w:pPr>
        <w:jc w:val="both"/>
        <w:ind w:firstLine="3"/>
        <w:spacing w:after="0" w:line="242" w:lineRule="auto"/>
        <w:tabs>
          <w:tab w:leader="none" w:pos="611" w:val="left"/>
        </w:tabs>
        <w:numPr>
          <w:ilvl w:val="0"/>
          <w:numId w:val="94"/>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ADOPTION AND STOCKHOLDER APPROVAL NOT REQUIRED</w:t>
      </w:r>
      <w:r>
        <w:rPr>
          <w:rFonts w:ascii="Arial" w:cs="Arial" w:eastAsia="Arial" w:hAnsi="Arial"/>
          <w:sz w:val="17"/>
          <w:szCs w:val="17"/>
          <w:color w:val="auto"/>
        </w:rPr>
        <w:t>. The Plan will become effective on the date the Board has</w:t>
      </w:r>
      <w:r>
        <w:rPr>
          <w:rFonts w:ascii="Arial" w:cs="Arial" w:eastAsia="Arial" w:hAnsi="Arial"/>
          <w:sz w:val="17"/>
          <w:szCs w:val="17"/>
          <w:b w:val="1"/>
          <w:bCs w:val="1"/>
          <w:color w:val="auto"/>
        </w:rPr>
        <w:t xml:space="preserve"> </w:t>
      </w:r>
      <w:r>
        <w:rPr>
          <w:rFonts w:ascii="Arial" w:cs="Arial" w:eastAsia="Arial" w:hAnsi="Arial"/>
          <w:sz w:val="17"/>
          <w:szCs w:val="17"/>
          <w:color w:val="auto"/>
        </w:rPr>
        <w:t>adopted the Plan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It is expressly intended that approval of the Company’s stockholders not be required as a condition of the effectiveness of the Plan, and the Plan’s provisions shall be interpreted in a manner consistent with such intent for all purposes. Specifically, Nasdaq Stock Market Rule 5635(c) generally requires stockholder approval for stock option plans or other equity compensation arrangements adopted by companies whose securities are listed on the Nasdaq Stock Market pursuant to which stock awards or stock may be acquired by officers, directors, employees, or consultants of such companies. Nasdaq Stock Market Rule 5635(c)(4) provides an exception to this requirement for issuances of securities to a person not previously an employee or director of the issuer, or following a bona fide period of non-employment, as an inducement material to the individual’s entering into employment with the issuer; provided, such issuances are approved by either the issuer’s compensation committee comprised of a majority of independent directors or a majority of the issuer’s independent directors. Notwithstanding anything to the contrary herein, awards under the Plan may only be made to employees who have not previously been an employee or director of the Company or a Subsidiary, or following a bona fide period of non-employment by the Company or a Subsidiary, as an inducement material to the employee’s entering into employment with the Company or a Subsidiary. Awards under the Plan will be approved by (i) the Compensation Committee of the Board, comprised of Non-Employee Directors or (ii) a majority of the Company’s Non-Employee Directors. Accordingly, pursuant to Nasdaq Stock Market Rule 5635(c)(4), the issuance of Awards and the Shares issuable upon exercise or vesting of such Awards pursuant to the Plan are not subject to the approval of the Company’s stockholders.</w:t>
      </w:r>
    </w:p>
    <w:p>
      <w:pPr>
        <w:spacing w:after="0" w:line="157" w:lineRule="exact"/>
        <w:rPr>
          <w:rFonts w:ascii="Arial" w:cs="Arial" w:eastAsia="Arial" w:hAnsi="Arial"/>
          <w:sz w:val="17"/>
          <w:szCs w:val="17"/>
          <w:b w:val="1"/>
          <w:bCs w:val="1"/>
          <w:color w:val="010000"/>
        </w:rPr>
      </w:pPr>
    </w:p>
    <w:p>
      <w:pPr>
        <w:ind w:firstLine="3"/>
        <w:spacing w:after="0" w:line="243" w:lineRule="auto"/>
        <w:tabs>
          <w:tab w:leader="none" w:pos="611" w:val="left"/>
        </w:tabs>
        <w:numPr>
          <w:ilvl w:val="0"/>
          <w:numId w:val="94"/>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This Plan and all Awards granted hereunder will be governed by and construed in accordance with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Delaware (excluding its conflict of laws rules).</w:t>
      </w:r>
    </w:p>
    <w:p>
      <w:pPr>
        <w:spacing w:after="0" w:line="151" w:lineRule="exact"/>
        <w:rPr>
          <w:rFonts w:ascii="Arial" w:cs="Arial" w:eastAsia="Arial" w:hAnsi="Arial"/>
          <w:sz w:val="19"/>
          <w:szCs w:val="19"/>
          <w:b w:val="1"/>
          <w:bCs w:val="1"/>
          <w:color w:val="010000"/>
        </w:rPr>
      </w:pPr>
    </w:p>
    <w:p>
      <w:pPr>
        <w:jc w:val="both"/>
        <w:ind w:firstLine="3"/>
        <w:spacing w:after="0" w:line="234" w:lineRule="auto"/>
        <w:tabs>
          <w:tab w:leader="none" w:pos="611" w:val="left"/>
        </w:tabs>
        <w:numPr>
          <w:ilvl w:val="0"/>
          <w:numId w:val="94"/>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color w:val="auto"/>
        </w:rPr>
        <w:t>. The Board may at any time terminate or amend this Plan in any respect,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limitation, amendment of any form of Award Agreement or instrument to be executed pursuant to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Board will not, without the approval of the stockholders of the Company, amend this Plan in any manner that requires such stockholder approval;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 Participant’s Award will be governed by the version of this Plan then in effect at the time such Award was granted. No termination or amendment of the Plan or any outstanding Award may adversely affect any then outstanding Award without the consent of the Participant, unless such termination or amendment is necessary to comply with applicable law, regulation or rule.</w:t>
      </w:r>
    </w:p>
    <w:p>
      <w:pPr>
        <w:spacing w:after="0" w:line="158" w:lineRule="exact"/>
        <w:rPr>
          <w:rFonts w:ascii="Arial" w:cs="Arial" w:eastAsia="Arial" w:hAnsi="Arial"/>
          <w:sz w:val="18"/>
          <w:szCs w:val="18"/>
          <w:b w:val="1"/>
          <w:bCs w:val="1"/>
          <w:color w:val="010000"/>
        </w:rPr>
      </w:pPr>
    </w:p>
    <w:p>
      <w:pPr>
        <w:jc w:val="both"/>
        <w:ind w:firstLine="3"/>
        <w:spacing w:after="0"/>
        <w:tabs>
          <w:tab w:leader="none" w:pos="611" w:val="left"/>
        </w:tabs>
        <w:numPr>
          <w:ilvl w:val="0"/>
          <w:numId w:val="94"/>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NONEXCLUSIVITY OF THE PLAN</w:t>
      </w:r>
      <w:r>
        <w:rPr>
          <w:rFonts w:ascii="Arial" w:cs="Arial" w:eastAsia="Arial" w:hAnsi="Arial"/>
          <w:sz w:val="18"/>
          <w:szCs w:val="18"/>
          <w:color w:val="auto"/>
        </w:rPr>
        <w:t>. Neither the adoption of this Plan by the Board, the submission of this Plan to the stockholders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12" w:lineRule="exact"/>
        <w:rPr>
          <w:sz w:val="20"/>
          <w:szCs w:val="20"/>
          <w:color w:val="auto"/>
        </w:rPr>
      </w:pPr>
    </w:p>
    <w:p>
      <w:pPr>
        <w:jc w:val="both"/>
        <w:ind w:firstLine="3"/>
        <w:spacing w:after="0" w:line="232" w:lineRule="auto"/>
        <w:tabs>
          <w:tab w:leader="none" w:pos="611" w:val="left"/>
        </w:tabs>
        <w:numPr>
          <w:ilvl w:val="0"/>
          <w:numId w:val="9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INSIDER TRADING POLICY</w:t>
      </w:r>
      <w:r>
        <w:rPr>
          <w:rFonts w:ascii="Arial" w:cs="Arial" w:eastAsia="Arial" w:hAnsi="Arial"/>
          <w:sz w:val="19"/>
          <w:szCs w:val="19"/>
          <w:color w:val="auto"/>
        </w:rPr>
        <w:t>. Each Participant who receives an Award will comply with any policy adopted by the Company from time</w:t>
      </w:r>
      <w:r>
        <w:rPr>
          <w:rFonts w:ascii="Arial" w:cs="Arial" w:eastAsia="Arial" w:hAnsi="Arial"/>
          <w:sz w:val="19"/>
          <w:szCs w:val="19"/>
          <w:b w:val="1"/>
          <w:bCs w:val="1"/>
          <w:color w:val="auto"/>
        </w:rPr>
        <w:t xml:space="preserve"> </w:t>
      </w:r>
      <w:r>
        <w:rPr>
          <w:rFonts w:ascii="Arial" w:cs="Arial" w:eastAsia="Arial" w:hAnsi="Arial"/>
          <w:sz w:val="19"/>
          <w:szCs w:val="19"/>
          <w:color w:val="auto"/>
        </w:rPr>
        <w:t>to time covering transactions in the Company’s securities by Employee and/or officers of the Company, as well as with any applicable insider trading or market abuse laws to which the Participant may be subject.</w:t>
      </w:r>
    </w:p>
    <w:p>
      <w:pPr>
        <w:spacing w:after="0" w:line="154" w:lineRule="exact"/>
        <w:rPr>
          <w:rFonts w:ascii="Arial" w:cs="Arial" w:eastAsia="Arial" w:hAnsi="Arial"/>
          <w:sz w:val="19"/>
          <w:szCs w:val="19"/>
          <w:b w:val="1"/>
          <w:bCs w:val="1"/>
          <w:color w:val="010000"/>
        </w:rPr>
      </w:pPr>
    </w:p>
    <w:p>
      <w:pPr>
        <w:jc w:val="both"/>
        <w:ind w:firstLine="3"/>
        <w:spacing w:after="0" w:line="224" w:lineRule="auto"/>
        <w:tabs>
          <w:tab w:leader="none" w:pos="611" w:val="left"/>
        </w:tabs>
        <w:numPr>
          <w:ilvl w:val="0"/>
          <w:numId w:val="9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ALL AWARDS SUBJECT TO COMPANY CLAWBACK OR RECOUPMENT POLICY</w:t>
      </w:r>
      <w:r>
        <w:rPr>
          <w:rFonts w:ascii="Arial" w:cs="Arial" w:eastAsia="Arial" w:hAnsi="Arial"/>
          <w:sz w:val="19"/>
          <w:szCs w:val="19"/>
          <w:color w:val="auto"/>
        </w:rPr>
        <w:t>. All Awards, subject to applicable law,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subject to clawback or recoupment pursuant to any compensation clawback or recoupment policy adopted by the Board or required by law during the term of Participant’s employment with the Company that is applicable to Employees of the Company, and in addition to any other remedies available under such policy and applicable law, may require the cancellation of outstanding Awards and the recoupment of any gains realized with respect to Awards.</w:t>
      </w:r>
    </w:p>
    <w:p>
      <w:pPr>
        <w:spacing w:after="0" w:line="156" w:lineRule="exact"/>
        <w:rPr>
          <w:rFonts w:ascii="Arial" w:cs="Arial" w:eastAsia="Arial" w:hAnsi="Arial"/>
          <w:sz w:val="19"/>
          <w:szCs w:val="19"/>
          <w:b w:val="1"/>
          <w:bCs w:val="1"/>
          <w:color w:val="010000"/>
        </w:rPr>
      </w:pPr>
    </w:p>
    <w:p>
      <w:pPr>
        <w:ind w:left="620" w:hanging="617"/>
        <w:spacing w:after="0"/>
        <w:tabs>
          <w:tab w:leader="none" w:pos="620" w:val="left"/>
        </w:tabs>
        <w:numPr>
          <w:ilvl w:val="0"/>
          <w:numId w:val="9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Plan, and except as elsewhere defined herein, the following terms will have the following meanings:</w:t>
      </w:r>
    </w:p>
    <w:p>
      <w:pPr>
        <w:spacing w:after="0" w:line="194"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9"/>
          <w:szCs w:val="19"/>
          <w:b w:val="1"/>
          <w:bCs w:val="1"/>
          <w:color w:val="010000"/>
        </w:rPr>
        <w:t xml:space="preserve">27.1. </w:t>
      </w:r>
      <w:r>
        <w:rPr>
          <w:rFonts w:ascii="Arial" w:cs="Arial" w:eastAsia="Arial" w:hAnsi="Arial"/>
          <w:sz w:val="19"/>
          <w:szCs w:val="19"/>
          <w:color w:val="000000"/>
        </w:rPr>
        <w:t>“</w:t>
      </w:r>
      <w:r>
        <w:rPr>
          <w:rFonts w:ascii="Arial" w:cs="Arial" w:eastAsia="Arial" w:hAnsi="Arial"/>
          <w:sz w:val="19"/>
          <w:szCs w:val="19"/>
          <w:b w:val="1"/>
          <w:bCs w:val="1"/>
          <w:i w:val="1"/>
          <w:iCs w:val="1"/>
          <w:color w:val="000000"/>
        </w:rPr>
        <w:t>Award</w:t>
      </w:r>
      <w:r>
        <w:rPr>
          <w:rFonts w:ascii="Arial" w:cs="Arial" w:eastAsia="Arial" w:hAnsi="Arial"/>
          <w:sz w:val="19"/>
          <w:szCs w:val="19"/>
          <w:color w:val="000000"/>
        </w:rPr>
        <w:t>” means any award under the Plan, including any Option, Restricted Stock, Stock Bonus, Stock Appreciation Right,</w:t>
      </w:r>
      <w:r>
        <w:rPr>
          <w:rFonts w:ascii="Arial" w:cs="Arial" w:eastAsia="Arial" w:hAnsi="Arial"/>
          <w:sz w:val="19"/>
          <w:szCs w:val="19"/>
          <w:b w:val="1"/>
          <w:bCs w:val="1"/>
          <w:color w:val="010000"/>
        </w:rPr>
        <w:t xml:space="preserve"> </w:t>
      </w:r>
      <w:r>
        <w:rPr>
          <w:rFonts w:ascii="Arial" w:cs="Arial" w:eastAsia="Arial" w:hAnsi="Arial"/>
          <w:sz w:val="19"/>
          <w:szCs w:val="19"/>
          <w:color w:val="000000"/>
        </w:rPr>
        <w:t>Restricted Stock Unit or Performance Award.</w:t>
      </w:r>
    </w:p>
    <w:p>
      <w:pPr>
        <w:spacing w:after="0" w:line="152" w:lineRule="exact"/>
        <w:rPr>
          <w:sz w:val="20"/>
          <w:szCs w:val="20"/>
          <w:color w:val="auto"/>
        </w:rPr>
      </w:pPr>
    </w:p>
    <w:p>
      <w:pPr>
        <w:jc w:val="both"/>
        <w:ind w:firstLine="620"/>
        <w:spacing w:after="0" w:line="224" w:lineRule="auto"/>
        <w:rPr>
          <w:sz w:val="20"/>
          <w:szCs w:val="20"/>
          <w:color w:val="auto"/>
        </w:rPr>
      </w:pPr>
      <w:r>
        <w:rPr>
          <w:rFonts w:ascii="Arial" w:cs="Arial" w:eastAsia="Arial" w:hAnsi="Arial"/>
          <w:sz w:val="19"/>
          <w:szCs w:val="19"/>
          <w:b w:val="1"/>
          <w:bCs w:val="1"/>
          <w:color w:val="010000"/>
        </w:rPr>
        <w:t xml:space="preserve">27.2. </w:t>
      </w:r>
      <w:r>
        <w:rPr>
          <w:rFonts w:ascii="Arial" w:cs="Arial" w:eastAsia="Arial" w:hAnsi="Arial"/>
          <w:sz w:val="19"/>
          <w:szCs w:val="19"/>
          <w:color w:val="000000"/>
        </w:rPr>
        <w:t>“</w:t>
      </w:r>
      <w:r>
        <w:rPr>
          <w:rFonts w:ascii="Arial" w:cs="Arial" w:eastAsia="Arial" w:hAnsi="Arial"/>
          <w:sz w:val="19"/>
          <w:szCs w:val="19"/>
          <w:b w:val="1"/>
          <w:bCs w:val="1"/>
          <w:i w:val="1"/>
          <w:iCs w:val="1"/>
          <w:color w:val="000000"/>
        </w:rPr>
        <w:t>Award Agreement</w:t>
      </w:r>
      <w:r>
        <w:rPr>
          <w:rFonts w:ascii="Arial" w:cs="Arial" w:eastAsia="Arial" w:hAnsi="Arial"/>
          <w:sz w:val="19"/>
          <w:szCs w:val="19"/>
          <w:color w:val="000000"/>
        </w:rPr>
        <w:t>” means, with respect to each Award, the written or electronic agreement between the Company and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Participant setting forth the terms and 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56"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9"/>
          <w:szCs w:val="19"/>
          <w:b w:val="1"/>
          <w:bCs w:val="1"/>
          <w:color w:val="010000"/>
        </w:rPr>
        <w:t>27.3.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182" w:lineRule="exact"/>
        <w:rPr>
          <w:sz w:val="20"/>
          <w:szCs w:val="20"/>
          <w:color w:val="auto"/>
        </w:rPr>
      </w:pPr>
    </w:p>
    <w:p>
      <w:pPr>
        <w:jc w:val="both"/>
        <w:ind w:firstLine="620"/>
        <w:spacing w:after="0" w:line="229" w:lineRule="auto"/>
        <w:rPr>
          <w:sz w:val="20"/>
          <w:szCs w:val="20"/>
          <w:color w:val="auto"/>
        </w:rPr>
      </w:pPr>
      <w:r>
        <w:rPr>
          <w:rFonts w:ascii="Arial" w:cs="Arial" w:eastAsia="Arial" w:hAnsi="Arial"/>
          <w:sz w:val="18"/>
          <w:szCs w:val="18"/>
          <w:b w:val="1"/>
          <w:bCs w:val="1"/>
          <w:color w:val="010000"/>
        </w:rPr>
        <w:t xml:space="preserve">27.4. </w:t>
      </w:r>
      <w:r>
        <w:rPr>
          <w:rFonts w:ascii="Arial" w:cs="Arial" w:eastAsia="Arial" w:hAnsi="Arial"/>
          <w:sz w:val="18"/>
          <w:szCs w:val="18"/>
          <w:color w:val="000000"/>
        </w:rPr>
        <w:t>“</w:t>
      </w:r>
      <w:r>
        <w:rPr>
          <w:rFonts w:ascii="Arial" w:cs="Arial" w:eastAsia="Arial" w:hAnsi="Arial"/>
          <w:sz w:val="18"/>
          <w:szCs w:val="18"/>
          <w:b w:val="1"/>
          <w:bCs w:val="1"/>
          <w:i w:val="1"/>
          <w:iCs w:val="1"/>
          <w:color w:val="000000"/>
        </w:rPr>
        <w:t>Cause</w:t>
      </w:r>
      <w:r>
        <w:rPr>
          <w:rFonts w:ascii="Arial" w:cs="Arial" w:eastAsia="Arial" w:hAnsi="Arial"/>
          <w:sz w:val="18"/>
          <w:szCs w:val="18"/>
          <w:color w:val="000000"/>
        </w:rPr>
        <w:t>” means a determination by the Company (and in the case of Participant who is subject to Section 16 of the Exchange Act,</w:t>
      </w:r>
      <w:r>
        <w:rPr>
          <w:rFonts w:ascii="Arial" w:cs="Arial" w:eastAsia="Arial" w:hAnsi="Arial"/>
          <w:sz w:val="18"/>
          <w:szCs w:val="18"/>
          <w:b w:val="1"/>
          <w:bCs w:val="1"/>
          <w:color w:val="010000"/>
        </w:rPr>
        <w:t xml:space="preserve"> </w:t>
      </w:r>
      <w:r>
        <w:rPr>
          <w:rFonts w:ascii="Arial" w:cs="Arial" w:eastAsia="Arial" w:hAnsi="Arial"/>
          <w:sz w:val="18"/>
          <w:szCs w:val="18"/>
          <w:color w:val="000000"/>
        </w:rPr>
        <w:t>the Committee) that the Participant has committed an act or acts constituting any of the following: (a) dishonesty, fraud, misconduct or negligence in connection with Participant’s duties to the Company, (b) unauthorized disclosure or use of the Company’s confidential or proprietary information or trade secrets, (c) misappropriation of a business opportunity of the Company, (d) materially aiding Company competitor, (e) a conviction or plea of nolo contendere to a felony or crime involving moral turpitude, (f) failure or refusal to attend to the duties or obligations of the Participant’s position (g) violation or breach of, or failure to comply with, the Company’s code of ethics or conduct, any of the Company’s rules, policies or procedures applicable to the Participant or any agreement in effect between the Company and the Participant or (h) other conduct by such Participant that could be expected to be harmful to the business, interests or reputation of the Company. The determination as to whether Cause for a Participant’s termination exists will be made in good faith by the Company and will be final and binding on the Participant. This definition does not in any way limit the Company’s or any Subsidiary’s ability to terminate a Participant’s employment or services at any time as provided in Section 19 above. Notwithstanding the foregoing, the foregoing definition of “Cause” may, in part or in whole, be modified or replaced in each individual employment agreement, Award Agreement, or other applicable agreement with any Participant provided that such document specifically supersedes this definition.</w:t>
      </w:r>
    </w:p>
    <w:p>
      <w:pPr>
        <w:spacing w:after="0" w:line="159"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9"/>
          <w:szCs w:val="19"/>
          <w:b w:val="1"/>
          <w:bCs w:val="1"/>
          <w:color w:val="010000"/>
        </w:rPr>
        <w:t>27.5.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and the regulations promulgated thereunder.</w:t>
      </w:r>
    </w:p>
    <w:p>
      <w:pPr>
        <w:spacing w:after="0" w:line="182" w:lineRule="exact"/>
        <w:rPr>
          <w:sz w:val="20"/>
          <w:szCs w:val="20"/>
          <w:color w:val="auto"/>
        </w:rPr>
      </w:pPr>
    </w:p>
    <w:p>
      <w:pPr>
        <w:jc w:val="both"/>
        <w:ind w:firstLine="620"/>
        <w:spacing w:after="0" w:line="232" w:lineRule="auto"/>
        <w:rPr>
          <w:sz w:val="20"/>
          <w:szCs w:val="20"/>
          <w:color w:val="auto"/>
        </w:rPr>
      </w:pPr>
      <w:r>
        <w:rPr>
          <w:rFonts w:ascii="Arial" w:cs="Arial" w:eastAsia="Arial" w:hAnsi="Arial"/>
          <w:sz w:val="19"/>
          <w:szCs w:val="19"/>
          <w:b w:val="1"/>
          <w:bCs w:val="1"/>
          <w:color w:val="010000"/>
        </w:rPr>
        <w:t xml:space="preserve">27.6. </w:t>
      </w:r>
      <w:r>
        <w:rPr>
          <w:rFonts w:ascii="Arial" w:cs="Arial" w:eastAsia="Arial" w:hAnsi="Arial"/>
          <w:sz w:val="19"/>
          <w:szCs w:val="19"/>
          <w:color w:val="000000"/>
        </w:rPr>
        <w:t>“</w:t>
      </w:r>
      <w:r>
        <w:rPr>
          <w:rFonts w:ascii="Arial" w:cs="Arial" w:eastAsia="Arial" w:hAnsi="Arial"/>
          <w:sz w:val="19"/>
          <w:szCs w:val="19"/>
          <w:b w:val="1"/>
          <w:bCs w:val="1"/>
          <w:i w:val="1"/>
          <w:iCs w:val="1"/>
          <w:color w:val="000000"/>
        </w:rPr>
        <w:t>Committee</w:t>
      </w:r>
      <w:r>
        <w:rPr>
          <w:rFonts w:ascii="Arial" w:cs="Arial" w:eastAsia="Arial" w:hAnsi="Arial"/>
          <w:sz w:val="19"/>
          <w:szCs w:val="19"/>
          <w:color w:val="000000"/>
        </w:rPr>
        <w:t>” means the Compensation Committee of the Board or the Board. Any action taken by the Board as the Committee in</w:t>
      </w:r>
      <w:r>
        <w:rPr>
          <w:rFonts w:ascii="Arial" w:cs="Arial" w:eastAsia="Arial" w:hAnsi="Arial"/>
          <w:sz w:val="19"/>
          <w:szCs w:val="19"/>
          <w:b w:val="1"/>
          <w:bCs w:val="1"/>
          <w:color w:val="010000"/>
        </w:rPr>
        <w:t xml:space="preserve"> </w:t>
      </w:r>
      <w:r>
        <w:rPr>
          <w:rFonts w:ascii="Arial" w:cs="Arial" w:eastAsia="Arial" w:hAnsi="Arial"/>
          <w:sz w:val="19"/>
          <w:szCs w:val="19"/>
          <w:color w:val="000000"/>
        </w:rPr>
        <w:t>connection with the administration of the Plan shall not be deemed approved by the Board unless such actions are approved by a majority of the Non-Employee Directors of the Board.</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12"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9"/>
          <w:szCs w:val="19"/>
          <w:b w:val="1"/>
          <w:bCs w:val="1"/>
          <w:color w:val="010000"/>
        </w:rPr>
        <w:t>27.7.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means Arcutis Biotherapeutics, Inc., a Delaware corporation, or any successor corporation.</w:t>
      </w:r>
    </w:p>
    <w:p>
      <w:pPr>
        <w:spacing w:after="0" w:line="182" w:lineRule="exact"/>
        <w:rPr>
          <w:sz w:val="20"/>
          <w:szCs w:val="20"/>
          <w:color w:val="auto"/>
        </w:rPr>
      </w:pPr>
    </w:p>
    <w:p>
      <w:pPr>
        <w:jc w:val="both"/>
        <w:ind w:firstLine="620"/>
        <w:spacing w:after="0"/>
        <w:rPr>
          <w:sz w:val="20"/>
          <w:szCs w:val="20"/>
          <w:color w:val="auto"/>
        </w:rPr>
      </w:pPr>
      <w:r>
        <w:rPr>
          <w:rFonts w:ascii="Arial" w:cs="Arial" w:eastAsia="Arial" w:hAnsi="Arial"/>
          <w:sz w:val="17"/>
          <w:szCs w:val="17"/>
          <w:b w:val="1"/>
          <w:bCs w:val="1"/>
          <w:color w:val="010000"/>
        </w:rPr>
        <w:t xml:space="preserve">27.8. </w:t>
      </w:r>
      <w:r>
        <w:rPr>
          <w:rFonts w:ascii="Arial" w:cs="Arial" w:eastAsia="Arial" w:hAnsi="Arial"/>
          <w:sz w:val="17"/>
          <w:szCs w:val="17"/>
          <w:color w:val="000000"/>
        </w:rPr>
        <w:t>“</w:t>
      </w:r>
      <w:r>
        <w:rPr>
          <w:rFonts w:ascii="Arial" w:cs="Arial" w:eastAsia="Arial" w:hAnsi="Arial"/>
          <w:sz w:val="17"/>
          <w:szCs w:val="17"/>
          <w:b w:val="1"/>
          <w:bCs w:val="1"/>
          <w:i w:val="1"/>
          <w:iCs w:val="1"/>
          <w:color w:val="000000"/>
        </w:rPr>
        <w:t>Corporate Transaction</w:t>
      </w:r>
      <w:r>
        <w:rPr>
          <w:rFonts w:ascii="Arial" w:cs="Arial" w:eastAsia="Arial" w:hAnsi="Arial"/>
          <w:sz w:val="17"/>
          <w:szCs w:val="17"/>
          <w:color w:val="000000"/>
        </w:rPr>
        <w:t>” means the occurrence of any of the following events: (a) any “Person” (as such term is used in Sections</w:t>
      </w:r>
      <w:r>
        <w:rPr>
          <w:rFonts w:ascii="Arial" w:cs="Arial" w:eastAsia="Arial" w:hAnsi="Arial"/>
          <w:sz w:val="17"/>
          <w:szCs w:val="17"/>
          <w:b w:val="1"/>
          <w:bCs w:val="1"/>
          <w:color w:val="010000"/>
        </w:rPr>
        <w:t xml:space="preserve"> </w:t>
      </w:r>
      <w:r>
        <w:rPr>
          <w:rFonts w:ascii="Arial" w:cs="Arial" w:eastAsia="Arial" w:hAnsi="Arial"/>
          <w:sz w:val="17"/>
          <w:szCs w:val="17"/>
          <w:color w:val="000000"/>
        </w:rPr>
        <w:t>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Company) or (e)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spacing w:after="0" w:line="169" w:lineRule="exact"/>
        <w:rPr>
          <w:sz w:val="20"/>
          <w:szCs w:val="20"/>
          <w:color w:val="auto"/>
        </w:rPr>
      </w:pPr>
    </w:p>
    <w:p>
      <w:pPr>
        <w:jc w:val="both"/>
        <w:ind w:firstLine="620"/>
        <w:spacing w:after="0" w:line="232" w:lineRule="auto"/>
        <w:rPr>
          <w:sz w:val="20"/>
          <w:szCs w:val="20"/>
          <w:color w:val="auto"/>
        </w:rPr>
      </w:pPr>
      <w:r>
        <w:rPr>
          <w:rFonts w:ascii="Arial" w:cs="Arial" w:eastAsia="Arial" w:hAnsi="Arial"/>
          <w:sz w:val="19"/>
          <w:szCs w:val="19"/>
          <w:b w:val="1"/>
          <w:bCs w:val="1"/>
          <w:color w:val="010000"/>
        </w:rPr>
        <w:t xml:space="preserve">27.9. </w:t>
      </w:r>
      <w:r>
        <w:rPr>
          <w:rFonts w:ascii="Arial" w:cs="Arial" w:eastAsia="Arial" w:hAnsi="Arial"/>
          <w:sz w:val="19"/>
          <w:szCs w:val="19"/>
          <w:color w:val="000000"/>
        </w:rPr>
        <w:t>“</w:t>
      </w:r>
      <w:r>
        <w:rPr>
          <w:rFonts w:ascii="Arial" w:cs="Arial" w:eastAsia="Arial" w:hAnsi="Arial"/>
          <w:sz w:val="19"/>
          <w:szCs w:val="19"/>
          <w:b w:val="1"/>
          <w:bCs w:val="1"/>
          <w:i w:val="1"/>
          <w:iCs w:val="1"/>
          <w:color w:val="000000"/>
        </w:rPr>
        <w:t>Disability</w:t>
      </w:r>
      <w:r>
        <w:rPr>
          <w:rFonts w:ascii="Arial" w:cs="Arial" w:eastAsia="Arial" w:hAnsi="Arial"/>
          <w:sz w:val="19"/>
          <w:szCs w:val="19"/>
          <w:color w:val="000000"/>
        </w:rPr>
        <w:t>” means that the Participant is unable to engage in any substantial gainful activity by reason of any medically</w:t>
      </w:r>
      <w:r>
        <w:rPr>
          <w:rFonts w:ascii="Arial" w:cs="Arial" w:eastAsia="Arial" w:hAnsi="Arial"/>
          <w:sz w:val="19"/>
          <w:szCs w:val="19"/>
          <w:b w:val="1"/>
          <w:bCs w:val="1"/>
          <w:color w:val="010000"/>
        </w:rPr>
        <w:t xml:space="preserve"> </w:t>
      </w:r>
      <w:r>
        <w:rPr>
          <w:rFonts w:ascii="Arial" w:cs="Arial" w:eastAsia="Arial" w:hAnsi="Arial"/>
          <w:sz w:val="19"/>
          <w:szCs w:val="19"/>
          <w:color w:val="000000"/>
        </w:rPr>
        <w:t>determinable physical or mental impairment that can be expected to result in death or can be expected to last for a continuous period of not less than 12 months.</w:t>
      </w:r>
    </w:p>
    <w:p>
      <w:pPr>
        <w:spacing w:after="0" w:line="155" w:lineRule="exact"/>
        <w:rPr>
          <w:sz w:val="20"/>
          <w:szCs w:val="20"/>
          <w:color w:val="auto"/>
        </w:rPr>
      </w:pPr>
    </w:p>
    <w:p>
      <w:pPr>
        <w:jc w:val="both"/>
        <w:ind w:firstLine="620"/>
        <w:spacing w:after="0" w:line="247" w:lineRule="auto"/>
        <w:rPr>
          <w:sz w:val="20"/>
          <w:szCs w:val="20"/>
          <w:color w:val="auto"/>
        </w:rPr>
      </w:pPr>
      <w:r>
        <w:rPr>
          <w:rFonts w:ascii="Arial" w:cs="Arial" w:eastAsia="Arial" w:hAnsi="Arial"/>
          <w:sz w:val="18"/>
          <w:szCs w:val="18"/>
          <w:b w:val="1"/>
          <w:bCs w:val="1"/>
          <w:color w:val="010000"/>
        </w:rPr>
        <w:t xml:space="preserve">27.10. </w:t>
      </w:r>
      <w:r>
        <w:rPr>
          <w:rFonts w:ascii="Arial" w:cs="Arial" w:eastAsia="Arial" w:hAnsi="Arial"/>
          <w:sz w:val="18"/>
          <w:szCs w:val="18"/>
          <w:color w:val="000000"/>
        </w:rPr>
        <w:t>“</w:t>
      </w:r>
      <w:r>
        <w:rPr>
          <w:rFonts w:ascii="Arial" w:cs="Arial" w:eastAsia="Arial" w:hAnsi="Arial"/>
          <w:sz w:val="18"/>
          <w:szCs w:val="18"/>
          <w:b w:val="1"/>
          <w:bCs w:val="1"/>
          <w:i w:val="1"/>
          <w:iCs w:val="1"/>
          <w:color w:val="000000"/>
        </w:rPr>
        <w:t>Dividend Equivalent Right</w:t>
      </w:r>
      <w:r>
        <w:rPr>
          <w:rFonts w:ascii="Arial" w:cs="Arial" w:eastAsia="Arial" w:hAnsi="Arial"/>
          <w:sz w:val="18"/>
          <w:szCs w:val="18"/>
          <w:color w:val="000000"/>
        </w:rPr>
        <w:t>” means the right of a Participant, granted at the discretion of the Committee or as otherwise provided</w:t>
      </w:r>
      <w:r>
        <w:rPr>
          <w:rFonts w:ascii="Arial" w:cs="Arial" w:eastAsia="Arial" w:hAnsi="Arial"/>
          <w:sz w:val="18"/>
          <w:szCs w:val="18"/>
          <w:b w:val="1"/>
          <w:bCs w:val="1"/>
          <w:color w:val="010000"/>
        </w:rPr>
        <w:t xml:space="preserve"> </w:t>
      </w:r>
      <w:r>
        <w:rPr>
          <w:rFonts w:ascii="Arial" w:cs="Arial" w:eastAsia="Arial" w:hAnsi="Arial"/>
          <w:sz w:val="18"/>
          <w:szCs w:val="18"/>
          <w:color w:val="000000"/>
        </w:rPr>
        <w:t>by the Plan, to receive a credit for the account of such Participant in an amount equal to the cash, stock or other property dividends in amounts equivalent to cash, stock or other property dividends for each Share represented by an Award held by such Participant.</w:t>
      </w:r>
    </w:p>
    <w:p>
      <w:pPr>
        <w:spacing w:after="0" w:line="149" w:lineRule="exact"/>
        <w:rPr>
          <w:sz w:val="20"/>
          <w:szCs w:val="20"/>
          <w:color w:val="auto"/>
        </w:rPr>
      </w:pPr>
    </w:p>
    <w:p>
      <w:pPr>
        <w:jc w:val="both"/>
        <w:ind w:firstLine="620"/>
        <w:spacing w:after="0" w:line="233" w:lineRule="auto"/>
        <w:rPr>
          <w:sz w:val="20"/>
          <w:szCs w:val="20"/>
          <w:color w:val="auto"/>
        </w:rPr>
      </w:pPr>
      <w:r>
        <w:rPr>
          <w:rFonts w:ascii="Arial" w:cs="Arial" w:eastAsia="Arial" w:hAnsi="Arial"/>
          <w:sz w:val="18"/>
          <w:szCs w:val="18"/>
          <w:b w:val="1"/>
          <w:bCs w:val="1"/>
          <w:color w:val="010000"/>
        </w:rPr>
        <w:t xml:space="preserve">27.11. </w:t>
      </w:r>
      <w:r>
        <w:rPr>
          <w:rFonts w:ascii="Arial" w:cs="Arial" w:eastAsia="Arial" w:hAnsi="Arial"/>
          <w:sz w:val="18"/>
          <w:szCs w:val="18"/>
          <w:color w:val="000000"/>
        </w:rPr>
        <w:t>“</w:t>
      </w:r>
      <w:r>
        <w:rPr>
          <w:rFonts w:ascii="Arial" w:cs="Arial" w:eastAsia="Arial" w:hAnsi="Arial"/>
          <w:sz w:val="18"/>
          <w:szCs w:val="18"/>
          <w:b w:val="1"/>
          <w:bCs w:val="1"/>
          <w:i w:val="1"/>
          <w:iCs w:val="1"/>
          <w:color w:val="000000"/>
        </w:rPr>
        <w:t>Eligible Employee</w:t>
      </w:r>
      <w:r>
        <w:rPr>
          <w:rFonts w:ascii="Arial" w:cs="Arial" w:eastAsia="Arial" w:hAnsi="Arial"/>
          <w:sz w:val="18"/>
          <w:szCs w:val="18"/>
          <w:color w:val="000000"/>
        </w:rPr>
        <w:t>” means any Employee who has not previously been an employee or director of the Company or a Subsidiary,</w:t>
      </w:r>
      <w:r>
        <w:rPr>
          <w:rFonts w:ascii="Arial" w:cs="Arial" w:eastAsia="Arial" w:hAnsi="Arial"/>
          <w:sz w:val="18"/>
          <w:szCs w:val="18"/>
          <w:b w:val="1"/>
          <w:bCs w:val="1"/>
          <w:color w:val="010000"/>
        </w:rPr>
        <w:t xml:space="preserve"> </w:t>
      </w:r>
      <w:r>
        <w:rPr>
          <w:rFonts w:ascii="Arial" w:cs="Arial" w:eastAsia="Arial" w:hAnsi="Arial"/>
          <w:sz w:val="18"/>
          <w:szCs w:val="18"/>
          <w:color w:val="000000"/>
        </w:rPr>
        <w:t>or is commencing employment with the Company or a Subsidiary following a bona fide period of non-employment by the Company or a Subsidiary, if he or she is granted an award in connection with his or her commencement of employment with the Company or a Subsidiary and such grant is an inducement material to his or her entering into employment with the Company or a Subsidiary. The Committee may in its discretion adopt procedures from time to time to ensure that an Employee is eligible to participate in the Plan prior to the granting of any awards to such Employee under the Plan (including, without limitation, a requirement, that each such Employee certify to the Company prior to the receipt of an award under the Plan that he or she has not been previously</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employed by the Company or a Subsidiary, or if previously employed, has had a bona fide period of non-employment, and that the grant of an award under the Plan is an inducement material to his or her agreement to enter into employment with the Company or a Subsidiary).</w:t>
      </w:r>
    </w:p>
    <w:p>
      <w:pPr>
        <w:spacing w:after="0" w:line="135" w:lineRule="exact"/>
        <w:rPr>
          <w:sz w:val="20"/>
          <w:szCs w:val="20"/>
          <w:color w:val="auto"/>
        </w:rPr>
      </w:pPr>
    </w:p>
    <w:p>
      <w:pPr>
        <w:jc w:val="both"/>
        <w:ind w:firstLine="620"/>
        <w:spacing w:after="0" w:line="300" w:lineRule="auto"/>
        <w:rPr>
          <w:sz w:val="20"/>
          <w:szCs w:val="20"/>
          <w:color w:val="auto"/>
        </w:rPr>
      </w:pPr>
      <w:r>
        <w:rPr>
          <w:rFonts w:ascii="Arial" w:cs="Arial" w:eastAsia="Arial" w:hAnsi="Arial"/>
          <w:sz w:val="17"/>
          <w:szCs w:val="17"/>
          <w:b w:val="1"/>
          <w:bCs w:val="1"/>
          <w:color w:val="010000"/>
        </w:rPr>
        <w:t xml:space="preserve">27.12. </w:t>
      </w:r>
      <w:r>
        <w:rPr>
          <w:rFonts w:ascii="Arial" w:cs="Arial" w:eastAsia="Arial" w:hAnsi="Arial"/>
          <w:sz w:val="17"/>
          <w:szCs w:val="17"/>
          <w:color w:val="000000"/>
        </w:rPr>
        <w:t>“</w:t>
      </w:r>
      <w:r>
        <w:rPr>
          <w:rFonts w:ascii="Arial" w:cs="Arial" w:eastAsia="Arial" w:hAnsi="Arial"/>
          <w:sz w:val="17"/>
          <w:szCs w:val="17"/>
          <w:b w:val="1"/>
          <w:bCs w:val="1"/>
          <w:i w:val="1"/>
          <w:iCs w:val="1"/>
          <w:color w:val="000000"/>
        </w:rPr>
        <w:t>Employee</w:t>
      </w:r>
      <w:r>
        <w:rPr>
          <w:rFonts w:ascii="Arial" w:cs="Arial" w:eastAsia="Arial" w:hAnsi="Arial"/>
          <w:sz w:val="17"/>
          <w:szCs w:val="17"/>
          <w:color w:val="000000"/>
        </w:rPr>
        <w:t>” means any person, including officers, providing services as an employee to the Company or any Subsidiary. Neither</w:t>
      </w:r>
      <w:r>
        <w:rPr>
          <w:rFonts w:ascii="Arial" w:cs="Arial" w:eastAsia="Arial" w:hAnsi="Arial"/>
          <w:sz w:val="17"/>
          <w:szCs w:val="17"/>
          <w:b w:val="1"/>
          <w:bCs w:val="1"/>
          <w:color w:val="010000"/>
        </w:rPr>
        <w:t xml:space="preserve"> </w:t>
      </w:r>
      <w:r>
        <w:rPr>
          <w:rFonts w:ascii="Arial" w:cs="Arial" w:eastAsia="Arial" w:hAnsi="Arial"/>
          <w:sz w:val="17"/>
          <w:szCs w:val="17"/>
          <w:color w:val="000000"/>
        </w:rPr>
        <w:t>service as a Non-Employee Director nor payment of a director’s fee by the Company will be sufficient to constitute “employment” by the Company.</w:t>
      </w:r>
    </w:p>
    <w:p>
      <w:pPr>
        <w:spacing w:after="0" w:line="106"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27.13.  </w:t>
      </w:r>
      <w:r>
        <w:rPr>
          <w:rFonts w:ascii="Arial" w:cs="Arial" w:eastAsia="Arial" w:hAnsi="Arial"/>
          <w:sz w:val="19"/>
          <w:szCs w:val="19"/>
          <w:color w:val="000000"/>
        </w:rPr>
        <w:t>“</w:t>
      </w:r>
      <w:r>
        <w:rPr>
          <w:rFonts w:ascii="Arial" w:cs="Arial" w:eastAsia="Arial" w:hAnsi="Arial"/>
          <w:sz w:val="19"/>
          <w:szCs w:val="19"/>
          <w:b w:val="1"/>
          <w:bCs w:val="1"/>
          <w:i w:val="1"/>
          <w:iCs w:val="1"/>
          <w:color w:val="000000"/>
        </w:rPr>
        <w:t>Exchange Act</w:t>
      </w:r>
      <w:r>
        <w:rPr>
          <w:rFonts w:ascii="Arial" w:cs="Arial" w:eastAsia="Arial" w:hAnsi="Arial"/>
          <w:sz w:val="19"/>
          <w:szCs w:val="19"/>
          <w:color w:val="000000"/>
        </w:rPr>
        <w:t>” means the United States Securities Exchange Act of 1934, as amended.</w:t>
      </w:r>
    </w:p>
    <w:p>
      <w:pPr>
        <w:spacing w:after="0" w:line="182" w:lineRule="exact"/>
        <w:rPr>
          <w:sz w:val="20"/>
          <w:szCs w:val="20"/>
          <w:color w:val="auto"/>
        </w:rPr>
      </w:pPr>
    </w:p>
    <w:p>
      <w:pPr>
        <w:jc w:val="both"/>
        <w:ind w:firstLine="620"/>
        <w:spacing w:after="0" w:line="232" w:lineRule="auto"/>
        <w:rPr>
          <w:sz w:val="20"/>
          <w:szCs w:val="20"/>
          <w:color w:val="auto"/>
        </w:rPr>
      </w:pPr>
      <w:r>
        <w:rPr>
          <w:rFonts w:ascii="Arial" w:cs="Arial" w:eastAsia="Arial" w:hAnsi="Arial"/>
          <w:sz w:val="19"/>
          <w:szCs w:val="19"/>
          <w:b w:val="1"/>
          <w:bCs w:val="1"/>
          <w:color w:val="010000"/>
        </w:rPr>
        <w:t xml:space="preserve">27.14. </w:t>
      </w:r>
      <w:r>
        <w:rPr>
          <w:rFonts w:ascii="Arial" w:cs="Arial" w:eastAsia="Arial" w:hAnsi="Arial"/>
          <w:sz w:val="19"/>
          <w:szCs w:val="19"/>
          <w:color w:val="000000"/>
        </w:rPr>
        <w:t>“</w:t>
      </w:r>
      <w:r>
        <w:rPr>
          <w:rFonts w:ascii="Arial" w:cs="Arial" w:eastAsia="Arial" w:hAnsi="Arial"/>
          <w:sz w:val="19"/>
          <w:szCs w:val="19"/>
          <w:b w:val="1"/>
          <w:bCs w:val="1"/>
          <w:i w:val="1"/>
          <w:iCs w:val="1"/>
          <w:color w:val="000000"/>
        </w:rPr>
        <w:t>Exchange Program</w:t>
      </w:r>
      <w:r>
        <w:rPr>
          <w:rFonts w:ascii="Arial" w:cs="Arial" w:eastAsia="Arial" w:hAnsi="Arial"/>
          <w:sz w:val="19"/>
          <w:szCs w:val="19"/>
          <w:color w:val="000000"/>
        </w:rPr>
        <w:t>” means a program pursuant to which (a) outstanding Awards are surrendered, cancelled or exchanged for</w:t>
      </w:r>
      <w:r>
        <w:rPr>
          <w:rFonts w:ascii="Arial" w:cs="Arial" w:eastAsia="Arial" w:hAnsi="Arial"/>
          <w:sz w:val="19"/>
          <w:szCs w:val="19"/>
          <w:b w:val="1"/>
          <w:bCs w:val="1"/>
          <w:color w:val="010000"/>
        </w:rPr>
        <w:t xml:space="preserve"> </w:t>
      </w:r>
      <w:r>
        <w:rPr>
          <w:rFonts w:ascii="Arial" w:cs="Arial" w:eastAsia="Arial" w:hAnsi="Arial"/>
          <w:sz w:val="19"/>
          <w:szCs w:val="19"/>
          <w:color w:val="000000"/>
        </w:rPr>
        <w:t>cash, the same type of Award or a different Award (or combination thereof) or (b) the exercise price of an outstanding Award is increased or reduced, each as described in Section 17.</w:t>
      </w:r>
    </w:p>
    <w:p>
      <w:pPr>
        <w:spacing w:after="0" w:line="155"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9"/>
          <w:szCs w:val="19"/>
          <w:b w:val="1"/>
          <w:bCs w:val="1"/>
          <w:color w:val="010000"/>
        </w:rPr>
        <w:t xml:space="preserve">27.15. </w:t>
      </w:r>
      <w:r>
        <w:rPr>
          <w:rFonts w:ascii="Arial" w:cs="Arial" w:eastAsia="Arial" w:hAnsi="Arial"/>
          <w:sz w:val="19"/>
          <w:szCs w:val="19"/>
          <w:color w:val="000000"/>
        </w:rPr>
        <w:t>“</w:t>
      </w:r>
      <w:r>
        <w:rPr>
          <w:rFonts w:ascii="Arial" w:cs="Arial" w:eastAsia="Arial" w:hAnsi="Arial"/>
          <w:sz w:val="19"/>
          <w:szCs w:val="19"/>
          <w:b w:val="1"/>
          <w:bCs w:val="1"/>
          <w:i w:val="1"/>
          <w:iCs w:val="1"/>
          <w:color w:val="000000"/>
        </w:rPr>
        <w:t>Exercise Price</w:t>
      </w:r>
      <w:r>
        <w:rPr>
          <w:rFonts w:ascii="Arial" w:cs="Arial" w:eastAsia="Arial" w:hAnsi="Arial"/>
          <w:sz w:val="19"/>
          <w:szCs w:val="19"/>
          <w:color w:val="000000"/>
        </w:rPr>
        <w:t>” means, with respect to an Option, the price at which a holder may purchase the Shares issuable upon exercise of</w:t>
      </w:r>
      <w:r>
        <w:rPr>
          <w:rFonts w:ascii="Arial" w:cs="Arial" w:eastAsia="Arial" w:hAnsi="Arial"/>
          <w:sz w:val="19"/>
          <w:szCs w:val="19"/>
          <w:b w:val="1"/>
          <w:bCs w:val="1"/>
          <w:color w:val="010000"/>
        </w:rPr>
        <w:t xml:space="preserve"> </w:t>
      </w:r>
      <w:r>
        <w:rPr>
          <w:rFonts w:ascii="Arial" w:cs="Arial" w:eastAsia="Arial" w:hAnsi="Arial"/>
          <w:sz w:val="19"/>
          <w:szCs w:val="19"/>
          <w:color w:val="000000"/>
        </w:rPr>
        <w:t>an Option and with respect to a SAR, the price at which the SAR is granted to the holder thereof.</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010000"/>
        </w:rPr>
        <w:t xml:space="preserve">27.16.  </w:t>
      </w:r>
      <w:r>
        <w:rPr>
          <w:rFonts w:ascii="Arial" w:cs="Arial" w:eastAsia="Arial" w:hAnsi="Arial"/>
          <w:sz w:val="18"/>
          <w:szCs w:val="18"/>
          <w:color w:val="000000"/>
        </w:rPr>
        <w:t>“</w:t>
      </w:r>
      <w:r>
        <w:rPr>
          <w:rFonts w:ascii="Arial" w:cs="Arial" w:eastAsia="Arial" w:hAnsi="Arial"/>
          <w:sz w:val="18"/>
          <w:szCs w:val="18"/>
          <w:b w:val="1"/>
          <w:bCs w:val="1"/>
          <w:i w:val="1"/>
          <w:iCs w:val="1"/>
          <w:color w:val="000000"/>
        </w:rPr>
        <w:t>Fair Market Value</w:t>
      </w:r>
      <w:r>
        <w:rPr>
          <w:rFonts w:ascii="Arial" w:cs="Arial" w:eastAsia="Arial" w:hAnsi="Arial"/>
          <w:sz w:val="18"/>
          <w:szCs w:val="18"/>
          <w:color w:val="000000"/>
        </w:rPr>
        <w:t>” means, as of any date, the value of a share of the Company’s common stock determined as follows:</w:t>
      </w:r>
    </w:p>
    <w:p>
      <w:pPr>
        <w:spacing w:after="0" w:line="200" w:lineRule="exact"/>
        <w:rPr>
          <w:sz w:val="20"/>
          <w:szCs w:val="20"/>
          <w:color w:val="auto"/>
        </w:rPr>
      </w:pPr>
    </w:p>
    <w:p>
      <w:pPr>
        <w:jc w:val="both"/>
        <w:ind w:firstLine="1244"/>
        <w:spacing w:after="0" w:line="230" w:lineRule="auto"/>
        <w:tabs>
          <w:tab w:leader="none" w:pos="1851" w:val="left"/>
        </w:tabs>
        <w:numPr>
          <w:ilvl w:val="0"/>
          <w:numId w:val="96"/>
        </w:numPr>
        <w:rPr>
          <w:rFonts w:ascii="Arial" w:cs="Arial" w:eastAsia="Arial" w:hAnsi="Arial"/>
          <w:sz w:val="19"/>
          <w:szCs w:val="19"/>
          <w:color w:val="010000"/>
        </w:rPr>
      </w:pPr>
      <w:r>
        <w:rPr>
          <w:rFonts w:ascii="Arial" w:cs="Arial" w:eastAsia="Arial" w:hAnsi="Arial"/>
          <w:sz w:val="19"/>
          <w:szCs w:val="19"/>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9"/>
          <w:szCs w:val="19"/>
          <w:i w:val="1"/>
          <w:iCs w:val="1"/>
          <w:color w:val="auto"/>
        </w:rPr>
        <w:t>The Wall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Street </w:t>
      </w:r>
      <w:r>
        <w:rPr>
          <w:rFonts w:ascii="Arial" w:cs="Arial" w:eastAsia="Arial" w:hAnsi="Arial"/>
          <w:sz w:val="19"/>
          <w:szCs w:val="19"/>
          <w:color w:val="auto"/>
        </w:rPr>
        <w:t>Journal or such other source as the Committee deems reliable;</w:t>
      </w:r>
    </w:p>
    <w:p>
      <w:pPr>
        <w:spacing w:after="0" w:line="160" w:lineRule="exact"/>
        <w:rPr>
          <w:rFonts w:ascii="Arial" w:cs="Arial" w:eastAsia="Arial" w:hAnsi="Arial"/>
          <w:sz w:val="19"/>
          <w:szCs w:val="19"/>
          <w:color w:val="010000"/>
        </w:rPr>
      </w:pPr>
    </w:p>
    <w:p>
      <w:pPr>
        <w:jc w:val="both"/>
        <w:ind w:firstLine="1244"/>
        <w:spacing w:after="0" w:line="230" w:lineRule="auto"/>
        <w:tabs>
          <w:tab w:leader="none" w:pos="1849" w:val="left"/>
        </w:tabs>
        <w:numPr>
          <w:ilvl w:val="0"/>
          <w:numId w:val="96"/>
        </w:numPr>
        <w:rPr>
          <w:rFonts w:ascii="Arial" w:cs="Arial" w:eastAsia="Arial" w:hAnsi="Arial"/>
          <w:sz w:val="19"/>
          <w:szCs w:val="19"/>
          <w:color w:val="010000"/>
        </w:rPr>
      </w:pPr>
      <w:r>
        <w:rPr>
          <w:rFonts w:ascii="Arial" w:cs="Arial" w:eastAsia="Arial" w:hAnsi="Arial"/>
          <w:sz w:val="19"/>
          <w:szCs w:val="19"/>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Committee deems reliable; or</w:t>
      </w:r>
    </w:p>
    <w:p>
      <w:pPr>
        <w:spacing w:after="0" w:line="160" w:lineRule="exact"/>
        <w:rPr>
          <w:rFonts w:ascii="Arial" w:cs="Arial" w:eastAsia="Arial" w:hAnsi="Arial"/>
          <w:sz w:val="19"/>
          <w:szCs w:val="19"/>
          <w:color w:val="010000"/>
        </w:rPr>
      </w:pPr>
    </w:p>
    <w:p>
      <w:pPr>
        <w:ind w:left="1860" w:hanging="616"/>
        <w:spacing w:after="0"/>
        <w:tabs>
          <w:tab w:leader="none" w:pos="1860" w:val="left"/>
        </w:tabs>
        <w:numPr>
          <w:ilvl w:val="0"/>
          <w:numId w:val="96"/>
        </w:numPr>
        <w:rPr>
          <w:rFonts w:ascii="Arial" w:cs="Arial" w:eastAsia="Arial" w:hAnsi="Arial"/>
          <w:sz w:val="19"/>
          <w:szCs w:val="19"/>
          <w:color w:val="010000"/>
        </w:rPr>
      </w:pPr>
      <w:r>
        <w:rPr>
          <w:rFonts w:ascii="Arial" w:cs="Arial" w:eastAsia="Arial" w:hAnsi="Arial"/>
          <w:sz w:val="19"/>
          <w:szCs w:val="19"/>
          <w:color w:val="auto"/>
        </w:rPr>
        <w:t>by the Board or the Committee in good faith.</w:t>
      </w:r>
    </w:p>
    <w:p>
      <w:pPr>
        <w:spacing w:after="0" w:line="176"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9"/>
          <w:szCs w:val="19"/>
          <w:b w:val="1"/>
          <w:bCs w:val="1"/>
          <w:color w:val="010000"/>
        </w:rPr>
        <w:t xml:space="preserve">27.17. </w:t>
      </w:r>
      <w:r>
        <w:rPr>
          <w:rFonts w:ascii="Arial" w:cs="Arial" w:eastAsia="Arial" w:hAnsi="Arial"/>
          <w:sz w:val="19"/>
          <w:szCs w:val="19"/>
          <w:color w:val="000000"/>
        </w:rPr>
        <w:t>“</w:t>
      </w:r>
      <w:r>
        <w:rPr>
          <w:rFonts w:ascii="Arial" w:cs="Arial" w:eastAsia="Arial" w:hAnsi="Arial"/>
          <w:sz w:val="19"/>
          <w:szCs w:val="19"/>
          <w:b w:val="1"/>
          <w:bCs w:val="1"/>
          <w:i w:val="1"/>
          <w:iCs w:val="1"/>
          <w:color w:val="000000"/>
        </w:rPr>
        <w:t>Insider</w:t>
      </w:r>
      <w:r>
        <w:rPr>
          <w:rFonts w:ascii="Arial" w:cs="Arial" w:eastAsia="Arial" w:hAnsi="Arial"/>
          <w:sz w:val="19"/>
          <w:szCs w:val="19"/>
          <w:color w:val="000000"/>
        </w:rPr>
        <w:t>” means an officer or director of the Company or any other person whose transactions in the Company’s common stock</w:t>
      </w:r>
      <w:r>
        <w:rPr>
          <w:rFonts w:ascii="Arial" w:cs="Arial" w:eastAsia="Arial" w:hAnsi="Arial"/>
          <w:sz w:val="19"/>
          <w:szCs w:val="19"/>
          <w:b w:val="1"/>
          <w:bCs w:val="1"/>
          <w:color w:val="010000"/>
        </w:rPr>
        <w:t xml:space="preserve"> </w:t>
      </w:r>
      <w:r>
        <w:rPr>
          <w:rFonts w:ascii="Arial" w:cs="Arial" w:eastAsia="Arial" w:hAnsi="Arial"/>
          <w:sz w:val="19"/>
          <w:szCs w:val="19"/>
          <w:color w:val="000000"/>
        </w:rPr>
        <w:t>are subject to Section 16 of the Exchange Act.</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27.18.  </w:t>
      </w:r>
      <w:r>
        <w:rPr>
          <w:rFonts w:ascii="Arial" w:cs="Arial" w:eastAsia="Arial" w:hAnsi="Arial"/>
          <w:sz w:val="19"/>
          <w:szCs w:val="19"/>
          <w:color w:val="000000"/>
        </w:rPr>
        <w:t>“</w:t>
      </w:r>
      <w:r>
        <w:rPr>
          <w:rFonts w:ascii="Arial" w:cs="Arial" w:eastAsia="Arial" w:hAnsi="Arial"/>
          <w:sz w:val="19"/>
          <w:szCs w:val="19"/>
          <w:b w:val="1"/>
          <w:bCs w:val="1"/>
          <w:i w:val="1"/>
          <w:iCs w:val="1"/>
          <w:color w:val="000000"/>
        </w:rPr>
        <w:t>IRS</w:t>
      </w:r>
      <w:r>
        <w:rPr>
          <w:rFonts w:ascii="Arial" w:cs="Arial" w:eastAsia="Arial" w:hAnsi="Arial"/>
          <w:sz w:val="19"/>
          <w:szCs w:val="19"/>
          <w:color w:val="000000"/>
        </w:rPr>
        <w:t>” means the United States Internal Revenue Service.</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27.19.  </w:t>
      </w:r>
      <w:r>
        <w:rPr>
          <w:rFonts w:ascii="Arial" w:cs="Arial" w:eastAsia="Arial" w:hAnsi="Arial"/>
          <w:sz w:val="19"/>
          <w:szCs w:val="19"/>
          <w:color w:val="000000"/>
        </w:rPr>
        <w:t>“</w:t>
      </w:r>
      <w:r>
        <w:rPr>
          <w:rFonts w:ascii="Arial" w:cs="Arial" w:eastAsia="Arial" w:hAnsi="Arial"/>
          <w:sz w:val="19"/>
          <w:szCs w:val="19"/>
          <w:b w:val="1"/>
          <w:bCs w:val="1"/>
          <w:i w:val="1"/>
          <w:iCs w:val="1"/>
          <w:color w:val="000000"/>
        </w:rPr>
        <w:t>Non-Employee Director</w:t>
      </w:r>
      <w:r>
        <w:rPr>
          <w:rFonts w:ascii="Arial" w:cs="Arial" w:eastAsia="Arial" w:hAnsi="Arial"/>
          <w:sz w:val="19"/>
          <w:szCs w:val="19"/>
          <w:color w:val="000000"/>
        </w:rPr>
        <w:t>” means a Director who is not an officer or Employee.</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27.20.  </w:t>
      </w:r>
      <w:r>
        <w:rPr>
          <w:rFonts w:ascii="Arial" w:cs="Arial" w:eastAsia="Arial" w:hAnsi="Arial"/>
          <w:sz w:val="19"/>
          <w:szCs w:val="19"/>
          <w:color w:val="000000"/>
        </w:rPr>
        <w:t>“</w:t>
      </w:r>
      <w:r>
        <w:rPr>
          <w:rFonts w:ascii="Arial" w:cs="Arial" w:eastAsia="Arial" w:hAnsi="Arial"/>
          <w:sz w:val="19"/>
          <w:szCs w:val="19"/>
          <w:b w:val="1"/>
          <w:bCs w:val="1"/>
          <w:i w:val="1"/>
          <w:iCs w:val="1"/>
          <w:color w:val="000000"/>
        </w:rPr>
        <w:t>Option</w:t>
      </w:r>
      <w:r>
        <w:rPr>
          <w:rFonts w:ascii="Arial" w:cs="Arial" w:eastAsia="Arial" w:hAnsi="Arial"/>
          <w:sz w:val="19"/>
          <w:szCs w:val="19"/>
          <w:color w:val="000000"/>
        </w:rPr>
        <w:t>” means an Award as defined in Section 5 and granted under the Plan.</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27.21.  </w:t>
      </w:r>
      <w:r>
        <w:rPr>
          <w:rFonts w:ascii="Arial" w:cs="Arial" w:eastAsia="Arial" w:hAnsi="Arial"/>
          <w:sz w:val="19"/>
          <w:szCs w:val="19"/>
          <w:color w:val="000000"/>
        </w:rPr>
        <w:t>“</w:t>
      </w:r>
      <w:r>
        <w:rPr>
          <w:rFonts w:ascii="Arial" w:cs="Arial" w:eastAsia="Arial" w:hAnsi="Arial"/>
          <w:sz w:val="19"/>
          <w:szCs w:val="19"/>
          <w:b w:val="1"/>
          <w:bCs w:val="1"/>
          <w:i w:val="1"/>
          <w:iCs w:val="1"/>
          <w:color w:val="000000"/>
        </w:rPr>
        <w:t>Participant</w:t>
      </w:r>
      <w:r>
        <w:rPr>
          <w:rFonts w:ascii="Arial" w:cs="Arial" w:eastAsia="Arial" w:hAnsi="Arial"/>
          <w:sz w:val="19"/>
          <w:szCs w:val="19"/>
          <w:color w:val="000000"/>
        </w:rPr>
        <w:t>” means a person who holds an Award under this Plan.</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27.22.  </w:t>
      </w:r>
      <w:r>
        <w:rPr>
          <w:rFonts w:ascii="Arial" w:cs="Arial" w:eastAsia="Arial" w:hAnsi="Arial"/>
          <w:sz w:val="19"/>
          <w:szCs w:val="19"/>
          <w:i w:val="1"/>
          <w:iCs w:val="1"/>
          <w:color w:val="000000"/>
        </w:rPr>
        <w:t>“</w:t>
      </w:r>
      <w:r>
        <w:rPr>
          <w:rFonts w:ascii="Arial" w:cs="Arial" w:eastAsia="Arial" w:hAnsi="Arial"/>
          <w:sz w:val="19"/>
          <w:szCs w:val="19"/>
          <w:b w:val="1"/>
          <w:bCs w:val="1"/>
          <w:i w:val="1"/>
          <w:iCs w:val="1"/>
          <w:color w:val="000000"/>
        </w:rPr>
        <w:t>Performance Award</w:t>
      </w:r>
      <w:r>
        <w:rPr>
          <w:rFonts w:ascii="Arial" w:cs="Arial" w:eastAsia="Arial" w:hAnsi="Arial"/>
          <w:sz w:val="19"/>
          <w:szCs w:val="19"/>
          <w:i w:val="1"/>
          <w:iCs w:val="1"/>
          <w:color w:val="000000"/>
        </w:rPr>
        <w:t>”</w:t>
      </w:r>
      <w:r>
        <w:rPr>
          <w:rFonts w:ascii="Arial" w:cs="Arial" w:eastAsia="Arial" w:hAnsi="Arial"/>
          <w:sz w:val="19"/>
          <w:szCs w:val="19"/>
          <w:b w:val="1"/>
          <w:bCs w:val="1"/>
          <w:color w:val="010000"/>
        </w:rPr>
        <w:t xml:space="preserve"> </w:t>
      </w:r>
      <w:r>
        <w:rPr>
          <w:rFonts w:ascii="Arial" w:cs="Arial" w:eastAsia="Arial" w:hAnsi="Arial"/>
          <w:sz w:val="19"/>
          <w:szCs w:val="19"/>
          <w:color w:val="000000"/>
        </w:rPr>
        <w:t>means an Award as defined in Section 10 and granted under the Plan.</w:t>
      </w:r>
    </w:p>
    <w:p>
      <w:pPr>
        <w:spacing w:after="0" w:line="182" w:lineRule="exact"/>
        <w:rPr>
          <w:sz w:val="20"/>
          <w:szCs w:val="20"/>
          <w:color w:val="auto"/>
        </w:rPr>
      </w:pPr>
    </w:p>
    <w:p>
      <w:pPr>
        <w:jc w:val="both"/>
        <w:ind w:firstLine="620"/>
        <w:spacing w:after="0" w:line="216" w:lineRule="auto"/>
        <w:rPr>
          <w:sz w:val="20"/>
          <w:szCs w:val="20"/>
          <w:color w:val="auto"/>
        </w:rPr>
      </w:pPr>
      <w:r>
        <w:rPr>
          <w:rFonts w:ascii="Arial" w:cs="Arial" w:eastAsia="Arial" w:hAnsi="Arial"/>
          <w:sz w:val="19"/>
          <w:szCs w:val="19"/>
          <w:b w:val="1"/>
          <w:bCs w:val="1"/>
          <w:color w:val="010000"/>
        </w:rPr>
        <w:t xml:space="preserve">27.23. </w:t>
      </w:r>
      <w:r>
        <w:rPr>
          <w:rFonts w:ascii="Arial" w:cs="Arial" w:eastAsia="Arial" w:hAnsi="Arial"/>
          <w:sz w:val="19"/>
          <w:szCs w:val="19"/>
          <w:i w:val="1"/>
          <w:iCs w:val="1"/>
          <w:color w:val="000000"/>
        </w:rPr>
        <w:t>“</w:t>
      </w:r>
      <w:r>
        <w:rPr>
          <w:rFonts w:ascii="Arial" w:cs="Arial" w:eastAsia="Arial" w:hAnsi="Arial"/>
          <w:sz w:val="19"/>
          <w:szCs w:val="19"/>
          <w:b w:val="1"/>
          <w:bCs w:val="1"/>
          <w:i w:val="1"/>
          <w:iCs w:val="1"/>
          <w:color w:val="000000"/>
        </w:rPr>
        <w:t>Performance Factors</w:t>
      </w:r>
      <w:r>
        <w:rPr>
          <w:rFonts w:ascii="Arial" w:cs="Arial" w:eastAsia="Arial" w:hAnsi="Arial"/>
          <w:sz w:val="19"/>
          <w:szCs w:val="19"/>
          <w:i w:val="1"/>
          <w:iCs w:val="1"/>
          <w:color w:val="000000"/>
        </w:rPr>
        <w:t>”</w:t>
      </w:r>
      <w:r>
        <w:rPr>
          <w:rFonts w:ascii="Arial" w:cs="Arial" w:eastAsia="Arial" w:hAnsi="Arial"/>
          <w:sz w:val="19"/>
          <w:szCs w:val="19"/>
          <w:b w:val="1"/>
          <w:bCs w:val="1"/>
          <w:color w:val="010000"/>
        </w:rPr>
        <w:t xml:space="preserve"> </w:t>
      </w:r>
      <w:r>
        <w:rPr>
          <w:rFonts w:ascii="Arial" w:cs="Arial" w:eastAsia="Arial" w:hAnsi="Arial"/>
          <w:sz w:val="19"/>
          <w:szCs w:val="19"/>
          <w:color w:val="000000"/>
        </w:rPr>
        <w:t>means any of the factors selected by the Committee and specified in an Award Agreement, from among</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following objective or subjective measures, either individually, alternatively or in any combination applied to the Participant, the Company, any business unit or Subsidiary, either individually, alternatively, or in any combination, on a GAAP or non-GAAP basis, and measured, to the extent applicable on an absolute basis or relative to a pre-established target, to</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determine whether the performance goals established by the Committee with respect to applicable Awards have been satisfied:</w:t>
      </w:r>
    </w:p>
    <w:p>
      <w:pPr>
        <w:spacing w:after="0" w:line="169" w:lineRule="exact"/>
        <w:rPr>
          <w:sz w:val="20"/>
          <w:szCs w:val="20"/>
          <w:color w:val="auto"/>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Profit Before Tax;</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Sales;</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Expenses;</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Billings;</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Revenue;</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Net revenue;</w:t>
      </w:r>
    </w:p>
    <w:p>
      <w:pPr>
        <w:spacing w:after="0" w:line="169" w:lineRule="exact"/>
        <w:rPr>
          <w:rFonts w:ascii="Arial" w:cs="Arial" w:eastAsia="Arial" w:hAnsi="Arial"/>
          <w:sz w:val="19"/>
          <w:szCs w:val="19"/>
          <w:color w:val="010000"/>
        </w:rPr>
      </w:pPr>
    </w:p>
    <w:p>
      <w:pPr>
        <w:ind w:left="1240" w:firstLine="4"/>
        <w:spacing w:after="0" w:line="231" w:lineRule="auto"/>
        <w:tabs>
          <w:tab w:leader="none" w:pos="1848"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Earnings (which may include earnings before interest and taxes, earnings before taxes, net earnings, stock-based compensation expenses, depreciation and amortization);</w:t>
      </w:r>
    </w:p>
    <w:p>
      <w:pPr>
        <w:spacing w:after="0" w:line="147"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Operating income;</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Operating margin;</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Operating profit;</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Controllable operating profit, or net operating profit;</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Net Profit;</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Gross margin;</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Operating expenses or operating expenses as a percentage of revenue;</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Net income;</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Earnings per share;</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Total stockholder return;</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Market share;</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Return on assets or net assets;</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The Company’s stock price;</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Growth in stockholder value relative to a pre-determined index;</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Return on equity;</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Return on invested capital;</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Cash Flow (including free cash flow or operating cash flows);</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Balance of cash, cash equivalents and marketable securities;</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Cash conversion cycle;</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18" w:lineRule="exact"/>
        <w:rPr>
          <w:sz w:val="20"/>
          <w:szCs w:val="20"/>
          <w:color w:val="auto"/>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Economic value added;</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Individual confidential business objectives;</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Contract awards or backlog;</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Overhead or other expense reduction;</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Credit rating;</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Completion of an identified special project;</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Completion of a joint venture or other corporate transaction;</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Strategic plan development and implementation;</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Succession plan development and implementation;</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Improvement in workforce diversity;</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Employee satisfaction;</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Employee retention;</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Customer indicators and/or satisfaction;</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New product invention or innovation;</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Research and development expenses;</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Attainment of research and development milestones;</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Improvements in productivity;</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Bookings;</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Working-capital targets and changes in working capital;</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Attainment of operating goals and employee metrics; and</w:t>
      </w:r>
    </w:p>
    <w:p>
      <w:pPr>
        <w:spacing w:after="0" w:line="169" w:lineRule="exact"/>
        <w:rPr>
          <w:rFonts w:ascii="Arial" w:cs="Arial" w:eastAsia="Arial" w:hAnsi="Arial"/>
          <w:sz w:val="19"/>
          <w:szCs w:val="19"/>
          <w:color w:val="010000"/>
        </w:rPr>
      </w:pPr>
    </w:p>
    <w:p>
      <w:pPr>
        <w:ind w:left="1860" w:hanging="616"/>
        <w:spacing w:after="0"/>
        <w:tabs>
          <w:tab w:leader="none" w:pos="186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Any other metric as determined by the Committee.</w:t>
      </w:r>
    </w:p>
    <w:p>
      <w:pPr>
        <w:spacing w:after="0" w:line="169" w:lineRule="exact"/>
        <w:rPr>
          <w:sz w:val="20"/>
          <w:szCs w:val="20"/>
          <w:color w:val="auto"/>
        </w:rPr>
      </w:pPr>
    </w:p>
    <w:p>
      <w:pPr>
        <w:jc w:val="both"/>
        <w:ind w:firstLine="620"/>
        <w:spacing w:after="0" w:line="215" w:lineRule="auto"/>
        <w:rPr>
          <w:sz w:val="20"/>
          <w:szCs w:val="20"/>
          <w:color w:val="auto"/>
        </w:rPr>
      </w:pPr>
      <w:r>
        <w:rPr>
          <w:rFonts w:ascii="Arial" w:cs="Arial" w:eastAsia="Arial" w:hAnsi="Arial"/>
          <w:sz w:val="19"/>
          <w:szCs w:val="19"/>
          <w:color w:val="auto"/>
        </w:rPr>
        <w:t>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 related activities or changes in applicable accounting rules. It is within the sole discretion of the Committee to make or not make any such equitable adjustments.</w:t>
      </w:r>
    </w:p>
    <w:p>
      <w:pPr>
        <w:spacing w:after="0" w:line="141" w:lineRule="exact"/>
        <w:rPr>
          <w:sz w:val="20"/>
          <w:szCs w:val="20"/>
          <w:color w:val="auto"/>
        </w:rPr>
      </w:pPr>
    </w:p>
    <w:p>
      <w:pPr>
        <w:jc w:val="both"/>
        <w:ind w:firstLine="620"/>
        <w:spacing w:after="0" w:line="232" w:lineRule="auto"/>
        <w:rPr>
          <w:sz w:val="20"/>
          <w:szCs w:val="20"/>
          <w:color w:val="auto"/>
        </w:rPr>
      </w:pPr>
      <w:r>
        <w:rPr>
          <w:rFonts w:ascii="Arial" w:cs="Arial" w:eastAsia="Arial" w:hAnsi="Arial"/>
          <w:sz w:val="19"/>
          <w:szCs w:val="19"/>
          <w:b w:val="1"/>
          <w:bCs w:val="1"/>
          <w:color w:val="010000"/>
        </w:rPr>
        <w:t xml:space="preserve">27.24. </w:t>
      </w:r>
      <w:r>
        <w:rPr>
          <w:rFonts w:ascii="Arial" w:cs="Arial" w:eastAsia="Arial" w:hAnsi="Arial"/>
          <w:sz w:val="19"/>
          <w:szCs w:val="19"/>
          <w:color w:val="000000"/>
        </w:rPr>
        <w:t>“</w:t>
      </w:r>
      <w:r>
        <w:rPr>
          <w:rFonts w:ascii="Arial" w:cs="Arial" w:eastAsia="Arial" w:hAnsi="Arial"/>
          <w:sz w:val="19"/>
          <w:szCs w:val="19"/>
          <w:b w:val="1"/>
          <w:bCs w:val="1"/>
          <w:i w:val="1"/>
          <w:iCs w:val="1"/>
          <w:color w:val="000000"/>
        </w:rPr>
        <w:t>Performance Period</w:t>
      </w:r>
      <w:r>
        <w:rPr>
          <w:rFonts w:ascii="Arial" w:cs="Arial" w:eastAsia="Arial" w:hAnsi="Arial"/>
          <w:sz w:val="19"/>
          <w:szCs w:val="19"/>
          <w:color w:val="000000"/>
        </w:rPr>
        <w:t>” means one or more periods of time, which may be of varying and overlapping durations, as the Committee</w:t>
      </w:r>
      <w:r>
        <w:rPr>
          <w:rFonts w:ascii="Arial" w:cs="Arial" w:eastAsia="Arial" w:hAnsi="Arial"/>
          <w:sz w:val="19"/>
          <w:szCs w:val="19"/>
          <w:b w:val="1"/>
          <w:bCs w:val="1"/>
          <w:color w:val="010000"/>
        </w:rPr>
        <w:t xml:space="preserve"> </w:t>
      </w:r>
      <w:r>
        <w:rPr>
          <w:rFonts w:ascii="Arial" w:cs="Arial" w:eastAsia="Arial" w:hAnsi="Arial"/>
          <w:sz w:val="19"/>
          <w:szCs w:val="19"/>
          <w:color w:val="000000"/>
        </w:rPr>
        <w:t>may select, over which the attainment of one or more Performance Factors will be measured for the purpose of determining a Participant’s right to, and the payment of, a Performance Award.</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27.25.  </w:t>
      </w:r>
      <w:r>
        <w:rPr>
          <w:rFonts w:ascii="Arial" w:cs="Arial" w:eastAsia="Arial" w:hAnsi="Arial"/>
          <w:sz w:val="19"/>
          <w:szCs w:val="19"/>
          <w:color w:val="000000"/>
        </w:rPr>
        <w:t>“</w:t>
      </w:r>
      <w:r>
        <w:rPr>
          <w:rFonts w:ascii="Arial" w:cs="Arial" w:eastAsia="Arial" w:hAnsi="Arial"/>
          <w:sz w:val="19"/>
          <w:szCs w:val="19"/>
          <w:b w:val="1"/>
          <w:bCs w:val="1"/>
          <w:i w:val="1"/>
          <w:iCs w:val="1"/>
          <w:color w:val="000000"/>
        </w:rPr>
        <w:t>Performance Share</w:t>
      </w:r>
      <w:r>
        <w:rPr>
          <w:rFonts w:ascii="Arial" w:cs="Arial" w:eastAsia="Arial" w:hAnsi="Arial"/>
          <w:sz w:val="19"/>
          <w:szCs w:val="19"/>
          <w:color w:val="000000"/>
        </w:rPr>
        <w:t>” means an Award as defined in Section 10 and granted under the Plan.</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12" w:lineRule="exact"/>
        <w:rPr>
          <w:sz w:val="20"/>
          <w:szCs w:val="20"/>
          <w:color w:val="auto"/>
        </w:rPr>
      </w:pPr>
    </w:p>
    <w:p>
      <w:pPr>
        <w:jc w:val="both"/>
        <w:ind w:firstLine="620"/>
        <w:spacing w:after="0" w:line="237" w:lineRule="auto"/>
        <w:rPr>
          <w:sz w:val="20"/>
          <w:szCs w:val="20"/>
          <w:color w:val="auto"/>
        </w:rPr>
      </w:pPr>
      <w:r>
        <w:rPr>
          <w:rFonts w:ascii="Arial" w:cs="Arial" w:eastAsia="Arial" w:hAnsi="Arial"/>
          <w:sz w:val="18"/>
          <w:szCs w:val="18"/>
          <w:b w:val="1"/>
          <w:bCs w:val="1"/>
          <w:color w:val="010000"/>
        </w:rPr>
        <w:t xml:space="preserve">27.26. </w:t>
      </w:r>
      <w:r>
        <w:rPr>
          <w:rFonts w:ascii="Arial" w:cs="Arial" w:eastAsia="Arial" w:hAnsi="Arial"/>
          <w:sz w:val="18"/>
          <w:szCs w:val="18"/>
          <w:color w:val="000000"/>
        </w:rPr>
        <w:t>“</w:t>
      </w:r>
      <w:r>
        <w:rPr>
          <w:rFonts w:ascii="Arial" w:cs="Arial" w:eastAsia="Arial" w:hAnsi="Arial"/>
          <w:sz w:val="18"/>
          <w:szCs w:val="18"/>
          <w:b w:val="1"/>
          <w:bCs w:val="1"/>
          <w:i w:val="1"/>
          <w:iCs w:val="1"/>
          <w:color w:val="000000"/>
        </w:rPr>
        <w:t>Permitted Transferee</w:t>
      </w:r>
      <w:r>
        <w:rPr>
          <w:rFonts w:ascii="Arial" w:cs="Arial" w:eastAsia="Arial" w:hAnsi="Arial"/>
          <w:sz w:val="18"/>
          <w:szCs w:val="18"/>
          <w:color w:val="000000"/>
        </w:rPr>
        <w:t>” means any child, stepchild, grandchild, parent, stepparent, grandparent, spouse, former spouse, sibling,</w:t>
      </w:r>
      <w:r>
        <w:rPr>
          <w:rFonts w:ascii="Arial" w:cs="Arial" w:eastAsia="Arial" w:hAnsi="Arial"/>
          <w:sz w:val="18"/>
          <w:szCs w:val="18"/>
          <w:b w:val="1"/>
          <w:bCs w:val="1"/>
          <w:color w:val="010000"/>
        </w:rPr>
        <w:t xml:space="preserve"> </w:t>
      </w:r>
      <w:r>
        <w:rPr>
          <w:rFonts w:ascii="Arial" w:cs="Arial" w:eastAsia="Arial" w:hAnsi="Arial"/>
          <w:sz w:val="18"/>
          <w:szCs w:val="18"/>
          <w:color w:val="000000"/>
        </w:rPr>
        <w:t>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27.27.  </w:t>
      </w:r>
      <w:r>
        <w:rPr>
          <w:rFonts w:ascii="Arial" w:cs="Arial" w:eastAsia="Arial" w:hAnsi="Arial"/>
          <w:sz w:val="19"/>
          <w:szCs w:val="19"/>
          <w:i w:val="1"/>
          <w:iCs w:val="1"/>
          <w:color w:val="000000"/>
        </w:rPr>
        <w:t>“</w:t>
      </w:r>
      <w:r>
        <w:rPr>
          <w:rFonts w:ascii="Arial" w:cs="Arial" w:eastAsia="Arial" w:hAnsi="Arial"/>
          <w:sz w:val="19"/>
          <w:szCs w:val="19"/>
          <w:b w:val="1"/>
          <w:bCs w:val="1"/>
          <w:i w:val="1"/>
          <w:iCs w:val="1"/>
          <w:color w:val="000000"/>
        </w:rPr>
        <w:t>Performance Unit</w:t>
      </w:r>
      <w:r>
        <w:rPr>
          <w:rFonts w:ascii="Arial" w:cs="Arial" w:eastAsia="Arial" w:hAnsi="Arial"/>
          <w:sz w:val="19"/>
          <w:szCs w:val="19"/>
          <w:i w:val="1"/>
          <w:iCs w:val="1"/>
          <w:color w:val="000000"/>
        </w:rPr>
        <w:t>”</w:t>
      </w:r>
      <w:r>
        <w:rPr>
          <w:rFonts w:ascii="Arial" w:cs="Arial" w:eastAsia="Arial" w:hAnsi="Arial"/>
          <w:sz w:val="19"/>
          <w:szCs w:val="19"/>
          <w:b w:val="1"/>
          <w:bCs w:val="1"/>
          <w:color w:val="010000"/>
        </w:rPr>
        <w:t xml:space="preserve"> </w:t>
      </w:r>
      <w:r>
        <w:rPr>
          <w:rFonts w:ascii="Arial" w:cs="Arial" w:eastAsia="Arial" w:hAnsi="Arial"/>
          <w:sz w:val="19"/>
          <w:szCs w:val="19"/>
          <w:color w:val="000000"/>
        </w:rPr>
        <w:t>means an Award as defined in Section 10 and granted under the Plan.</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27.28.  </w:t>
      </w:r>
      <w:r>
        <w:rPr>
          <w:rFonts w:ascii="Arial" w:cs="Arial" w:eastAsia="Arial" w:hAnsi="Arial"/>
          <w:sz w:val="19"/>
          <w:szCs w:val="19"/>
          <w:color w:val="000000"/>
        </w:rPr>
        <w:t>“</w:t>
      </w:r>
      <w:r>
        <w:rPr>
          <w:rFonts w:ascii="Arial" w:cs="Arial" w:eastAsia="Arial" w:hAnsi="Arial"/>
          <w:sz w:val="19"/>
          <w:szCs w:val="19"/>
          <w:b w:val="1"/>
          <w:bCs w:val="1"/>
          <w:i w:val="1"/>
          <w:iCs w:val="1"/>
          <w:color w:val="000000"/>
        </w:rPr>
        <w:t>Plan</w:t>
      </w:r>
      <w:r>
        <w:rPr>
          <w:rFonts w:ascii="Arial" w:cs="Arial" w:eastAsia="Arial" w:hAnsi="Arial"/>
          <w:sz w:val="19"/>
          <w:szCs w:val="19"/>
          <w:color w:val="000000"/>
        </w:rPr>
        <w:t>” means this Arcutis Biotherapeutics, Inc. 2022 Employment Inducement Incentive Plan.</w:t>
      </w:r>
    </w:p>
    <w:p>
      <w:pPr>
        <w:spacing w:after="0" w:line="182"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9"/>
          <w:szCs w:val="19"/>
          <w:b w:val="1"/>
          <w:bCs w:val="1"/>
          <w:color w:val="010000"/>
        </w:rPr>
        <w:t xml:space="preserve">27.29. </w:t>
      </w:r>
      <w:r>
        <w:rPr>
          <w:rFonts w:ascii="Arial" w:cs="Arial" w:eastAsia="Arial" w:hAnsi="Arial"/>
          <w:sz w:val="19"/>
          <w:szCs w:val="19"/>
          <w:color w:val="000000"/>
        </w:rPr>
        <w:t>“</w:t>
      </w:r>
      <w:r>
        <w:rPr>
          <w:rFonts w:ascii="Arial" w:cs="Arial" w:eastAsia="Arial" w:hAnsi="Arial"/>
          <w:sz w:val="19"/>
          <w:szCs w:val="19"/>
          <w:b w:val="1"/>
          <w:bCs w:val="1"/>
          <w:i w:val="1"/>
          <w:iCs w:val="1"/>
          <w:color w:val="000000"/>
        </w:rPr>
        <w:t>Purchase Price</w:t>
      </w:r>
      <w:r>
        <w:rPr>
          <w:rFonts w:ascii="Arial" w:cs="Arial" w:eastAsia="Arial" w:hAnsi="Arial"/>
          <w:sz w:val="19"/>
          <w:szCs w:val="19"/>
          <w:color w:val="000000"/>
        </w:rPr>
        <w:t>” means the price to be paid for Shares acquired under the Plan, other than Shares acquired upon exercise of an</w:t>
      </w:r>
      <w:r>
        <w:rPr>
          <w:rFonts w:ascii="Arial" w:cs="Arial" w:eastAsia="Arial" w:hAnsi="Arial"/>
          <w:sz w:val="19"/>
          <w:szCs w:val="19"/>
          <w:b w:val="1"/>
          <w:bCs w:val="1"/>
          <w:color w:val="010000"/>
        </w:rPr>
        <w:t xml:space="preserve"> </w:t>
      </w:r>
      <w:r>
        <w:rPr>
          <w:rFonts w:ascii="Arial" w:cs="Arial" w:eastAsia="Arial" w:hAnsi="Arial"/>
          <w:sz w:val="19"/>
          <w:szCs w:val="19"/>
          <w:color w:val="000000"/>
        </w:rPr>
        <w:t>Option or SAR.</w:t>
      </w:r>
    </w:p>
    <w:p>
      <w:pPr>
        <w:spacing w:after="0" w:line="152"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9"/>
          <w:szCs w:val="19"/>
          <w:b w:val="1"/>
          <w:bCs w:val="1"/>
          <w:color w:val="010000"/>
        </w:rPr>
        <w:t xml:space="preserve">27.30. </w:t>
      </w:r>
      <w:r>
        <w:rPr>
          <w:rFonts w:ascii="Arial" w:cs="Arial" w:eastAsia="Arial" w:hAnsi="Arial"/>
          <w:sz w:val="19"/>
          <w:szCs w:val="19"/>
          <w:color w:val="000000"/>
        </w:rPr>
        <w:t>“</w:t>
      </w:r>
      <w:r>
        <w:rPr>
          <w:rFonts w:ascii="Arial" w:cs="Arial" w:eastAsia="Arial" w:hAnsi="Arial"/>
          <w:sz w:val="19"/>
          <w:szCs w:val="19"/>
          <w:b w:val="1"/>
          <w:bCs w:val="1"/>
          <w:i w:val="1"/>
          <w:iCs w:val="1"/>
          <w:color w:val="000000"/>
        </w:rPr>
        <w:t>Restricted Stock Award</w:t>
      </w:r>
      <w:r>
        <w:rPr>
          <w:rFonts w:ascii="Arial" w:cs="Arial" w:eastAsia="Arial" w:hAnsi="Arial"/>
          <w:sz w:val="19"/>
          <w:szCs w:val="19"/>
          <w:color w:val="000000"/>
        </w:rPr>
        <w:t>” means an Award as defined in Section 6 and granted under the Plan (or issued pursuant to the early</w:t>
      </w:r>
      <w:r>
        <w:rPr>
          <w:rFonts w:ascii="Arial" w:cs="Arial" w:eastAsia="Arial" w:hAnsi="Arial"/>
          <w:sz w:val="19"/>
          <w:szCs w:val="19"/>
          <w:b w:val="1"/>
          <w:bCs w:val="1"/>
          <w:color w:val="010000"/>
        </w:rPr>
        <w:t xml:space="preserve"> </w:t>
      </w:r>
      <w:r>
        <w:rPr>
          <w:rFonts w:ascii="Arial" w:cs="Arial" w:eastAsia="Arial" w:hAnsi="Arial"/>
          <w:sz w:val="19"/>
          <w:szCs w:val="19"/>
          <w:color w:val="000000"/>
        </w:rPr>
        <w:t>exercise of an Option).</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27.31.  </w:t>
      </w:r>
      <w:r>
        <w:rPr>
          <w:rFonts w:ascii="Arial" w:cs="Arial" w:eastAsia="Arial" w:hAnsi="Arial"/>
          <w:sz w:val="19"/>
          <w:szCs w:val="19"/>
          <w:color w:val="000000"/>
        </w:rPr>
        <w:t>“</w:t>
      </w:r>
      <w:r>
        <w:rPr>
          <w:rFonts w:ascii="Arial" w:cs="Arial" w:eastAsia="Arial" w:hAnsi="Arial"/>
          <w:sz w:val="19"/>
          <w:szCs w:val="19"/>
          <w:b w:val="1"/>
          <w:bCs w:val="1"/>
          <w:i w:val="1"/>
          <w:iCs w:val="1"/>
          <w:color w:val="000000"/>
        </w:rPr>
        <w:t>Restricted Stock Unit</w:t>
      </w:r>
      <w:r>
        <w:rPr>
          <w:rFonts w:ascii="Arial" w:cs="Arial" w:eastAsia="Arial" w:hAnsi="Arial"/>
          <w:sz w:val="19"/>
          <w:szCs w:val="19"/>
          <w:color w:val="000000"/>
        </w:rPr>
        <w:t>” means an Award as defined in Section 9 and granted under the Plan.</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27.32.  </w:t>
      </w:r>
      <w:r>
        <w:rPr>
          <w:rFonts w:ascii="Arial" w:cs="Arial" w:eastAsia="Arial" w:hAnsi="Arial"/>
          <w:sz w:val="19"/>
          <w:szCs w:val="19"/>
          <w:color w:val="000000"/>
        </w:rPr>
        <w:t>“</w:t>
      </w:r>
      <w:r>
        <w:rPr>
          <w:rFonts w:ascii="Arial" w:cs="Arial" w:eastAsia="Arial" w:hAnsi="Arial"/>
          <w:sz w:val="19"/>
          <w:szCs w:val="19"/>
          <w:b w:val="1"/>
          <w:bCs w:val="1"/>
          <w:i w:val="1"/>
          <w:iCs w:val="1"/>
          <w:color w:val="000000"/>
        </w:rPr>
        <w:t>SEC</w:t>
      </w:r>
      <w:r>
        <w:rPr>
          <w:rFonts w:ascii="Arial" w:cs="Arial" w:eastAsia="Arial" w:hAnsi="Arial"/>
          <w:sz w:val="19"/>
          <w:szCs w:val="19"/>
          <w:color w:val="000000"/>
        </w:rPr>
        <w:t>” means the United States Securities and Exchange Commission.</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27.33.  </w:t>
      </w:r>
      <w:r>
        <w:rPr>
          <w:rFonts w:ascii="Arial" w:cs="Arial" w:eastAsia="Arial" w:hAnsi="Arial"/>
          <w:sz w:val="19"/>
          <w:szCs w:val="19"/>
          <w:color w:val="000000"/>
        </w:rPr>
        <w:t>“</w:t>
      </w:r>
      <w:r>
        <w:rPr>
          <w:rFonts w:ascii="Arial" w:cs="Arial" w:eastAsia="Arial" w:hAnsi="Arial"/>
          <w:sz w:val="19"/>
          <w:szCs w:val="19"/>
          <w:b w:val="1"/>
          <w:bCs w:val="1"/>
          <w:i w:val="1"/>
          <w:iCs w:val="1"/>
          <w:color w:val="000000"/>
        </w:rPr>
        <w:t>Securities Act</w:t>
      </w:r>
      <w:r>
        <w:rPr>
          <w:rFonts w:ascii="Arial" w:cs="Arial" w:eastAsia="Arial" w:hAnsi="Arial"/>
          <w:sz w:val="19"/>
          <w:szCs w:val="19"/>
          <w:color w:val="000000"/>
        </w:rPr>
        <w:t>” means the United States Securities Act of 1933, as amended.</w:t>
      </w:r>
    </w:p>
    <w:p>
      <w:pPr>
        <w:spacing w:after="0" w:line="182" w:lineRule="exact"/>
        <w:rPr>
          <w:sz w:val="20"/>
          <w:szCs w:val="20"/>
          <w:color w:val="auto"/>
        </w:rPr>
      </w:pPr>
    </w:p>
    <w:p>
      <w:pPr>
        <w:jc w:val="both"/>
        <w:ind w:firstLine="620"/>
        <w:spacing w:after="0" w:line="227" w:lineRule="auto"/>
        <w:rPr>
          <w:sz w:val="20"/>
          <w:szCs w:val="20"/>
          <w:color w:val="auto"/>
        </w:rPr>
      </w:pPr>
      <w:r>
        <w:rPr>
          <w:rFonts w:ascii="Arial" w:cs="Arial" w:eastAsia="Arial" w:hAnsi="Arial"/>
          <w:sz w:val="18"/>
          <w:szCs w:val="18"/>
          <w:b w:val="1"/>
          <w:bCs w:val="1"/>
          <w:color w:val="010000"/>
        </w:rPr>
        <w:t xml:space="preserve">27.34. </w:t>
      </w:r>
      <w:r>
        <w:rPr>
          <w:rFonts w:ascii="Arial" w:cs="Arial" w:eastAsia="Arial" w:hAnsi="Arial"/>
          <w:sz w:val="18"/>
          <w:szCs w:val="18"/>
          <w:color w:val="000000"/>
        </w:rPr>
        <w:t>“</w:t>
      </w:r>
      <w:r>
        <w:rPr>
          <w:rFonts w:ascii="Arial" w:cs="Arial" w:eastAsia="Arial" w:hAnsi="Arial"/>
          <w:sz w:val="18"/>
          <w:szCs w:val="18"/>
          <w:b w:val="1"/>
          <w:bCs w:val="1"/>
          <w:i w:val="1"/>
          <w:iCs w:val="1"/>
          <w:color w:val="000000"/>
        </w:rPr>
        <w:t>Service</w:t>
      </w:r>
      <w:r>
        <w:rPr>
          <w:rFonts w:ascii="Arial" w:cs="Arial" w:eastAsia="Arial" w:hAnsi="Arial"/>
          <w:sz w:val="18"/>
          <w:szCs w:val="18"/>
          <w:color w:val="000000"/>
        </w:rPr>
        <w:t>” means service as an Employee to the Company or a Subsidiary, subject to such further limitations as may be set forth in</w:t>
      </w:r>
      <w:r>
        <w:rPr>
          <w:rFonts w:ascii="Arial" w:cs="Arial" w:eastAsia="Arial" w:hAnsi="Arial"/>
          <w:sz w:val="18"/>
          <w:szCs w:val="18"/>
          <w:b w:val="1"/>
          <w:bCs w:val="1"/>
          <w:color w:val="010000"/>
        </w:rPr>
        <w:t xml:space="preserve"> </w:t>
      </w:r>
      <w:r>
        <w:rPr>
          <w:rFonts w:ascii="Arial" w:cs="Arial" w:eastAsia="Arial" w:hAnsi="Arial"/>
          <w:sz w:val="18"/>
          <w:szCs w:val="18"/>
          <w:color w:val="000000"/>
        </w:rPr>
        <w:t xml:space="preserve">the Plan or the applicable Award Agreement. An Employee will not be deemed to have ceased to provide Service in the case of (a) sick leave, (b) military leave, or (c) any other leave of absence approved by the Company;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such leave is for a period of not more than 90 days unless reemployment upon the expiration of such leave is guaranteed by contract or statute. Notwithstanding anything to the contrary, an Employee will not be deemed to have ceased to provide Service if a formal policy adopted from time to time by the Company and issued and promulgated to employees in writing provides otherwise. In the case of any Employee on an approved leave of absence or a reduction in hours worked (for illustrative purposes only, a change in schedule from that of full-time to part-time), the Committee may make such provisions respecting suspension or modification of vesting of the Award while on leave from the employ of the Company or a Subsidiary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will continue for the longest period that vesting continues under any other statutory or Company approved leave of absence and, upon a Participant’s returning from military leave, he or she will be given vesting credit with respect to Awards to the same extent as would have applied had the Participant continued to provide Service to the Company throughout the leave on the same terms as he or she was providing Service immediately prior to such leave. An Employee will have terminated employment as of the date he or she ceases to provide Service (regardless of whether the termination is in breach of local employment laws or is later found to be invalid) and employment will not be extended by any notice period or garden leave mandated by local law,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a change in status from an Employee to a consultant or a Non-Employee Director (or vice versa) will not terminate a Participant’s Service,</w:t>
      </w:r>
      <w:r>
        <w:rPr>
          <w:rFonts w:ascii="Arial" w:cs="Arial" w:eastAsia="Arial" w:hAnsi="Arial"/>
          <w:sz w:val="18"/>
          <w:szCs w:val="18"/>
          <w:i w:val="1"/>
          <w:iCs w:val="1"/>
          <w:color w:val="000000"/>
        </w:rPr>
        <w:t xml:space="preserve"> </w:t>
      </w:r>
      <w:r>
        <w:rPr>
          <w:rFonts w:ascii="Arial" w:cs="Arial" w:eastAsia="Arial" w:hAnsi="Arial"/>
          <w:sz w:val="18"/>
          <w:szCs w:val="18"/>
          <w:color w:val="000000"/>
        </w:rPr>
        <w:t>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12"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27.35.  </w:t>
      </w:r>
      <w:r>
        <w:rPr>
          <w:rFonts w:ascii="Arial" w:cs="Arial" w:eastAsia="Arial" w:hAnsi="Arial"/>
          <w:sz w:val="19"/>
          <w:szCs w:val="19"/>
          <w:color w:val="000000"/>
        </w:rPr>
        <w:t>“</w:t>
      </w:r>
      <w:r>
        <w:rPr>
          <w:rFonts w:ascii="Arial" w:cs="Arial" w:eastAsia="Arial" w:hAnsi="Arial"/>
          <w:sz w:val="19"/>
          <w:szCs w:val="19"/>
          <w:b w:val="1"/>
          <w:bCs w:val="1"/>
          <w:i w:val="1"/>
          <w:iCs w:val="1"/>
          <w:color w:val="000000"/>
        </w:rPr>
        <w:t>Shares</w:t>
      </w:r>
      <w:r>
        <w:rPr>
          <w:rFonts w:ascii="Arial" w:cs="Arial" w:eastAsia="Arial" w:hAnsi="Arial"/>
          <w:sz w:val="19"/>
          <w:szCs w:val="19"/>
          <w:color w:val="000000"/>
        </w:rPr>
        <w:t>” means shares of the common stock of the Company.</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27.36.  </w:t>
      </w:r>
      <w:r>
        <w:rPr>
          <w:rFonts w:ascii="Arial" w:cs="Arial" w:eastAsia="Arial" w:hAnsi="Arial"/>
          <w:sz w:val="19"/>
          <w:szCs w:val="19"/>
          <w:color w:val="000000"/>
        </w:rPr>
        <w:t>“</w:t>
      </w:r>
      <w:r>
        <w:rPr>
          <w:rFonts w:ascii="Arial" w:cs="Arial" w:eastAsia="Arial" w:hAnsi="Arial"/>
          <w:sz w:val="19"/>
          <w:szCs w:val="19"/>
          <w:b w:val="1"/>
          <w:bCs w:val="1"/>
          <w:i w:val="1"/>
          <w:iCs w:val="1"/>
          <w:color w:val="000000"/>
        </w:rPr>
        <w:t>Stock Appreciation Right</w:t>
      </w:r>
      <w:r>
        <w:rPr>
          <w:rFonts w:ascii="Arial" w:cs="Arial" w:eastAsia="Arial" w:hAnsi="Arial"/>
          <w:sz w:val="19"/>
          <w:szCs w:val="19"/>
          <w:color w:val="000000"/>
        </w:rPr>
        <w:t>” means an Award as defined in Section 8 and granted under the Plan.</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27.37.  </w:t>
      </w:r>
      <w:r>
        <w:rPr>
          <w:rFonts w:ascii="Arial" w:cs="Arial" w:eastAsia="Arial" w:hAnsi="Arial"/>
          <w:sz w:val="19"/>
          <w:szCs w:val="19"/>
          <w:color w:val="000000"/>
        </w:rPr>
        <w:t>“</w:t>
      </w:r>
      <w:r>
        <w:rPr>
          <w:rFonts w:ascii="Arial" w:cs="Arial" w:eastAsia="Arial" w:hAnsi="Arial"/>
          <w:sz w:val="19"/>
          <w:szCs w:val="19"/>
          <w:b w:val="1"/>
          <w:bCs w:val="1"/>
          <w:i w:val="1"/>
          <w:iCs w:val="1"/>
          <w:color w:val="000000"/>
        </w:rPr>
        <w:t>Stock Bonus</w:t>
      </w:r>
      <w:r>
        <w:rPr>
          <w:rFonts w:ascii="Arial" w:cs="Arial" w:eastAsia="Arial" w:hAnsi="Arial"/>
          <w:sz w:val="19"/>
          <w:szCs w:val="19"/>
          <w:color w:val="000000"/>
        </w:rPr>
        <w:t>” means an Award granted pursuant to Section 7 of the Plan.</w:t>
      </w:r>
    </w:p>
    <w:p>
      <w:pPr>
        <w:spacing w:after="0" w:line="182" w:lineRule="exact"/>
        <w:rPr>
          <w:sz w:val="20"/>
          <w:szCs w:val="20"/>
          <w:color w:val="auto"/>
        </w:rPr>
      </w:pPr>
    </w:p>
    <w:p>
      <w:pPr>
        <w:jc w:val="both"/>
        <w:ind w:firstLine="620"/>
        <w:spacing w:after="0" w:line="232" w:lineRule="auto"/>
        <w:rPr>
          <w:sz w:val="20"/>
          <w:szCs w:val="20"/>
          <w:color w:val="auto"/>
        </w:rPr>
      </w:pPr>
      <w:r>
        <w:rPr>
          <w:rFonts w:ascii="Arial" w:cs="Arial" w:eastAsia="Arial" w:hAnsi="Arial"/>
          <w:sz w:val="19"/>
          <w:szCs w:val="19"/>
          <w:b w:val="1"/>
          <w:bCs w:val="1"/>
          <w:color w:val="010000"/>
        </w:rPr>
        <w:t xml:space="preserve">27.38. </w:t>
      </w:r>
      <w:r>
        <w:rPr>
          <w:rFonts w:ascii="Arial" w:cs="Arial" w:eastAsia="Arial" w:hAnsi="Arial"/>
          <w:sz w:val="19"/>
          <w:szCs w:val="19"/>
          <w:color w:val="000000"/>
        </w:rPr>
        <w:t>“</w:t>
      </w:r>
      <w:r>
        <w:rPr>
          <w:rFonts w:ascii="Arial" w:cs="Arial" w:eastAsia="Arial" w:hAnsi="Arial"/>
          <w:sz w:val="19"/>
          <w:szCs w:val="19"/>
          <w:b w:val="1"/>
          <w:bCs w:val="1"/>
          <w:i w:val="1"/>
          <w:iCs w:val="1"/>
          <w:color w:val="000000"/>
        </w:rPr>
        <w:t>Subsidiary</w:t>
      </w:r>
      <w:r>
        <w:rPr>
          <w:rFonts w:ascii="Arial" w:cs="Arial" w:eastAsia="Arial" w:hAnsi="Arial"/>
          <w:sz w:val="19"/>
          <w:szCs w:val="19"/>
          <w:color w:val="000000"/>
        </w:rPr>
        <w:t>” means any corporation (other than the Company) in an unbroken chain of corporations beginning with the Company</w:t>
      </w:r>
      <w:r>
        <w:rPr>
          <w:rFonts w:ascii="Arial" w:cs="Arial" w:eastAsia="Arial" w:hAnsi="Arial"/>
          <w:sz w:val="19"/>
          <w:szCs w:val="19"/>
          <w:b w:val="1"/>
          <w:bCs w:val="1"/>
          <w:color w:val="010000"/>
        </w:rPr>
        <w:t xml:space="preserve"> </w:t>
      </w:r>
      <w:r>
        <w:rPr>
          <w:rFonts w:ascii="Arial" w:cs="Arial" w:eastAsia="Arial" w:hAnsi="Arial"/>
          <w:sz w:val="19"/>
          <w:szCs w:val="19"/>
          <w:color w:val="000000"/>
        </w:rPr>
        <w:t>if each of the corporations other than the last corporation in the unbroken chain owns stock possessing fifty percent (50%) or more of the total combined voting power of all classes of stock in one of the other corporations in such chain.</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10000"/>
        </w:rPr>
        <w:t xml:space="preserve">27.39.  </w:t>
      </w:r>
      <w:r>
        <w:rPr>
          <w:rFonts w:ascii="Arial" w:cs="Arial" w:eastAsia="Arial" w:hAnsi="Arial"/>
          <w:sz w:val="19"/>
          <w:szCs w:val="19"/>
          <w:color w:val="000000"/>
        </w:rPr>
        <w:t>“</w:t>
      </w:r>
      <w:r>
        <w:rPr>
          <w:rFonts w:ascii="Arial" w:cs="Arial" w:eastAsia="Arial" w:hAnsi="Arial"/>
          <w:sz w:val="19"/>
          <w:szCs w:val="19"/>
          <w:b w:val="1"/>
          <w:bCs w:val="1"/>
          <w:i w:val="1"/>
          <w:iCs w:val="1"/>
          <w:color w:val="000000"/>
        </w:rPr>
        <w:t>Treasury Regulations</w:t>
      </w:r>
      <w:r>
        <w:rPr>
          <w:rFonts w:ascii="Arial" w:cs="Arial" w:eastAsia="Arial" w:hAnsi="Arial"/>
          <w:sz w:val="19"/>
          <w:szCs w:val="19"/>
          <w:color w:val="000000"/>
        </w:rPr>
        <w:t>” means regulations promulgated by the United States Treasury Department.</w:t>
      </w:r>
    </w:p>
    <w:p>
      <w:pPr>
        <w:spacing w:after="0" w:line="182"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9"/>
          <w:szCs w:val="19"/>
          <w:b w:val="1"/>
          <w:bCs w:val="1"/>
          <w:color w:val="010000"/>
        </w:rPr>
        <w:t xml:space="preserve">27.40. </w:t>
      </w:r>
      <w:r>
        <w:rPr>
          <w:rFonts w:ascii="Arial" w:cs="Arial" w:eastAsia="Arial" w:hAnsi="Arial"/>
          <w:sz w:val="19"/>
          <w:szCs w:val="19"/>
          <w:color w:val="000000"/>
        </w:rPr>
        <w:t>“</w:t>
      </w:r>
      <w:r>
        <w:rPr>
          <w:rFonts w:ascii="Arial" w:cs="Arial" w:eastAsia="Arial" w:hAnsi="Arial"/>
          <w:sz w:val="19"/>
          <w:szCs w:val="19"/>
          <w:b w:val="1"/>
          <w:bCs w:val="1"/>
          <w:i w:val="1"/>
          <w:iCs w:val="1"/>
          <w:color w:val="000000"/>
        </w:rPr>
        <w:t>Unvested Shares</w:t>
      </w:r>
      <w:r>
        <w:rPr>
          <w:rFonts w:ascii="Arial" w:cs="Arial" w:eastAsia="Arial" w:hAnsi="Arial"/>
          <w:sz w:val="19"/>
          <w:szCs w:val="19"/>
          <w:color w:val="000000"/>
        </w:rPr>
        <w:t>” means Shares that have not yet vested or are subject to a right of repurchase in favor of the Company (or any</w:t>
      </w:r>
      <w:r>
        <w:rPr>
          <w:rFonts w:ascii="Arial" w:cs="Arial" w:eastAsia="Arial" w:hAnsi="Arial"/>
          <w:sz w:val="19"/>
          <w:szCs w:val="19"/>
          <w:b w:val="1"/>
          <w:bCs w:val="1"/>
          <w:color w:val="010000"/>
        </w:rPr>
        <w:t xml:space="preserve"> </w:t>
      </w:r>
      <w:r>
        <w:rPr>
          <w:rFonts w:ascii="Arial" w:cs="Arial" w:eastAsia="Arial" w:hAnsi="Arial"/>
          <w:sz w:val="19"/>
          <w:szCs w:val="19"/>
          <w:color w:val="000000"/>
        </w:rPr>
        <w:t>successor thereto).</w:t>
      </w:r>
    </w:p>
    <w:p>
      <w:pPr>
        <w:sectPr>
          <w:pgSz w:w="11900" w:h="16838" w:orient="portrait"/>
          <w:cols w:equalWidth="0" w:num="1">
            <w:col w:w="11240"/>
          </w:cols>
          <w:pgMar w:left="320" w:top="1440" w:right="339" w:bottom="1440" w:gutter="0" w:footer="0" w:header="0"/>
        </w:sectPr>
      </w:pPr>
    </w:p>
    <w:bookmarkStart w:id="162" w:name="page163"/>
    <w:bookmarkEnd w:id="162"/>
    <w:p>
      <w:pPr>
        <w:jc w:val="center"/>
        <w:ind w:right="-79"/>
        <w:spacing w:after="0"/>
        <w:rPr>
          <w:sz w:val="20"/>
          <w:szCs w:val="20"/>
          <w:color w:val="auto"/>
        </w:rPr>
      </w:pPr>
      <w:r>
        <w:rPr>
          <w:rFonts w:ascii="Arial" w:cs="Arial" w:eastAsia="Arial" w:hAnsi="Arial"/>
          <w:sz w:val="17"/>
          <w:szCs w:val="17"/>
          <w:b w:val="1"/>
          <w:bCs w:val="1"/>
          <w:color w:val="auto"/>
        </w:rPr>
        <w:t>ARCUTIS BIOTHERAPEUTICS, INC.</w:t>
      </w:r>
    </w:p>
    <w:p>
      <w:pPr>
        <w:jc w:val="center"/>
        <w:ind w:right="-79"/>
        <w:spacing w:after="0" w:line="206" w:lineRule="auto"/>
        <w:rPr>
          <w:sz w:val="20"/>
          <w:szCs w:val="20"/>
          <w:color w:val="auto"/>
        </w:rPr>
      </w:pPr>
      <w:r>
        <w:rPr>
          <w:rFonts w:ascii="Arial" w:cs="Arial" w:eastAsia="Arial" w:hAnsi="Arial"/>
          <w:sz w:val="17"/>
          <w:szCs w:val="17"/>
          <w:b w:val="1"/>
          <w:bCs w:val="1"/>
          <w:color w:val="auto"/>
        </w:rPr>
        <w:t>2022 EMPLOYMENT INDUCEMENT INCENTIVE PLAN</w:t>
      </w:r>
    </w:p>
    <w:p>
      <w:pPr>
        <w:jc w:val="center"/>
        <w:ind w:right="-79"/>
        <w:spacing w:after="0"/>
        <w:rPr>
          <w:sz w:val="20"/>
          <w:szCs w:val="20"/>
          <w:color w:val="auto"/>
        </w:rPr>
      </w:pPr>
      <w:r>
        <w:rPr>
          <w:rFonts w:ascii="Arial" w:cs="Arial" w:eastAsia="Arial" w:hAnsi="Arial"/>
          <w:sz w:val="17"/>
          <w:szCs w:val="17"/>
          <w:b w:val="1"/>
          <w:bCs w:val="1"/>
          <w:color w:val="auto"/>
        </w:rPr>
        <w:t>GLOBAL NOTICE OF STOCK OPTION GRANT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herein, the terms defined in the Arcutis Biotherapeutics,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2022 Employment Inducement Incentive Plan (the</w:t>
      </w:r>
    </w:p>
    <w:p>
      <w:pPr>
        <w:ind w:right="180"/>
        <w:spacing w:after="0" w:line="22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will have the same meanings in this Global Notice of Stock Option Grant and the electronic representation of this Global Notice of Stock Option Grant established and maintained by the Company or a third party designated by the Company (this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17"/>
          <w:szCs w:val="17"/>
          <w:color w:val="auto"/>
        </w:rPr>
        <w:t>:</w:t>
      </w:r>
    </w:p>
    <w:p>
      <w:pPr>
        <w:ind w:left="420"/>
        <w:spacing w:after="0"/>
        <w:rPr>
          <w:sz w:val="20"/>
          <w:szCs w:val="20"/>
          <w:color w:val="auto"/>
        </w:rPr>
      </w:pPr>
      <w:r>
        <w:rPr>
          <w:rFonts w:ascii="Arial" w:cs="Arial" w:eastAsia="Arial" w:hAnsi="Arial"/>
          <w:sz w:val="17"/>
          <w:szCs w:val="17"/>
          <w:b w:val="1"/>
          <w:bCs w:val="1"/>
          <w:color w:val="auto"/>
        </w:rPr>
        <w:t>Address</w:t>
      </w:r>
      <w:r>
        <w:rPr>
          <w:rFonts w:ascii="Arial" w:cs="Arial" w:eastAsia="Arial" w:hAnsi="Arial"/>
          <w:sz w:val="17"/>
          <w:szCs w:val="17"/>
          <w:color w:val="auto"/>
        </w:rPr>
        <w:t>:</w:t>
      </w:r>
    </w:p>
    <w:p>
      <w:pPr>
        <w:spacing w:after="0" w:line="165" w:lineRule="exact"/>
        <w:rPr>
          <w:sz w:val="20"/>
          <w:szCs w:val="20"/>
          <w:color w:val="auto"/>
        </w:rPr>
      </w:pPr>
    </w:p>
    <w:p>
      <w:pPr>
        <w:ind w:right="80"/>
        <w:spacing w:after="0" w:line="227" w:lineRule="auto"/>
        <w:rPr>
          <w:sz w:val="20"/>
          <w:szCs w:val="20"/>
          <w:color w:val="auto"/>
        </w:rPr>
      </w:pPr>
      <w:r>
        <w:rPr>
          <w:rFonts w:ascii="Arial" w:cs="Arial" w:eastAsia="Arial" w:hAnsi="Arial"/>
          <w:sz w:val="17"/>
          <w:szCs w:val="17"/>
          <w:color w:val="auto"/>
        </w:rPr>
        <w:t>You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have been granted an option to purchase shares of common stock of the Company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under the Plan subject to the terms and conditions of the Plan, this Notice and the attached Global Stock Option Award Agreement (the “</w:t>
      </w: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 including any applicable country-specific provisions in the appendix attached hereto (the “</w:t>
      </w:r>
      <w:r>
        <w:rPr>
          <w:rFonts w:ascii="Arial" w:cs="Arial" w:eastAsia="Arial" w:hAnsi="Arial"/>
          <w:sz w:val="17"/>
          <w:szCs w:val="17"/>
          <w:b w:val="1"/>
          <w:bCs w:val="1"/>
          <w:i w:val="1"/>
          <w:iCs w:val="1"/>
          <w:color w:val="auto"/>
        </w:rPr>
        <w:t>Appendix</w:t>
      </w:r>
      <w:r>
        <w:rPr>
          <w:rFonts w:ascii="Arial" w:cs="Arial" w:eastAsia="Arial" w:hAnsi="Arial"/>
          <w:sz w:val="17"/>
          <w:szCs w:val="17"/>
          <w:color w:val="auto"/>
        </w:rPr>
        <w:t>”), which constitutes part of the Option Agreement.</w:t>
      </w:r>
    </w:p>
    <w:p>
      <w:pPr>
        <w:spacing w:after="0" w:line="3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Grant Number</w:t>
      </w:r>
      <w:r>
        <w:rPr>
          <w:rFonts w:ascii="Arial" w:cs="Arial" w:eastAsia="Arial" w:hAnsi="Arial"/>
          <w:sz w:val="17"/>
          <w:szCs w:val="17"/>
          <w:color w:val="auto"/>
        </w:rPr>
        <w:t>:</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Date of Grant</w:t>
      </w:r>
      <w:r>
        <w:rPr>
          <w:rFonts w:ascii="Arial" w:cs="Arial" w:eastAsia="Arial" w:hAnsi="Arial"/>
          <w:sz w:val="17"/>
          <w:szCs w:val="17"/>
          <w:color w:val="auto"/>
        </w:rPr>
        <w:t>:</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Vesting Commencement Date</w:t>
      </w:r>
      <w:r>
        <w:rPr>
          <w:rFonts w:ascii="Arial" w:cs="Arial" w:eastAsia="Arial" w:hAnsi="Arial"/>
          <w:sz w:val="17"/>
          <w:szCs w:val="17"/>
          <w:color w:val="auto"/>
        </w:rPr>
        <w:t>:</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Exercise Price per Share</w:t>
      </w:r>
      <w:r>
        <w:rPr>
          <w:rFonts w:ascii="Arial" w:cs="Arial" w:eastAsia="Arial" w:hAnsi="Arial"/>
          <w:sz w:val="17"/>
          <w:szCs w:val="17"/>
          <w:color w:val="auto"/>
        </w:rPr>
        <w:t>:</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Total Number of Shares</w:t>
      </w:r>
      <w:r>
        <w:rPr>
          <w:rFonts w:ascii="Arial" w:cs="Arial" w:eastAsia="Arial" w:hAnsi="Arial"/>
          <w:sz w:val="17"/>
          <w:szCs w:val="17"/>
          <w:color w:val="auto"/>
        </w:rPr>
        <w:t>:</w:t>
      </w:r>
    </w:p>
    <w:p>
      <w:pPr>
        <w:sectPr>
          <w:pgSz w:w="11900" w:h="16838" w:orient="portrait"/>
          <w:cols w:equalWidth="0" w:num="1">
            <w:col w:w="11180"/>
          </w:cols>
          <w:pgMar w:left="320" w:top="1341" w:right="399" w:bottom="1440" w:gutter="0" w:footer="0" w:header="0"/>
        </w:sectPr>
      </w:pPr>
    </w:p>
    <w:p>
      <w:pPr>
        <w:spacing w:after="0" w:line="12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Type of Option</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Non-Qualified Stock Option</w:t>
      </w:r>
    </w:p>
    <w:p>
      <w:pPr>
        <w:spacing w:after="0" w:line="133" w:lineRule="exact"/>
        <w:rPr>
          <w:sz w:val="20"/>
          <w:szCs w:val="20"/>
          <w:color w:val="auto"/>
        </w:rPr>
      </w:pPr>
    </w:p>
    <w:p>
      <w:pPr>
        <w:sectPr>
          <w:pgSz w:w="11900" w:h="16838" w:orient="portrait"/>
          <w:cols w:equalWidth="0" w:num="2">
            <w:col w:w="2600" w:space="720"/>
            <w:col w:w="7860"/>
          </w:cols>
          <w:pgMar w:left="320" w:top="1341" w:right="39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Expiration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80"/>
        <w:spacing w:after="0" w:line="237" w:lineRule="auto"/>
        <w:rPr>
          <w:sz w:val="20"/>
          <w:szCs w:val="20"/>
          <w:color w:val="auto"/>
        </w:rPr>
      </w:pPr>
      <w:r>
        <w:rPr>
          <w:rFonts w:ascii="Arial" w:cs="Arial" w:eastAsia="Arial" w:hAnsi="Arial"/>
          <w:sz w:val="17"/>
          <w:szCs w:val="17"/>
          <w:color w:val="auto"/>
        </w:rPr>
        <w:t>________ __, 20__; This Option expires earlier if Participant’s Service terminates earlier, as described in the Option Agreement.</w:t>
      </w:r>
    </w:p>
    <w:p>
      <w:pPr>
        <w:spacing w:after="0" w:line="99" w:lineRule="exact"/>
        <w:rPr>
          <w:sz w:val="20"/>
          <w:szCs w:val="20"/>
          <w:color w:val="auto"/>
        </w:rPr>
      </w:pPr>
    </w:p>
    <w:p>
      <w:pPr>
        <w:sectPr>
          <w:pgSz w:w="11900" w:h="16838" w:orient="portrait"/>
          <w:cols w:equalWidth="0" w:num="2">
            <w:col w:w="2600" w:space="720"/>
            <w:col w:w="7860"/>
          </w:cols>
          <w:pgMar w:left="320" w:top="1341" w:right="399" w:bottom="1440" w:gutter="0" w:footer="0" w:header="0"/>
          <w:type w:val="continuous"/>
        </w:sectPr>
      </w:pPr>
    </w:p>
    <w:p>
      <w:pPr>
        <w:ind w:left="440"/>
        <w:spacing w:after="0"/>
        <w:rPr>
          <w:sz w:val="20"/>
          <w:szCs w:val="20"/>
          <w:color w:val="auto"/>
        </w:rPr>
      </w:pPr>
      <w:r>
        <w:rPr>
          <w:rFonts w:ascii="Arial" w:cs="Arial" w:eastAsia="Arial" w:hAnsi="Arial"/>
          <w:sz w:val="14"/>
          <w:szCs w:val="14"/>
          <w:b w:val="1"/>
          <w:bCs w:val="1"/>
          <w:color w:val="auto"/>
        </w:rPr>
        <w:t>Vesting Schedule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ind w:right="400"/>
        <w:spacing w:after="0" w:line="227" w:lineRule="auto"/>
        <w:rPr>
          <w:sz w:val="20"/>
          <w:szCs w:val="20"/>
          <w:color w:val="auto"/>
        </w:rPr>
      </w:pPr>
      <w:r>
        <w:rPr>
          <w:rFonts w:ascii="Arial" w:cs="Arial" w:eastAsia="Arial" w:hAnsi="Arial"/>
          <w:sz w:val="17"/>
          <w:szCs w:val="17"/>
          <w:color w:val="auto"/>
        </w:rPr>
        <w:t>Subject to the limitations set forth in this Notice, the Plan and the Option Agreement, the Option will vest in accordance with the following schedule: [insert applicable vesting schedule, which may be time-based, performance-based or a both]</w:t>
      </w:r>
    </w:p>
    <w:p>
      <w:pPr>
        <w:spacing w:after="0" w:line="200" w:lineRule="exact"/>
        <w:rPr>
          <w:sz w:val="20"/>
          <w:szCs w:val="20"/>
          <w:color w:val="auto"/>
        </w:rPr>
      </w:pPr>
    </w:p>
    <w:p>
      <w:pPr>
        <w:sectPr>
          <w:pgSz w:w="11900" w:h="16838" w:orient="portrait"/>
          <w:cols w:equalWidth="0" w:num="2">
            <w:col w:w="2600" w:space="720"/>
            <w:col w:w="7860"/>
          </w:cols>
          <w:pgMar w:left="320" w:top="1341" w:right="39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By accepting (whether in writing, electronically or otherwise) the Option, Participant acknowledges and agrees to the following:</w:t>
      </w:r>
    </w:p>
    <w:p>
      <w:pPr>
        <w:spacing w:after="0" w:line="128" w:lineRule="exact"/>
        <w:rPr>
          <w:sz w:val="20"/>
          <w:szCs w:val="20"/>
          <w:color w:val="auto"/>
        </w:rPr>
      </w:pPr>
    </w:p>
    <w:p>
      <w:pPr>
        <w:ind w:left="1040" w:hanging="567"/>
        <w:spacing w:after="0" w:line="214" w:lineRule="auto"/>
        <w:tabs>
          <w:tab w:leader="none" w:pos="10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Participant understands that Participant’s Service with the Company or a Subsidiary is for an unspecified duration, can be terminated at any time (</w:t>
      </w:r>
      <w:r>
        <w:rPr>
          <w:rFonts w:ascii="Arial" w:cs="Arial" w:eastAsia="Arial" w:hAnsi="Arial"/>
          <w:sz w:val="17"/>
          <w:szCs w:val="17"/>
          <w:i w:val="1"/>
          <w:iCs w:val="1"/>
          <w:color w:val="auto"/>
        </w:rPr>
        <w:t>i.e.</w:t>
      </w:r>
      <w:r>
        <w:rPr>
          <w:rFonts w:ascii="Arial" w:cs="Arial" w:eastAsia="Arial" w:hAnsi="Arial"/>
          <w:sz w:val="17"/>
          <w:szCs w:val="17"/>
          <w:color w:val="auto"/>
        </w:rPr>
        <w:t>, is “at-will”), except where otherwise prohibited by applicable law, and that nothing in this Notice, the Option Agreement or the Plan changes the nature of that relationship. Participant acknowledges that the vesting of the Option pursuant to this Notice is subject to Participant’s continuing Service.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 to the extent permitted by applicable law. Furthermore, the period during which Participant may exercise the Option after termination of Service, if any, will commence on the Termination Date (as defined in the Option Agreement).</w:t>
      </w:r>
    </w:p>
    <w:p>
      <w:pPr>
        <w:spacing w:after="0" w:line="207" w:lineRule="exact"/>
        <w:rPr>
          <w:rFonts w:ascii="Arial" w:cs="Arial" w:eastAsia="Arial" w:hAnsi="Arial"/>
          <w:sz w:val="17"/>
          <w:szCs w:val="17"/>
          <w:color w:val="auto"/>
        </w:rPr>
      </w:pPr>
    </w:p>
    <w:p>
      <w:pPr>
        <w:jc w:val="both"/>
        <w:ind w:left="1040" w:hanging="567"/>
        <w:spacing w:after="0" w:line="227" w:lineRule="auto"/>
        <w:tabs>
          <w:tab w:leader="none" w:pos="10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This grant is made under and governed by the Plan, the Option Agreement and this Notice, and this Notice is subject to the terms and conditions of the Option Agreement and the Plan, both of which are incorporated herein by reference. Participant has read the Notice, the Option Agreement and the Plan.</w:t>
      </w:r>
    </w:p>
    <w:p>
      <w:pPr>
        <w:sectPr>
          <w:pgSz w:w="11900" w:h="16838" w:orient="portrait"/>
          <w:cols w:equalWidth="0" w:num="1">
            <w:col w:w="11180"/>
          </w:cols>
          <w:pgMar w:left="320" w:top="1341" w:right="399" w:bottom="1440" w:gutter="0" w:footer="0" w:header="0"/>
          <w:type w:val="continuous"/>
        </w:sectPr>
      </w:pPr>
    </w:p>
    <w:bookmarkStart w:id="163" w:name="page164"/>
    <w:bookmarkEnd w:id="163"/>
    <w:p>
      <w:pPr>
        <w:ind w:left="567" w:hanging="567"/>
        <w:spacing w:after="0" w:line="237" w:lineRule="auto"/>
        <w:tabs>
          <w:tab w:leader="none" w:pos="56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Participant has read the Company’s Insider Trading Policy, and agrees to comply with such policy, as it may be amended from time to time, whenever Participant acquires or disposes of the Company’s securities.</w:t>
      </w:r>
    </w:p>
    <w:p>
      <w:pPr>
        <w:spacing w:after="0" w:line="221" w:lineRule="exact"/>
        <w:rPr>
          <w:rFonts w:ascii="Arial" w:cs="Arial" w:eastAsia="Arial" w:hAnsi="Arial"/>
          <w:sz w:val="17"/>
          <w:szCs w:val="17"/>
          <w:color w:val="auto"/>
        </w:rPr>
      </w:pPr>
    </w:p>
    <w:p>
      <w:pPr>
        <w:ind w:left="567" w:hanging="567"/>
        <w:spacing w:after="0"/>
        <w:tabs>
          <w:tab w:leader="none" w:pos="56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By accepting the Option, Participant consents to electronic delivery and participation as set forth in the Option Agreement.</w:t>
      </w:r>
    </w:p>
    <w:p>
      <w:pPr>
        <w:sectPr>
          <w:pgSz w:w="11900" w:h="16838" w:orient="portrait"/>
          <w:cols w:equalWidth="0" w:num="1">
            <w:col w:w="10187"/>
          </w:cols>
          <w:pgMar w:left="793" w:top="1406" w:right="919" w:bottom="1440" w:gutter="0" w:footer="0" w:header="0"/>
        </w:sectPr>
      </w:pPr>
    </w:p>
    <w:bookmarkStart w:id="164" w:name="page165"/>
    <w:bookmarkEnd w:id="164"/>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ARCUTIS BIOTHERAPEUTICS, INC.</w:t>
      </w:r>
    </w:p>
    <w:p>
      <w:pPr>
        <w:jc w:val="center"/>
        <w:ind w:right="-59"/>
        <w:spacing w:after="0" w:line="206" w:lineRule="auto"/>
        <w:rPr>
          <w:sz w:val="20"/>
          <w:szCs w:val="20"/>
          <w:color w:val="auto"/>
        </w:rPr>
      </w:pPr>
      <w:r>
        <w:rPr>
          <w:rFonts w:ascii="Arial" w:cs="Arial" w:eastAsia="Arial" w:hAnsi="Arial"/>
          <w:sz w:val="17"/>
          <w:szCs w:val="17"/>
          <w:b w:val="1"/>
          <w:bCs w:val="1"/>
          <w:color w:val="auto"/>
        </w:rPr>
        <w:t>2022 EMPLOYMENT INDUCEMENT INCENTIVE PLAN</w:t>
      </w:r>
    </w:p>
    <w:p>
      <w:pPr>
        <w:jc w:val="center"/>
        <w:ind w:right="-59"/>
        <w:spacing w:after="0"/>
        <w:rPr>
          <w:sz w:val="20"/>
          <w:szCs w:val="20"/>
          <w:color w:val="auto"/>
        </w:rPr>
      </w:pPr>
      <w:r>
        <w:rPr>
          <w:rFonts w:ascii="Arial" w:cs="Arial" w:eastAsia="Arial" w:hAnsi="Arial"/>
          <w:sz w:val="17"/>
          <w:szCs w:val="17"/>
          <w:b w:val="1"/>
          <w:bCs w:val="1"/>
          <w:color w:val="auto"/>
        </w:rPr>
        <w:t>GLOBAL STOCK OPTION AWARD AGREEMENT</w:t>
      </w:r>
    </w:p>
    <w:p>
      <w:pPr>
        <w:spacing w:after="0" w:line="165" w:lineRule="exact"/>
        <w:rPr>
          <w:sz w:val="20"/>
          <w:szCs w:val="20"/>
          <w:color w:val="auto"/>
        </w:rPr>
      </w:pPr>
    </w:p>
    <w:p>
      <w:pPr>
        <w:ind w:right="560" w:firstLine="422"/>
        <w:spacing w:after="0" w:line="237" w:lineRule="auto"/>
        <w:rPr>
          <w:sz w:val="20"/>
          <w:szCs w:val="20"/>
          <w:color w:val="auto"/>
        </w:rPr>
      </w:pPr>
      <w:r>
        <w:rPr>
          <w:rFonts w:ascii="Arial" w:cs="Arial" w:eastAsia="Arial" w:hAnsi="Arial"/>
          <w:sz w:val="17"/>
          <w:szCs w:val="17"/>
          <w:color w:val="auto"/>
        </w:rPr>
        <w:t>Unless otherwise defined in this Global Stock Option Award Agreement (this “</w:t>
      </w: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 any capitalized terms used herein will have the meaning ascribed to them in the Arcutis Biotherapeutics, Inc. 2022 Employment Inducement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w:t>
      </w:r>
    </w:p>
    <w:p>
      <w:pPr>
        <w:spacing w:after="0" w:line="157" w:lineRule="exact"/>
        <w:rPr>
          <w:sz w:val="20"/>
          <w:szCs w:val="20"/>
          <w:color w:val="auto"/>
        </w:rPr>
      </w:pPr>
    </w:p>
    <w:p>
      <w:pPr>
        <w:ind w:firstLine="422"/>
        <w:spacing w:after="0" w:line="227" w:lineRule="auto"/>
        <w:rPr>
          <w:sz w:val="20"/>
          <w:szCs w:val="20"/>
          <w:color w:val="auto"/>
        </w:rPr>
      </w:pPr>
      <w:r>
        <w:rPr>
          <w:rFonts w:ascii="Arial" w:cs="Arial" w:eastAsia="Arial" w:hAnsi="Arial"/>
          <w:sz w:val="17"/>
          <w:szCs w:val="17"/>
          <w:color w:val="auto"/>
        </w:rPr>
        <w:t>Participant has been granted an option to purchase Shares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of Arcutis Biotherapeutics,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subject to the terms, restrictions and conditions of the Plan, the Global Notice of Stock Option Grant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and this Option Agreement, including any applicable country-specific provisions in the appendix attached hereto (the “</w:t>
      </w:r>
      <w:r>
        <w:rPr>
          <w:rFonts w:ascii="Arial" w:cs="Arial" w:eastAsia="Arial" w:hAnsi="Arial"/>
          <w:sz w:val="17"/>
          <w:szCs w:val="17"/>
          <w:b w:val="1"/>
          <w:bCs w:val="1"/>
          <w:i w:val="1"/>
          <w:iCs w:val="1"/>
          <w:color w:val="auto"/>
        </w:rPr>
        <w:t>Appendix</w:t>
      </w:r>
      <w:r>
        <w:rPr>
          <w:rFonts w:ascii="Arial" w:cs="Arial" w:eastAsia="Arial" w:hAnsi="Arial"/>
          <w:sz w:val="17"/>
          <w:szCs w:val="17"/>
          <w:color w:val="auto"/>
        </w:rPr>
        <w:t>”), which constitutes part of this Option Agreement.</w:t>
      </w:r>
    </w:p>
    <w:p>
      <w:pPr>
        <w:spacing w:after="0" w:line="150" w:lineRule="exact"/>
        <w:rPr>
          <w:sz w:val="20"/>
          <w:szCs w:val="20"/>
          <w:color w:val="auto"/>
        </w:rPr>
      </w:pPr>
    </w:p>
    <w:p>
      <w:pPr>
        <w:ind w:right="240" w:firstLine="425"/>
        <w:spacing w:after="0" w:line="229" w:lineRule="auto"/>
        <w:tabs>
          <w:tab w:leader="none" w:pos="594"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Rights. </w:t>
      </w:r>
      <w:r>
        <w:rPr>
          <w:rFonts w:ascii="Arial" w:cs="Arial" w:eastAsia="Arial" w:hAnsi="Arial"/>
          <w:sz w:val="17"/>
          <w:szCs w:val="17"/>
          <w:color w:val="auto"/>
          <w:highlight w:val="white"/>
        </w:rPr>
        <w:t>Subject to the applicable provisions of the Plan and this Option Agreement, this Option may be exercised, in whole or in part, in</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accordance with the Vesting Schedule set forth in the Notice. Participant acknowledges that the vesting of the Option pursuant to this Notice and Agreement is subject to Participant’s continuing Service.</w:t>
      </w:r>
    </w:p>
    <w:p>
      <w:pPr>
        <w:spacing w:after="0" w:line="151" w:lineRule="exact"/>
        <w:rPr>
          <w:rFonts w:ascii="Arial" w:cs="Arial" w:eastAsia="Arial" w:hAnsi="Arial"/>
          <w:sz w:val="17"/>
          <w:szCs w:val="17"/>
          <w:b w:val="1"/>
          <w:bCs w:val="1"/>
          <w:color w:val="auto"/>
        </w:rPr>
      </w:pPr>
    </w:p>
    <w:p>
      <w:pPr>
        <w:jc w:val="both"/>
        <w:ind w:right="140" w:firstLine="425"/>
        <w:spacing w:after="0" w:line="246" w:lineRule="auto"/>
        <w:tabs>
          <w:tab w:leader="none" w:pos="594"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Option. </w:t>
      </w:r>
      <w:r>
        <w:rPr>
          <w:rFonts w:ascii="Arial" w:cs="Arial" w:eastAsia="Arial" w:hAnsi="Arial"/>
          <w:sz w:val="16"/>
          <w:szCs w:val="16"/>
          <w:color w:val="auto"/>
        </w:rPr>
        <w:t>Participant has been granted an Option for the number of Shares set forth in the Notice at the exercise price per Share in U.S. Dollars</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set forth in the Notice (the “</w:t>
      </w:r>
      <w:r>
        <w:rPr>
          <w:rFonts w:ascii="Arial" w:cs="Arial" w:eastAsia="Arial" w:hAnsi="Arial"/>
          <w:sz w:val="16"/>
          <w:szCs w:val="16"/>
          <w:b w:val="1"/>
          <w:bCs w:val="1"/>
          <w:i w:val="1"/>
          <w:iCs w:val="1"/>
          <w:color w:val="auto"/>
          <w:highlight w:val="white"/>
        </w:rPr>
        <w:t>Exercise Price</w:t>
      </w:r>
      <w:r>
        <w:rPr>
          <w:rFonts w:ascii="Arial" w:cs="Arial" w:eastAsia="Arial" w:hAnsi="Arial"/>
          <w:sz w:val="16"/>
          <w:szCs w:val="16"/>
          <w:color w:val="auto"/>
          <w:highlight w:val="white"/>
        </w:rPr>
        <w:t>”). In the event of a conflict between the terms and conditions of the Plan and the terms and conditions of this Option Agreement, the terms and conditions of the Plan shall prevail. This Option it shall be treated as a Nonqualified Stock Option (“</w:t>
      </w:r>
      <w:r>
        <w:rPr>
          <w:rFonts w:ascii="Arial" w:cs="Arial" w:eastAsia="Arial" w:hAnsi="Arial"/>
          <w:sz w:val="16"/>
          <w:szCs w:val="16"/>
          <w:b w:val="1"/>
          <w:bCs w:val="1"/>
          <w:i w:val="1"/>
          <w:iCs w:val="1"/>
          <w:color w:val="auto"/>
          <w:highlight w:val="white"/>
        </w:rPr>
        <w:t>NSO</w:t>
      </w:r>
      <w:r>
        <w:rPr>
          <w:rFonts w:ascii="Arial" w:cs="Arial" w:eastAsia="Arial" w:hAnsi="Arial"/>
          <w:sz w:val="16"/>
          <w:szCs w:val="16"/>
          <w:color w:val="auto"/>
          <w:highlight w:val="white"/>
        </w:rPr>
        <w:t>”).</w:t>
      </w:r>
    </w:p>
    <w:p>
      <w:pPr>
        <w:spacing w:after="0" w:line="144" w:lineRule="exact"/>
        <w:rPr>
          <w:rFonts w:ascii="Arial" w:cs="Arial" w:eastAsia="Arial" w:hAnsi="Arial"/>
          <w:sz w:val="16"/>
          <w:szCs w:val="16"/>
          <w:b w:val="1"/>
          <w:bCs w:val="1"/>
          <w:color w:val="auto"/>
        </w:rPr>
      </w:pPr>
    </w:p>
    <w:p>
      <w:pPr>
        <w:ind w:left="600" w:hanging="175"/>
        <w:spacing w:after="0"/>
        <w:tabs>
          <w:tab w:leader="none" w:pos="60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Period</w:t>
      </w:r>
      <w:r>
        <w:rPr>
          <w:rFonts w:ascii="Arial" w:cs="Arial" w:eastAsia="Arial" w:hAnsi="Arial"/>
          <w:sz w:val="17"/>
          <w:szCs w:val="17"/>
          <w:b w:val="1"/>
          <w:bCs w:val="1"/>
          <w:color w:val="auto"/>
        </w:rPr>
        <w:t>.</w:t>
      </w:r>
    </w:p>
    <w:p>
      <w:pPr>
        <w:spacing w:after="0" w:line="185" w:lineRule="exact"/>
        <w:rPr>
          <w:rFonts w:ascii="Arial" w:cs="Arial" w:eastAsia="Arial" w:hAnsi="Arial"/>
          <w:sz w:val="17"/>
          <w:szCs w:val="17"/>
          <w:b w:val="1"/>
          <w:bCs w:val="1"/>
          <w:color w:val="auto"/>
        </w:rPr>
      </w:pPr>
    </w:p>
    <w:p>
      <w:pPr>
        <w:jc w:val="both"/>
        <w:ind w:right="20" w:firstLine="952"/>
        <w:spacing w:after="0" w:line="222" w:lineRule="auto"/>
        <w:tabs>
          <w:tab w:leader="none" w:pos="1183" w:val="left"/>
        </w:tabs>
        <w:numPr>
          <w:ilvl w:val="1"/>
          <w:numId w:val="101"/>
        </w:numPr>
        <w:rPr>
          <w:rFonts w:ascii="Arial" w:cs="Arial" w:eastAsia="Arial" w:hAnsi="Arial"/>
          <w:sz w:val="17"/>
          <w:szCs w:val="17"/>
          <w:color w:val="auto"/>
        </w:rPr>
      </w:pPr>
      <w:r>
        <w:rPr>
          <w:rFonts w:ascii="Arial" w:cs="Arial" w:eastAsia="Arial" w:hAnsi="Arial"/>
          <w:sz w:val="17"/>
          <w:szCs w:val="17"/>
          <w:color w:val="auto"/>
        </w:rPr>
        <w:t xml:space="preserve">General Rule. </w:t>
      </w:r>
      <w:r>
        <w:rPr>
          <w:rFonts w:ascii="Arial" w:cs="Arial" w:eastAsia="Arial" w:hAnsi="Arial"/>
          <w:sz w:val="17"/>
          <w:szCs w:val="17"/>
          <w:color w:val="auto"/>
          <w:highlight w:val="white"/>
        </w:rPr>
        <w:t>If Participant’s Service terminates for any reason except death or Disability, and other than for Cause, then this Option will expire</w:t>
      </w:r>
      <w:r>
        <w:rPr>
          <w:rFonts w:ascii="Arial" w:cs="Arial" w:eastAsia="Arial" w:hAnsi="Arial"/>
          <w:sz w:val="17"/>
          <w:szCs w:val="17"/>
          <w:color w:val="auto"/>
        </w:rPr>
        <w:t xml:space="preserve"> </w:t>
      </w:r>
      <w:r>
        <w:rPr>
          <w:rFonts w:ascii="Arial" w:cs="Arial" w:eastAsia="Arial" w:hAnsi="Arial"/>
          <w:sz w:val="17"/>
          <w:szCs w:val="17"/>
          <w:color w:val="auto"/>
          <w:highlight w:val="white"/>
        </w:rPr>
        <w:t>at the close of business at Company headquarters on the date three (3) months after Participant’s Termination Date (as defined below) (or such shorter time period not less than thirty (30) days or longer time period as may be determined by the Committee). The Company determines when Participant’s Service terminates for all purposes under this Option Agreement.</w:t>
      </w:r>
    </w:p>
    <w:p>
      <w:pPr>
        <w:spacing w:after="0" w:line="155" w:lineRule="exact"/>
        <w:rPr>
          <w:rFonts w:ascii="Arial" w:cs="Arial" w:eastAsia="Arial" w:hAnsi="Arial"/>
          <w:sz w:val="17"/>
          <w:szCs w:val="17"/>
          <w:color w:val="auto"/>
        </w:rPr>
      </w:pPr>
    </w:p>
    <w:p>
      <w:pPr>
        <w:ind w:right="40" w:firstLine="952"/>
        <w:spacing w:after="0" w:line="216" w:lineRule="auto"/>
        <w:tabs>
          <w:tab w:leader="none" w:pos="1193" w:val="left"/>
        </w:tabs>
        <w:numPr>
          <w:ilvl w:val="1"/>
          <w:numId w:val="101"/>
        </w:numPr>
        <w:rPr>
          <w:rFonts w:ascii="Arial" w:cs="Arial" w:eastAsia="Arial" w:hAnsi="Arial"/>
          <w:sz w:val="17"/>
          <w:szCs w:val="17"/>
          <w:color w:val="auto"/>
        </w:rPr>
      </w:pPr>
      <w:r>
        <w:rPr>
          <w:rFonts w:ascii="Arial" w:cs="Arial" w:eastAsia="Arial" w:hAnsi="Arial"/>
          <w:sz w:val="17"/>
          <w:szCs w:val="17"/>
          <w:color w:val="auto"/>
        </w:rPr>
        <w:t xml:space="preserve">Death; Disability. If Participant dies before Participant’s Service terminates (or Participant dies within three months of Participant’s termination </w:t>
      </w:r>
      <w:r>
        <w:rPr>
          <w:rFonts w:ascii="Arial" w:cs="Arial" w:eastAsia="Arial" w:hAnsi="Arial"/>
          <w:sz w:val="17"/>
          <w:szCs w:val="17"/>
          <w:color w:val="auto"/>
          <w:highlight w:val="white"/>
        </w:rPr>
        <w:t>of Service other than for Cause), then this Option will expire at the close of business at Company headquarters on the date twelve (12) months after the date of death (or such shorter time period not less than six (6) months or longer time period as may be determined by the Committee, subject to the expiration details in Section 7). If Participant’s Service terminates because of Participant’s Disability, then this Option will expire at the close of business at Company headquarters on the date twelve (12) months after Participant’s Termination Date (or such shorter time period not less than six (6) months or longer time period as may be determined by the Committee, subject to the expiration details in Section 7).</w:t>
      </w:r>
    </w:p>
    <w:p>
      <w:pPr>
        <w:spacing w:after="0" w:line="159" w:lineRule="exact"/>
        <w:rPr>
          <w:rFonts w:ascii="Arial" w:cs="Arial" w:eastAsia="Arial" w:hAnsi="Arial"/>
          <w:sz w:val="17"/>
          <w:szCs w:val="17"/>
          <w:color w:val="auto"/>
        </w:rPr>
      </w:pPr>
    </w:p>
    <w:p>
      <w:pPr>
        <w:ind w:right="220" w:firstLine="952"/>
        <w:spacing w:after="0" w:line="222" w:lineRule="auto"/>
        <w:tabs>
          <w:tab w:leader="none" w:pos="1183" w:val="left"/>
        </w:tabs>
        <w:numPr>
          <w:ilvl w:val="1"/>
          <w:numId w:val="101"/>
        </w:numPr>
        <w:rPr>
          <w:rFonts w:ascii="Arial" w:cs="Arial" w:eastAsia="Arial" w:hAnsi="Arial"/>
          <w:sz w:val="17"/>
          <w:szCs w:val="17"/>
          <w:color w:val="auto"/>
        </w:rPr>
      </w:pPr>
      <w:r>
        <w:rPr>
          <w:rFonts w:ascii="Arial" w:cs="Arial" w:eastAsia="Arial" w:hAnsi="Arial"/>
          <w:sz w:val="17"/>
          <w:szCs w:val="17"/>
          <w:color w:val="auto"/>
        </w:rPr>
        <w:t xml:space="preserve">Cause. </w:t>
      </w:r>
      <w:r>
        <w:rPr>
          <w:rFonts w:ascii="Arial" w:cs="Arial" w:eastAsia="Arial" w:hAnsi="Arial"/>
          <w:sz w:val="17"/>
          <w:szCs w:val="17"/>
          <w:color w:val="auto"/>
          <w:highlight w:val="white"/>
        </w:rPr>
        <w:t>Unless otherwise determined by the Committee, the Option (whether or not vested) will terminate immediately upon the Participant’s</w:t>
      </w:r>
      <w:r>
        <w:rPr>
          <w:rFonts w:ascii="Arial" w:cs="Arial" w:eastAsia="Arial" w:hAnsi="Arial"/>
          <w:sz w:val="17"/>
          <w:szCs w:val="17"/>
          <w:color w:val="auto"/>
        </w:rPr>
        <w:t xml:space="preserve"> </w:t>
      </w:r>
      <w:r>
        <w:rPr>
          <w:rFonts w:ascii="Arial" w:cs="Arial" w:eastAsia="Arial" w:hAnsi="Arial"/>
          <w:sz w:val="17"/>
          <w:szCs w:val="17"/>
          <w:color w:val="auto"/>
          <w:highlight w:val="white"/>
        </w:rPr>
        <w:t>cessation of Services if the Company reasonably determines in good faith that such cessation of Services has resulted in connection with an act or failure to act constituting Cause (or the Participant’s Services could have been terminated for Cause (without regard to the lapsing of any required notice or cure periods in connection therewith) at the time the Participant terminated Services).</w:t>
      </w:r>
    </w:p>
    <w:p>
      <w:pPr>
        <w:spacing w:after="0" w:line="77" w:lineRule="exact"/>
        <w:rPr>
          <w:rFonts w:ascii="Arial" w:cs="Arial" w:eastAsia="Arial" w:hAnsi="Arial"/>
          <w:sz w:val="17"/>
          <w:szCs w:val="17"/>
          <w:color w:val="auto"/>
        </w:rPr>
      </w:pPr>
    </w:p>
    <w:p>
      <w:pPr>
        <w:jc w:val="both"/>
        <w:ind w:right="100" w:firstLine="952"/>
        <w:spacing w:after="0" w:line="227" w:lineRule="auto"/>
        <w:tabs>
          <w:tab w:leader="none" w:pos="1193" w:val="left"/>
        </w:tabs>
        <w:numPr>
          <w:ilvl w:val="1"/>
          <w:numId w:val="101"/>
        </w:numPr>
        <w:rPr>
          <w:rFonts w:ascii="Arial" w:cs="Arial" w:eastAsia="Arial" w:hAnsi="Arial"/>
          <w:sz w:val="17"/>
          <w:szCs w:val="17"/>
          <w:color w:val="auto"/>
        </w:rPr>
      </w:pPr>
      <w:r>
        <w:rPr>
          <w:rFonts w:ascii="Arial" w:cs="Arial" w:eastAsia="Arial" w:hAnsi="Arial"/>
          <w:sz w:val="17"/>
          <w:szCs w:val="17"/>
          <w:color w:val="auto"/>
        </w:rPr>
        <w:t xml:space="preserve">No Notification of Exercise Periods. </w:t>
      </w:r>
      <w:r>
        <w:rPr>
          <w:rFonts w:ascii="Arial" w:cs="Arial" w:eastAsia="Arial" w:hAnsi="Arial"/>
          <w:sz w:val="17"/>
          <w:szCs w:val="17"/>
          <w:color w:val="auto"/>
          <w:highlight w:val="white"/>
        </w:rPr>
        <w:t>Participant is responsible for keeping track of these exercise periods following Participant’s termination of</w:t>
      </w:r>
      <w:r>
        <w:rPr>
          <w:rFonts w:ascii="Arial" w:cs="Arial" w:eastAsia="Arial" w:hAnsi="Arial"/>
          <w:sz w:val="17"/>
          <w:szCs w:val="17"/>
          <w:color w:val="auto"/>
        </w:rPr>
        <w:t xml:space="preserve"> </w:t>
      </w:r>
      <w:r>
        <w:rPr>
          <w:rFonts w:ascii="Arial" w:cs="Arial" w:eastAsia="Arial" w:hAnsi="Arial"/>
          <w:sz w:val="17"/>
          <w:szCs w:val="17"/>
          <w:color w:val="auto"/>
          <w:highlight w:val="white"/>
        </w:rPr>
        <w:t>Service for any reason. The Company will not provide further notice of such periods. In no event shall this Option be exercised later than the Expiration Date set forth in the Notice.</w:t>
      </w:r>
    </w:p>
    <w:p>
      <w:pPr>
        <w:spacing w:after="0" w:line="155" w:lineRule="exact"/>
        <w:rPr>
          <w:rFonts w:ascii="Arial" w:cs="Arial" w:eastAsia="Arial" w:hAnsi="Arial"/>
          <w:sz w:val="17"/>
          <w:szCs w:val="17"/>
          <w:color w:val="auto"/>
        </w:rPr>
      </w:pPr>
    </w:p>
    <w:p>
      <w:pPr>
        <w:ind w:right="120" w:firstLine="952"/>
        <w:spacing w:after="0" w:line="228" w:lineRule="auto"/>
        <w:tabs>
          <w:tab w:leader="none" w:pos="118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Termination. For purposes of this Option, Participant’s Service will be considered terminated (regardless of the reason for such termination and </w:t>
      </w:r>
      <w:r>
        <w:rPr>
          <w:rFonts w:ascii="Arial" w:cs="Arial" w:eastAsia="Arial" w:hAnsi="Arial"/>
          <w:sz w:val="16"/>
          <w:szCs w:val="16"/>
          <w:color w:val="auto"/>
          <w:highlight w:val="white"/>
        </w:rPr>
        <w:t>whether or not later found to be invalid or in breach of employment laws in the jurisdiction where Participant is employed or the terms of Participant’s employment agreement, if any) as of the date Participant is no longer actively providing services to the Company or one of its Subsidiaries (</w:t>
      </w:r>
      <w:r>
        <w:rPr>
          <w:rFonts w:ascii="Arial" w:cs="Arial" w:eastAsia="Arial" w:hAnsi="Arial"/>
          <w:sz w:val="16"/>
          <w:szCs w:val="16"/>
          <w:i w:val="1"/>
          <w:iCs w:val="1"/>
          <w:color w:val="auto"/>
          <w:highlight w:val="white"/>
        </w:rPr>
        <w:t>i.e.</w:t>
      </w:r>
      <w:r>
        <w:rPr>
          <w:rFonts w:ascii="Arial" w:cs="Arial" w:eastAsia="Arial" w:hAnsi="Arial"/>
          <w:sz w:val="16"/>
          <w:szCs w:val="16"/>
          <w:color w:val="auto"/>
          <w:highlight w:val="white"/>
        </w:rPr>
        <w:t>, Participant’s period of Service would not include any contractual notice period or any period of “garden leave” or similar period mandated under employment laws in the jurisdiction where Participant is employed or the terms of Participant’s employment agreement, if any) (the “</w:t>
      </w:r>
      <w:r>
        <w:rPr>
          <w:rFonts w:ascii="Arial" w:cs="Arial" w:eastAsia="Arial" w:hAnsi="Arial"/>
          <w:sz w:val="16"/>
          <w:szCs w:val="16"/>
          <w:b w:val="1"/>
          <w:bCs w:val="1"/>
          <w:i w:val="1"/>
          <w:iCs w:val="1"/>
          <w:color w:val="auto"/>
          <w:highlight w:val="white"/>
        </w:rPr>
        <w:t>Termination Date</w:t>
      </w:r>
      <w:r>
        <w:rPr>
          <w:rFonts w:ascii="Arial" w:cs="Arial" w:eastAsia="Arial" w:hAnsi="Arial"/>
          <w:sz w:val="16"/>
          <w:szCs w:val="16"/>
          <w:color w:val="auto"/>
          <w:highlight w:val="white"/>
        </w:rPr>
        <w:t>”). Unless otherwise provided in this Option Agreement or determined by the Company, Participant’s right to vest in the Option under the Plan, if any, will terminate as of the Termination Date and Participant’s right to exercise the Option after termination of Service, if any, will be measured from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-1301750</wp:posOffset>
            </wp:positionV>
            <wp:extent cx="24765" cy="901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24765" cy="9017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5" w:name="page166"/>
    <w:bookmarkEnd w:id="165"/>
    <w:p>
      <w:pPr>
        <w:spacing w:after="0" w:line="122" w:lineRule="exact"/>
        <w:rPr>
          <w:sz w:val="20"/>
          <w:szCs w:val="20"/>
          <w:color w:val="auto"/>
        </w:rPr>
      </w:pPr>
    </w:p>
    <w:p>
      <w:pPr>
        <w:ind w:right="400"/>
        <w:spacing w:after="0" w:line="227" w:lineRule="auto"/>
        <w:rPr>
          <w:sz w:val="20"/>
          <w:szCs w:val="20"/>
          <w:color w:val="auto"/>
        </w:rPr>
      </w:pPr>
      <w:r>
        <w:rPr>
          <w:rFonts w:ascii="Arial" w:cs="Arial" w:eastAsia="Arial" w:hAnsi="Arial"/>
          <w:sz w:val="17"/>
          <w:szCs w:val="17"/>
          <w:color w:val="auto"/>
        </w:rPr>
        <w:t>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 leave of absence).</w:t>
      </w:r>
    </w:p>
    <w:p>
      <w:pPr>
        <w:spacing w:after="0" w:line="156" w:lineRule="exact"/>
        <w:rPr>
          <w:sz w:val="20"/>
          <w:szCs w:val="20"/>
          <w:color w:val="auto"/>
        </w:rPr>
      </w:pPr>
    </w:p>
    <w:p>
      <w:pPr>
        <w:ind w:right="580"/>
        <w:spacing w:after="0" w:line="265" w:lineRule="auto"/>
        <w:rPr>
          <w:sz w:val="20"/>
          <w:szCs w:val="20"/>
          <w:color w:val="auto"/>
        </w:rPr>
      </w:pPr>
      <w:r>
        <w:rPr>
          <w:rFonts w:ascii="Arial" w:cs="Arial" w:eastAsia="Arial" w:hAnsi="Arial"/>
          <w:sz w:val="16"/>
          <w:szCs w:val="16"/>
          <w:color w:val="auto"/>
        </w:rPr>
        <w:t>If Participant does not exercise this Option within the termination period set forth in the Notice or the termination periods set forth above, the Option shall terminate in its entirety. In no event, may any Option be exercised after the Expiration Date of the Option as set forth in the Notice.</w:t>
      </w:r>
    </w:p>
    <w:p>
      <w:pPr>
        <w:spacing w:after="0" w:line="130" w:lineRule="exact"/>
        <w:rPr>
          <w:sz w:val="20"/>
          <w:szCs w:val="20"/>
          <w:color w:val="auto"/>
        </w:rPr>
      </w:pPr>
    </w:p>
    <w:p>
      <w:pPr>
        <w:ind w:left="600" w:hanging="175"/>
        <w:spacing w:after="0"/>
        <w:tabs>
          <w:tab w:leader="none" w:pos="600"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Exercise of Option</w:t>
      </w:r>
      <w:r>
        <w:rPr>
          <w:rFonts w:ascii="Arial" w:cs="Arial" w:eastAsia="Arial" w:hAnsi="Arial"/>
          <w:sz w:val="17"/>
          <w:szCs w:val="17"/>
          <w:b w:val="1"/>
          <w:bCs w:val="1"/>
          <w:color w:val="auto"/>
        </w:rPr>
        <w:t>.</w:t>
      </w:r>
    </w:p>
    <w:p>
      <w:pPr>
        <w:spacing w:after="0" w:line="185" w:lineRule="exact"/>
        <w:rPr>
          <w:rFonts w:ascii="Arial" w:cs="Arial" w:eastAsia="Arial" w:hAnsi="Arial"/>
          <w:sz w:val="17"/>
          <w:szCs w:val="17"/>
          <w:b w:val="1"/>
          <w:bCs w:val="1"/>
          <w:color w:val="auto"/>
        </w:rPr>
      </w:pPr>
    </w:p>
    <w:p>
      <w:pPr>
        <w:ind w:right="220" w:firstLine="952"/>
        <w:spacing w:after="0" w:line="222" w:lineRule="auto"/>
        <w:tabs>
          <w:tab w:leader="none" w:pos="1183" w:val="left"/>
        </w:tabs>
        <w:numPr>
          <w:ilvl w:val="1"/>
          <w:numId w:val="102"/>
        </w:numPr>
        <w:rPr>
          <w:rFonts w:ascii="Arial" w:cs="Arial" w:eastAsia="Arial" w:hAnsi="Arial"/>
          <w:sz w:val="17"/>
          <w:szCs w:val="17"/>
          <w:color w:val="auto"/>
        </w:rPr>
      </w:pPr>
      <w:r>
        <w:rPr>
          <w:rFonts w:ascii="Arial" w:cs="Arial" w:eastAsia="Arial" w:hAnsi="Arial"/>
          <w:sz w:val="17"/>
          <w:szCs w:val="17"/>
          <w:color w:val="auto"/>
        </w:rPr>
        <w:t xml:space="preserve">Right to Exercise. </w:t>
      </w:r>
      <w:r>
        <w:rPr>
          <w:rFonts w:ascii="Arial" w:cs="Arial" w:eastAsia="Arial" w:hAnsi="Arial"/>
          <w:sz w:val="17"/>
          <w:szCs w:val="17"/>
          <w:color w:val="auto"/>
          <w:highlight w:val="white"/>
        </w:rPr>
        <w:t>This Option is exercisable during its term in accordance with the Vesting Schedule set forth in the Notice and the applicable</w:t>
      </w:r>
      <w:r>
        <w:rPr>
          <w:rFonts w:ascii="Arial" w:cs="Arial" w:eastAsia="Arial" w:hAnsi="Arial"/>
          <w:sz w:val="17"/>
          <w:szCs w:val="17"/>
          <w:color w:val="auto"/>
        </w:rPr>
        <w:t xml:space="preserve"> </w:t>
      </w:r>
      <w:r>
        <w:rPr>
          <w:rFonts w:ascii="Arial" w:cs="Arial" w:eastAsia="Arial" w:hAnsi="Arial"/>
          <w:sz w:val="17"/>
          <w:szCs w:val="17"/>
          <w:color w:val="auto"/>
          <w:highlight w:val="white"/>
        </w:rPr>
        <w:t>provisions of the Plan and this Option Agreement. In the event of Participant’s death, Disability, termination for Cause or other cessation of Service, the exercisability of the Option is governed by the applicable provisions of the Plan, the Notice and this Option Agreement. This Option may not be exercised for a fraction of a Share.</w:t>
      </w:r>
    </w:p>
    <w:p>
      <w:pPr>
        <w:spacing w:after="0" w:line="155" w:lineRule="exact"/>
        <w:rPr>
          <w:rFonts w:ascii="Arial" w:cs="Arial" w:eastAsia="Arial" w:hAnsi="Arial"/>
          <w:sz w:val="17"/>
          <w:szCs w:val="17"/>
          <w:color w:val="auto"/>
        </w:rPr>
      </w:pPr>
    </w:p>
    <w:p>
      <w:pPr>
        <w:ind w:right="40" w:firstLine="952"/>
        <w:spacing w:after="0"/>
        <w:tabs>
          <w:tab w:leader="none" w:pos="1193" w:val="left"/>
        </w:tabs>
        <w:numPr>
          <w:ilvl w:val="1"/>
          <w:numId w:val="102"/>
        </w:numPr>
        <w:rPr>
          <w:rFonts w:ascii="Arial" w:cs="Arial" w:eastAsia="Arial" w:hAnsi="Arial"/>
          <w:sz w:val="15"/>
          <w:szCs w:val="15"/>
          <w:color w:val="auto"/>
        </w:rPr>
      </w:pPr>
      <w:r>
        <w:rPr>
          <w:rFonts w:ascii="Arial" w:cs="Arial" w:eastAsia="Arial" w:hAnsi="Arial"/>
          <w:sz w:val="15"/>
          <w:szCs w:val="15"/>
          <w:color w:val="auto"/>
        </w:rPr>
        <w:t xml:space="preserve">Method of Exercise. </w:t>
      </w:r>
      <w:r>
        <w:rPr>
          <w:rFonts w:ascii="Arial" w:cs="Arial" w:eastAsia="Arial" w:hAnsi="Arial"/>
          <w:sz w:val="15"/>
          <w:szCs w:val="15"/>
          <w:color w:val="auto"/>
          <w:highlight w:val="white"/>
        </w:rPr>
        <w:t>This Option is exercisable by delivery of an exercise notice in a form specified by the Company (the “</w:t>
      </w:r>
      <w:r>
        <w:rPr>
          <w:rFonts w:ascii="Arial" w:cs="Arial" w:eastAsia="Arial" w:hAnsi="Arial"/>
          <w:sz w:val="15"/>
          <w:szCs w:val="15"/>
          <w:b w:val="1"/>
          <w:bCs w:val="1"/>
          <w:i w:val="1"/>
          <w:iCs w:val="1"/>
          <w:color w:val="auto"/>
          <w:highlight w:val="white"/>
        </w:rPr>
        <w:t>Exercise Notice</w:t>
      </w:r>
      <w:r>
        <w:rPr>
          <w:rFonts w:ascii="Arial" w:cs="Arial" w:eastAsia="Arial" w:hAnsi="Arial"/>
          <w:sz w:val="15"/>
          <w:szCs w:val="15"/>
          <w:color w:val="auto"/>
          <w:highlight w:val="white"/>
        </w:rPr>
        <w:t>”),</w:t>
      </w:r>
      <w:r>
        <w:rPr>
          <w:rFonts w:ascii="Arial" w:cs="Arial" w:eastAsia="Arial" w:hAnsi="Arial"/>
          <w:sz w:val="15"/>
          <w:szCs w:val="15"/>
          <w:color w:val="auto"/>
        </w:rPr>
        <w:t xml:space="preserve"> </w:t>
      </w:r>
      <w:r>
        <w:rPr>
          <w:rFonts w:ascii="Arial" w:cs="Arial" w:eastAsia="Arial" w:hAnsi="Arial"/>
          <w:sz w:val="15"/>
          <w:szCs w:val="15"/>
          <w:color w:val="auto"/>
          <w:highlight w:val="white"/>
        </w:rPr>
        <w:t>which will state the election to exercise the Option, the number of Shares in respect of which the Option is being exercised (the “</w:t>
      </w:r>
      <w:r>
        <w:rPr>
          <w:rFonts w:ascii="Arial" w:cs="Arial" w:eastAsia="Arial" w:hAnsi="Arial"/>
          <w:sz w:val="15"/>
          <w:szCs w:val="15"/>
          <w:b w:val="1"/>
          <w:bCs w:val="1"/>
          <w:i w:val="1"/>
          <w:iCs w:val="1"/>
          <w:color w:val="auto"/>
          <w:highlight w:val="white"/>
        </w:rPr>
        <w:t>Exercised Shares</w:t>
      </w:r>
      <w:r>
        <w:rPr>
          <w:rFonts w:ascii="Arial" w:cs="Arial" w:eastAsia="Arial" w:hAnsi="Arial"/>
          <w:sz w:val="15"/>
          <w:szCs w:val="15"/>
          <w:color w:val="auto"/>
          <w:highlight w:val="white"/>
        </w:rPr>
        <w:t>”), and such other representations and agreements as may be required by the Company pursuant to the provisions of the Plan. The Exercise Notice will be delivered in person, by mail, via electronic mail or facsimile or by other authorized method to the Secretary of the Company or other person designated by the Company. The Exercise Notice will be accompanied by payment of the aggregate Exercise Price as to all Exercised Shares together with any applicable Tax-Related Items (as defined in Section 8 below). This Option will be deemed to be exercised upon receipt by the Company of such fully executed Exercise Notice accompanied by such aggregate Exercise Price and payment of any applicable Tax-Related Items (as defined below). No Shares will be issued pursuant to the exercise of this Option unless such issuance and exercise complies with all relevant provisions of law and the requirements of any stock exchange or quotation service upon which the Shares are then listed and any exchange control registrations. Assuming such compliance, for United States income tax purposes the Exercised Shares will be considered transferred to Participant on the date the Option is exercised with respect to such Exercised Shares.</w:t>
      </w:r>
    </w:p>
    <w:p>
      <w:pPr>
        <w:spacing w:after="0" w:line="84" w:lineRule="exact"/>
        <w:rPr>
          <w:rFonts w:ascii="Arial" w:cs="Arial" w:eastAsia="Arial" w:hAnsi="Arial"/>
          <w:sz w:val="15"/>
          <w:szCs w:val="15"/>
          <w:color w:val="auto"/>
        </w:rPr>
      </w:pPr>
    </w:p>
    <w:p>
      <w:pPr>
        <w:ind w:right="280" w:firstLine="952"/>
        <w:spacing w:after="0" w:line="266" w:lineRule="auto"/>
        <w:tabs>
          <w:tab w:leader="none" w:pos="1183" w:val="left"/>
        </w:tabs>
        <w:numPr>
          <w:ilvl w:val="1"/>
          <w:numId w:val="102"/>
        </w:numPr>
        <w:rPr>
          <w:rFonts w:ascii="Arial" w:cs="Arial" w:eastAsia="Arial" w:hAnsi="Arial"/>
          <w:sz w:val="15"/>
          <w:szCs w:val="15"/>
          <w:color w:val="auto"/>
        </w:rPr>
      </w:pPr>
      <w:r>
        <w:rPr>
          <w:rFonts w:ascii="Arial" w:cs="Arial" w:eastAsia="Arial" w:hAnsi="Arial"/>
          <w:sz w:val="15"/>
          <w:szCs w:val="15"/>
          <w:color w:val="auto"/>
        </w:rPr>
        <w:t xml:space="preserve">Exercise by Another. </w:t>
      </w:r>
      <w:r>
        <w:rPr>
          <w:rFonts w:ascii="Arial" w:cs="Arial" w:eastAsia="Arial" w:hAnsi="Arial"/>
          <w:sz w:val="15"/>
          <w:szCs w:val="15"/>
          <w:color w:val="auto"/>
          <w:highlight w:val="white"/>
        </w:rPr>
        <w:t>If another person wants to exercise this Option after it has been transferred to him or her in compliance with this Option</w:t>
      </w:r>
      <w:r>
        <w:rPr>
          <w:rFonts w:ascii="Arial" w:cs="Arial" w:eastAsia="Arial" w:hAnsi="Arial"/>
          <w:sz w:val="15"/>
          <w:szCs w:val="15"/>
          <w:color w:val="auto"/>
        </w:rPr>
        <w:t xml:space="preserve"> </w:t>
      </w:r>
      <w:r>
        <w:rPr>
          <w:rFonts w:ascii="Arial" w:cs="Arial" w:eastAsia="Arial" w:hAnsi="Arial"/>
          <w:sz w:val="15"/>
          <w:szCs w:val="15"/>
          <w:color w:val="auto"/>
          <w:highlight w:val="white"/>
        </w:rPr>
        <w:t>Agreement, that person must prove to the Company’s satisfaction that he or she is entitled to exercise this Option. That person must also complete the proper Exercise Notice form (as described above) and pay the Exercise Price (as described below) and any applicable Tax-Related Items (as described below).</w:t>
      </w:r>
    </w:p>
    <w:p>
      <w:pPr>
        <w:spacing w:after="0" w:line="131" w:lineRule="exact"/>
        <w:rPr>
          <w:rFonts w:ascii="Arial" w:cs="Arial" w:eastAsia="Arial" w:hAnsi="Arial"/>
          <w:sz w:val="15"/>
          <w:szCs w:val="15"/>
          <w:color w:val="auto"/>
        </w:rPr>
      </w:pPr>
    </w:p>
    <w:p>
      <w:pPr>
        <w:ind w:right="20" w:firstLine="425"/>
        <w:spacing w:after="0" w:line="243" w:lineRule="auto"/>
        <w:tabs>
          <w:tab w:leader="none" w:pos="594"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Method of Payment. </w:t>
      </w:r>
      <w:r>
        <w:rPr>
          <w:rFonts w:ascii="Arial" w:cs="Arial" w:eastAsia="Arial" w:hAnsi="Arial"/>
          <w:sz w:val="17"/>
          <w:szCs w:val="17"/>
          <w:color w:val="auto"/>
          <w:highlight w:val="white"/>
        </w:rPr>
        <w:t>Payment of the aggregate Exercise Price, and any Tax-Related Items withholding, will be by any of the following, or a combination</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thereof, at the election of Participant:</w:t>
      </w:r>
    </w:p>
    <w:p>
      <w:pPr>
        <w:spacing w:after="0" w:line="49" w:lineRule="exact"/>
        <w:rPr>
          <w:rFonts w:ascii="Arial" w:cs="Arial" w:eastAsia="Arial" w:hAnsi="Arial"/>
          <w:sz w:val="17"/>
          <w:szCs w:val="17"/>
          <w:b w:val="1"/>
          <w:bCs w:val="1"/>
          <w:color w:val="auto"/>
        </w:rPr>
      </w:pPr>
    </w:p>
    <w:p>
      <w:pPr>
        <w:ind w:left="1180" w:hanging="228"/>
        <w:spacing w:after="0"/>
        <w:tabs>
          <w:tab w:leader="none" w:pos="11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Participant’s personal check (representing readily available funds), wire transfer, or a cashier’s check;</w:t>
      </w:r>
    </w:p>
    <w:p>
      <w:pPr>
        <w:spacing w:after="0" w:line="179" w:lineRule="exact"/>
        <w:rPr>
          <w:rFonts w:ascii="Arial" w:cs="Arial" w:eastAsia="Arial" w:hAnsi="Arial"/>
          <w:sz w:val="17"/>
          <w:szCs w:val="17"/>
          <w:color w:val="auto"/>
        </w:rPr>
      </w:pPr>
    </w:p>
    <w:p>
      <w:pPr>
        <w:ind w:firstLine="952"/>
        <w:spacing w:after="0" w:line="216" w:lineRule="auto"/>
        <w:tabs>
          <w:tab w:leader="none" w:pos="1193" w:val="left"/>
        </w:tabs>
        <w:numPr>
          <w:ilvl w:val="1"/>
          <w:numId w:val="102"/>
        </w:numPr>
        <w:rPr>
          <w:rFonts w:ascii="Arial" w:cs="Arial" w:eastAsia="Arial" w:hAnsi="Arial"/>
          <w:sz w:val="17"/>
          <w:szCs w:val="17"/>
          <w:color w:val="auto"/>
        </w:rPr>
      </w:pPr>
      <w:r>
        <w:rPr>
          <w:rFonts w:ascii="Arial" w:cs="Arial" w:eastAsia="Arial" w:hAnsi="Arial"/>
          <w:sz w:val="17"/>
          <w:szCs w:val="17"/>
          <w:color w:val="auto"/>
        </w:rPr>
        <w:t>if permitted by the Committee, certificates for shares of Company stock that Participant owns, along with any forms needed to effect a transfer of those shares to the Company; the value of the shares, determined as of the effective date of the Option exercise, will be applied to the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this Option for financial reporting purposes;</w:t>
      </w:r>
    </w:p>
    <w:p>
      <w:pPr>
        <w:spacing w:after="0" w:line="159" w:lineRule="exact"/>
        <w:rPr>
          <w:rFonts w:ascii="Arial" w:cs="Arial" w:eastAsia="Arial" w:hAnsi="Arial"/>
          <w:sz w:val="17"/>
          <w:szCs w:val="17"/>
          <w:color w:val="auto"/>
        </w:rPr>
      </w:pPr>
    </w:p>
    <w:p>
      <w:pPr>
        <w:jc w:val="both"/>
        <w:ind w:right="180" w:firstLine="952"/>
        <w:spacing w:after="0" w:line="222" w:lineRule="auto"/>
        <w:tabs>
          <w:tab w:leader="none" w:pos="1183" w:val="left"/>
        </w:tabs>
        <w:numPr>
          <w:ilvl w:val="1"/>
          <w:numId w:val="102"/>
        </w:numPr>
        <w:rPr>
          <w:rFonts w:ascii="Arial" w:cs="Arial" w:eastAsia="Arial" w:hAnsi="Arial"/>
          <w:sz w:val="17"/>
          <w:szCs w:val="17"/>
          <w:color w:val="auto"/>
        </w:rPr>
      </w:pPr>
      <w:r>
        <w:rPr>
          <w:rFonts w:ascii="Arial" w:cs="Arial" w:eastAsia="Arial" w:hAnsi="Arial"/>
          <w:sz w:val="17"/>
          <w:szCs w:val="17"/>
          <w:color w:val="auto"/>
        </w:rPr>
        <w:t>cashless exercise through irrevocable directions to a securities broker approved by the Company to sell all or part of the Shares covered by this Option and to deliver to the Company from the sale proceeds an amount sufficient to pay the Exercise Price and any applicable Tax-Related Items withholding. The balance of the sale proceeds, if any, will be delivered to Participant unless otherwise provided in this Option Agreement. The directions must be given by signing a special notice of exercise form provided by the Company; or</w:t>
      </w:r>
    </w:p>
    <w:p>
      <w:pPr>
        <w:spacing w:after="0" w:line="155" w:lineRule="exact"/>
        <w:rPr>
          <w:rFonts w:ascii="Arial" w:cs="Arial" w:eastAsia="Arial" w:hAnsi="Arial"/>
          <w:sz w:val="17"/>
          <w:szCs w:val="17"/>
          <w:color w:val="auto"/>
        </w:rPr>
      </w:pPr>
    </w:p>
    <w:p>
      <w:pPr>
        <w:ind w:left="1200" w:hanging="248"/>
        <w:spacing w:after="0"/>
        <w:tabs>
          <w:tab w:leader="none" w:pos="120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other method authorized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-2494915</wp:posOffset>
            </wp:positionV>
            <wp:extent cx="24765" cy="901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24765" cy="90170"/>
                    </a:xfrm>
                    <a:prstGeom prst="rect">
                      <a:avLst/>
                    </a:prstGeom>
                    <a:noFill/>
                  </pic:spPr>
                </pic:pic>
              </a:graphicData>
            </a:graphic>
          </wp:anchor>
        </w:drawing>
      </w:r>
    </w:p>
    <w:p>
      <w:pPr>
        <w:spacing w:after="0" w:line="15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provided, however, that the Company may restrict the available methods of payment due to facilitate compliance with applicable law or administration of the Plan. In particular, if Participant is located outside the United States,</w:t>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Participant should review the applicable provisions of the Appendix for any such restrictions that may currently apply.</w:t>
      </w:r>
    </w:p>
    <w:p>
      <w:pPr>
        <w:spacing w:after="0" w:line="173" w:lineRule="exact"/>
        <w:rPr>
          <w:sz w:val="20"/>
          <w:szCs w:val="20"/>
          <w:color w:val="auto"/>
        </w:rPr>
      </w:pPr>
    </w:p>
    <w:p>
      <w:pPr>
        <w:ind w:firstLine="425"/>
        <w:spacing w:after="0" w:line="223" w:lineRule="auto"/>
        <w:tabs>
          <w:tab w:leader="none" w:pos="594"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Non-Transferability of Option. </w:t>
      </w:r>
      <w:r>
        <w:rPr>
          <w:rFonts w:ascii="Arial" w:cs="Arial" w:eastAsia="Arial" w:hAnsi="Arial"/>
          <w:sz w:val="17"/>
          <w:szCs w:val="17"/>
          <w:color w:val="auto"/>
        </w:rPr>
        <w:t>This Option may not be sold, assigned, transferred, pledged, hypothecated, or otherwise disposed of other than by will or</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by the laws of descent or distribution or court order and may be exercised during the lifetime of Participant only by Participant or unless otherwise permitted by the Committee on a case-by-case basis. The terms of the Plan and this Option Agreement will be binding upon the executors, administrators, heirs, successors and assigns of Participant.</w:t>
      </w:r>
    </w:p>
    <w:p>
      <w:pPr>
        <w:spacing w:after="0" w:line="152" w:lineRule="exact"/>
        <w:rPr>
          <w:rFonts w:ascii="Arial" w:cs="Arial" w:eastAsia="Arial" w:hAnsi="Arial"/>
          <w:sz w:val="17"/>
          <w:szCs w:val="17"/>
          <w:b w:val="1"/>
          <w:bCs w:val="1"/>
          <w:color w:val="auto"/>
        </w:rPr>
      </w:pPr>
    </w:p>
    <w:p>
      <w:pPr>
        <w:ind w:left="600" w:hanging="175"/>
        <w:spacing w:after="0"/>
        <w:tabs>
          <w:tab w:leader="none" w:pos="60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 of Option</w:t>
      </w:r>
      <w:r>
        <w:rPr>
          <w:rFonts w:ascii="Arial" w:cs="Arial" w:eastAsia="Arial" w:hAnsi="Arial"/>
          <w:sz w:val="16"/>
          <w:szCs w:val="16"/>
          <w:b w:val="1"/>
          <w:bCs w:val="1"/>
          <w:color w:val="auto"/>
          <w:highlight w:val="white"/>
        </w:rPr>
        <w:t>.</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This Option will in any event expire on the expiration date set forth in the Notice, which date is 10 years after the Date of Grant.</w:t>
      </w:r>
    </w:p>
    <w:p>
      <w:pPr>
        <w:spacing w:after="0" w:line="190" w:lineRule="exact"/>
        <w:rPr>
          <w:rFonts w:ascii="Arial" w:cs="Arial" w:eastAsia="Arial" w:hAnsi="Arial"/>
          <w:sz w:val="16"/>
          <w:szCs w:val="16"/>
          <w:b w:val="1"/>
          <w:bCs w:val="1"/>
          <w:color w:val="auto"/>
        </w:rPr>
      </w:pPr>
    </w:p>
    <w:p>
      <w:pPr>
        <w:ind w:left="600" w:hanging="175"/>
        <w:spacing w:after="0"/>
        <w:tabs>
          <w:tab w:leader="none" w:pos="600"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b w:val="1"/>
          <w:bCs w:val="1"/>
          <w:color w:val="auto"/>
          <w:highlight w:val="white"/>
        </w:rPr>
        <w:t>.</w:t>
      </w:r>
    </w:p>
    <w:p>
      <w:pPr>
        <w:spacing w:after="0" w:line="185" w:lineRule="exact"/>
        <w:rPr>
          <w:rFonts w:ascii="Arial" w:cs="Arial" w:eastAsia="Arial" w:hAnsi="Arial"/>
          <w:sz w:val="17"/>
          <w:szCs w:val="17"/>
          <w:b w:val="1"/>
          <w:bCs w:val="1"/>
          <w:color w:val="auto"/>
        </w:rPr>
      </w:pPr>
    </w:p>
    <w:p>
      <w:pPr>
        <w:ind w:firstLine="952"/>
        <w:spacing w:after="0" w:line="224" w:lineRule="auto"/>
        <w:tabs>
          <w:tab w:leader="none" w:pos="118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Responsibility for Taxes. Participant acknowledges that, to the extent permitted by applicable law, regardless of any action taken by the Company </w:t>
      </w:r>
      <w:r>
        <w:rPr>
          <w:rFonts w:ascii="Arial" w:cs="Arial" w:eastAsia="Arial" w:hAnsi="Arial"/>
          <w:sz w:val="16"/>
          <w:szCs w:val="16"/>
          <w:color w:val="auto"/>
          <w:highlight w:val="white"/>
        </w:rPr>
        <w:t>or a Subsidiary employing or retaining Participant (the “</w:t>
      </w:r>
      <w:r>
        <w:rPr>
          <w:rFonts w:ascii="Arial" w:cs="Arial" w:eastAsia="Arial" w:hAnsi="Arial"/>
          <w:sz w:val="16"/>
          <w:szCs w:val="16"/>
          <w:b w:val="1"/>
          <w:bCs w:val="1"/>
          <w:i w:val="1"/>
          <w:iCs w:val="1"/>
          <w:color w:val="auto"/>
          <w:highlight w:val="white"/>
        </w:rPr>
        <w:t>Employer</w:t>
      </w:r>
      <w:r>
        <w:rPr>
          <w:rFonts w:ascii="Arial" w:cs="Arial" w:eastAsia="Arial" w:hAnsi="Arial"/>
          <w:sz w:val="16"/>
          <w:szCs w:val="16"/>
          <w:color w:val="auto"/>
          <w:highlight w:val="white"/>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6"/>
          <w:szCs w:val="16"/>
          <w:b w:val="1"/>
          <w:bCs w:val="1"/>
          <w:i w:val="1"/>
          <w:iCs w:val="1"/>
          <w:color w:val="auto"/>
          <w:highlight w:val="white"/>
        </w:rPr>
        <w:t>Tax-Related Items</w:t>
      </w:r>
      <w:r>
        <w:rPr>
          <w:rFonts w:ascii="Arial" w:cs="Arial" w:eastAsia="Arial" w:hAnsi="Arial"/>
          <w:sz w:val="16"/>
          <w:szCs w:val="16"/>
          <w:color w:val="auto"/>
          <w:highlight w:val="white"/>
        </w:rPr>
        <w:t xml:space="preserve">”)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Arial" w:cs="Arial" w:eastAsia="Arial" w:hAnsi="Arial"/>
          <w:sz w:val="16"/>
          <w:szCs w:val="16"/>
          <w:i w:val="1"/>
          <w:iCs w:val="1"/>
          <w:color w:val="auto"/>
          <w:highlight w:val="white"/>
        </w:rPr>
        <w:t>PARTICIPANT SHOULD CONSULT A TAX ADVISER APPROPRIATELY QUALIFIED IN EACH OF THE</w:t>
      </w:r>
      <w:r>
        <w:rPr>
          <w:rFonts w:ascii="Arial" w:cs="Arial" w:eastAsia="Arial" w:hAnsi="Arial"/>
          <w:sz w:val="16"/>
          <w:szCs w:val="16"/>
          <w:color w:val="auto"/>
          <w:highlight w:val="white"/>
        </w:rPr>
        <w:t xml:space="preserve"> </w:t>
      </w:r>
      <w:r>
        <w:rPr>
          <w:rFonts w:ascii="Arial" w:cs="Arial" w:eastAsia="Arial" w:hAnsi="Arial"/>
          <w:sz w:val="16"/>
          <w:szCs w:val="16"/>
          <w:i w:val="1"/>
          <w:iCs w:val="1"/>
          <w:color w:val="auto"/>
          <w:highlight w:val="white"/>
        </w:rPr>
        <w:t>JURISDICTIONS, INCLUDING COUNTRY OR COUNTRIES IN WHICH PARTICIPANT RESIDES OR IS SUBJECT TO TAXATION BEFORE EXERCISING THE OPTION OR DISPOSING OF THE SHARES.</w:t>
      </w:r>
    </w:p>
    <w:p>
      <w:pPr>
        <w:spacing w:after="0" w:line="161" w:lineRule="exact"/>
        <w:rPr>
          <w:rFonts w:ascii="Arial" w:cs="Arial" w:eastAsia="Arial" w:hAnsi="Arial"/>
          <w:sz w:val="16"/>
          <w:szCs w:val="16"/>
          <w:color w:val="auto"/>
        </w:rPr>
      </w:pPr>
    </w:p>
    <w:p>
      <w:pPr>
        <w:jc w:val="both"/>
        <w:ind w:right="40" w:firstLine="952"/>
        <w:spacing w:after="0" w:line="266" w:lineRule="auto"/>
        <w:tabs>
          <w:tab w:leader="none" w:pos="1193" w:val="left"/>
        </w:tabs>
        <w:numPr>
          <w:ilvl w:val="1"/>
          <w:numId w:val="103"/>
        </w:numPr>
        <w:rPr>
          <w:rFonts w:ascii="Arial" w:cs="Arial" w:eastAsia="Arial" w:hAnsi="Arial"/>
          <w:sz w:val="15"/>
          <w:szCs w:val="15"/>
          <w:color w:val="auto"/>
        </w:rPr>
      </w:pPr>
      <w:r>
        <w:rPr>
          <w:rFonts w:ascii="Arial" w:cs="Arial" w:eastAsia="Arial" w:hAnsi="Arial"/>
          <w:sz w:val="15"/>
          <w:szCs w:val="15"/>
          <w:color w:val="auto"/>
        </w:rPr>
        <w:t xml:space="preserve">Withholding. </w:t>
      </w:r>
      <w:r>
        <w:rPr>
          <w:rFonts w:ascii="Arial" w:cs="Arial" w:eastAsia="Arial" w:hAnsi="Arial"/>
          <w:sz w:val="15"/>
          <w:szCs w:val="15"/>
          <w:color w:val="auto"/>
          <w:highlight w:val="white"/>
        </w:rPr>
        <w:t>Prior to any relevant taxable or tax withholding event, as applicable, to the extent permitted by applicable law Participant agrees to</w:t>
      </w:r>
      <w:r>
        <w:rPr>
          <w:rFonts w:ascii="Arial" w:cs="Arial" w:eastAsia="Arial" w:hAnsi="Arial"/>
          <w:sz w:val="15"/>
          <w:szCs w:val="15"/>
          <w:color w:val="auto"/>
        </w:rPr>
        <w:t xml:space="preserve"> </w:t>
      </w:r>
      <w:r>
        <w:rPr>
          <w:rFonts w:ascii="Arial" w:cs="Arial" w:eastAsia="Arial" w:hAnsi="Arial"/>
          <w:sz w:val="15"/>
          <w:szCs w:val="15"/>
          <w:color w:val="auto"/>
          <w:highlight w:val="white"/>
        </w:rPr>
        <w:t>make arrangements satisfactory to the Company and/or the Employer to fulfill all Tax-Related Items. In this regard, Participant authorizes the Company and/or the Employer, or their respective agents, at their discretion, to satisfy any withholding obligations for Tax-Related Items by one or a combination of the following:</w:t>
      </w:r>
    </w:p>
    <w:p>
      <w:pPr>
        <w:spacing w:after="0" w:line="85" w:lineRule="exact"/>
        <w:rPr>
          <w:rFonts w:ascii="Arial" w:cs="Arial" w:eastAsia="Arial" w:hAnsi="Arial"/>
          <w:sz w:val="15"/>
          <w:szCs w:val="15"/>
          <w:color w:val="auto"/>
        </w:rPr>
      </w:pPr>
    </w:p>
    <w:p>
      <w:pPr>
        <w:ind w:left="1500" w:right="800" w:hanging="459"/>
        <w:spacing w:after="0" w:line="237" w:lineRule="auto"/>
        <w:tabs>
          <w:tab w:leader="none" w:pos="1500" w:val="left"/>
        </w:tabs>
        <w:numPr>
          <w:ilvl w:val="2"/>
          <w:numId w:val="103"/>
        </w:numPr>
        <w:rPr>
          <w:rFonts w:ascii="Arial" w:cs="Arial" w:eastAsia="Arial" w:hAnsi="Arial"/>
          <w:sz w:val="17"/>
          <w:szCs w:val="17"/>
          <w:color w:val="auto"/>
        </w:rPr>
      </w:pPr>
      <w:r>
        <w:rPr>
          <w:rFonts w:ascii="Arial" w:cs="Arial" w:eastAsia="Arial" w:hAnsi="Arial"/>
          <w:sz w:val="17"/>
          <w:szCs w:val="17"/>
          <w:color w:val="auto"/>
        </w:rPr>
        <w:t>withholding from Participant’s wages or other cash compensation paid to Participant by the Company and/or the Employer or any Subsidiary; or</w:t>
      </w:r>
    </w:p>
    <w:p>
      <w:pPr>
        <w:spacing w:after="0" w:line="221" w:lineRule="exact"/>
        <w:rPr>
          <w:rFonts w:ascii="Arial" w:cs="Arial" w:eastAsia="Arial" w:hAnsi="Arial"/>
          <w:sz w:val="17"/>
          <w:szCs w:val="17"/>
          <w:color w:val="auto"/>
        </w:rPr>
      </w:pPr>
    </w:p>
    <w:p>
      <w:pPr>
        <w:ind w:left="1500" w:right="220" w:hanging="459"/>
        <w:spacing w:after="0" w:line="265" w:lineRule="auto"/>
        <w:tabs>
          <w:tab w:leader="none" w:pos="150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withholding from proceeds of the sale of Shares acquired at exercise of this Option either through a voluntary sale or through a mandatory sale arranged by the Company (on Participant’s behalf pursuant to this authorization and without further consent); or</w:t>
      </w:r>
    </w:p>
    <w:p>
      <w:pPr>
        <w:spacing w:after="0" w:line="188" w:lineRule="exact"/>
        <w:rPr>
          <w:rFonts w:ascii="Arial" w:cs="Arial" w:eastAsia="Arial" w:hAnsi="Arial"/>
          <w:sz w:val="16"/>
          <w:szCs w:val="16"/>
          <w:color w:val="auto"/>
        </w:rPr>
      </w:pPr>
    </w:p>
    <w:p>
      <w:pPr>
        <w:ind w:left="1500" w:right="460" w:hanging="459"/>
        <w:spacing w:after="0" w:line="237" w:lineRule="auto"/>
        <w:tabs>
          <w:tab w:leader="none" w:pos="1500" w:val="left"/>
        </w:tabs>
        <w:numPr>
          <w:ilvl w:val="2"/>
          <w:numId w:val="103"/>
        </w:numPr>
        <w:rPr>
          <w:rFonts w:ascii="Arial" w:cs="Arial" w:eastAsia="Arial" w:hAnsi="Arial"/>
          <w:sz w:val="17"/>
          <w:szCs w:val="17"/>
          <w:color w:val="auto"/>
        </w:rPr>
      </w:pPr>
      <w:r>
        <w:rPr>
          <w:rFonts w:ascii="Arial" w:cs="Arial" w:eastAsia="Arial" w:hAnsi="Arial"/>
          <w:sz w:val="17"/>
          <w:szCs w:val="17"/>
          <w:color w:val="auto"/>
        </w:rPr>
        <w:t>withholding Shares to be issued upon exercise of the Option, provided the Company only withholds the number of Shares necessary to satisfy no more than the maximum statutory withholding amounts;</w:t>
      </w:r>
    </w:p>
    <w:p>
      <w:pPr>
        <w:spacing w:after="0" w:line="221" w:lineRule="exact"/>
        <w:rPr>
          <w:rFonts w:ascii="Arial" w:cs="Arial" w:eastAsia="Arial" w:hAnsi="Arial"/>
          <w:sz w:val="17"/>
          <w:szCs w:val="17"/>
          <w:color w:val="auto"/>
        </w:rPr>
      </w:pPr>
    </w:p>
    <w:p>
      <w:pPr>
        <w:ind w:left="1500" w:hanging="459"/>
        <w:spacing w:after="0"/>
        <w:tabs>
          <w:tab w:leader="none" w:pos="1500" w:val="left"/>
        </w:tabs>
        <w:numPr>
          <w:ilvl w:val="2"/>
          <w:numId w:val="103"/>
        </w:numPr>
        <w:rPr>
          <w:rFonts w:ascii="Arial" w:cs="Arial" w:eastAsia="Arial" w:hAnsi="Arial"/>
          <w:sz w:val="17"/>
          <w:szCs w:val="17"/>
          <w:color w:val="auto"/>
        </w:rPr>
      </w:pPr>
      <w:r>
        <w:rPr>
          <w:rFonts w:ascii="Arial" w:cs="Arial" w:eastAsia="Arial" w:hAnsi="Arial"/>
          <w:sz w:val="17"/>
          <w:szCs w:val="17"/>
          <w:color w:val="auto"/>
        </w:rPr>
        <w:t>Participant’s payment of a cash amount (including by check representing readily available funds or a wire transfer); or</w:t>
      </w:r>
    </w:p>
    <w:p>
      <w:pPr>
        <w:spacing w:after="0" w:line="243" w:lineRule="exact"/>
        <w:rPr>
          <w:rFonts w:ascii="Arial" w:cs="Arial" w:eastAsia="Arial" w:hAnsi="Arial"/>
          <w:sz w:val="17"/>
          <w:szCs w:val="17"/>
          <w:color w:val="auto"/>
        </w:rPr>
      </w:pPr>
    </w:p>
    <w:p>
      <w:pPr>
        <w:ind w:left="1500" w:hanging="459"/>
        <w:spacing w:after="0"/>
        <w:tabs>
          <w:tab w:leader="none" w:pos="1500" w:val="left"/>
        </w:tabs>
        <w:numPr>
          <w:ilvl w:val="2"/>
          <w:numId w:val="103"/>
        </w:numPr>
        <w:rPr>
          <w:rFonts w:ascii="Arial" w:cs="Arial" w:eastAsia="Arial" w:hAnsi="Arial"/>
          <w:sz w:val="17"/>
          <w:szCs w:val="17"/>
          <w:color w:val="auto"/>
        </w:rPr>
      </w:pPr>
      <w:r>
        <w:rPr>
          <w:rFonts w:ascii="Arial" w:cs="Arial" w:eastAsia="Arial" w:hAnsi="Arial"/>
          <w:sz w:val="17"/>
          <w:szCs w:val="17"/>
          <w:color w:val="auto"/>
        </w:rPr>
        <w:t>any other arrangement approved by the Committee and permitted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-1641475</wp:posOffset>
            </wp:positionV>
            <wp:extent cx="16510" cy="736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16510" cy="73660"/>
                    </a:xfrm>
                    <a:prstGeom prst="rect">
                      <a:avLst/>
                    </a:prstGeom>
                    <a:noFill/>
                  </pic:spPr>
                </pic:pic>
              </a:graphicData>
            </a:graphic>
          </wp:anchor>
        </w:drawing>
      </w:r>
    </w:p>
    <w:p>
      <w:pPr>
        <w:spacing w:after="0" w:line="263" w:lineRule="exact"/>
        <w:rPr>
          <w:sz w:val="20"/>
          <w:szCs w:val="20"/>
          <w:color w:val="auto"/>
        </w:rPr>
      </w:pPr>
    </w:p>
    <w:p>
      <w:pPr>
        <w:ind w:right="60" w:firstLine="949"/>
        <w:spacing w:after="0" w:line="222" w:lineRule="auto"/>
        <w:rPr>
          <w:sz w:val="20"/>
          <w:szCs w:val="20"/>
          <w:color w:val="auto"/>
        </w:rPr>
      </w:pPr>
      <w:r>
        <w:rPr>
          <w:rFonts w:ascii="Arial" w:cs="Arial" w:eastAsia="Arial" w:hAnsi="Arial"/>
          <w:sz w:val="17"/>
          <w:szCs w:val="17"/>
          <w:color w:val="auto"/>
        </w:rPr>
        <w:t>all under such rules as may be established by the Committee and in compliance with the Company’s Insider Trading Policy and 10b5-1 Trading Plan Policy, if applicable; provided however, that if Participant is a Section 16 officer of the Company under the Exchange Act, then the Committee (as constituted in accordance with Rule 16b-3 under the Exchange Act) shall establish the method of withholding from alternatives (i)-(v) above, and the Committee shall establish the method prior to the Tax-Related Items withholding event.</w:t>
      </w:r>
    </w:p>
    <w:p>
      <w:pPr>
        <w:spacing w:after="0" w:line="155" w:lineRule="exact"/>
        <w:rPr>
          <w:sz w:val="20"/>
          <w:szCs w:val="20"/>
          <w:color w:val="auto"/>
        </w:rPr>
      </w:pPr>
    </w:p>
    <w:p>
      <w:pPr>
        <w:ind w:right="860" w:firstLine="949"/>
        <w:spacing w:after="0" w:line="237" w:lineRule="auto"/>
        <w:rPr>
          <w:sz w:val="20"/>
          <w:szCs w:val="20"/>
          <w:color w:val="auto"/>
        </w:rPr>
      </w:pPr>
      <w:r>
        <w:rPr>
          <w:rFonts w:ascii="Arial" w:cs="Arial" w:eastAsia="Arial" w:hAnsi="Arial"/>
          <w:sz w:val="17"/>
          <w:szCs w:val="17"/>
          <w:color w:val="auto"/>
        </w:rPr>
        <w:t>Depending on the withholding method, the Company may withhold or account for Tax-Related Items by considering applicable statutory withholding rates or other applicable withholding rates, including up to the</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22"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maximum permissible statutory rate for Participant’s tax jurisdiction(s) in which case Participant will have no entitlement to the equivalent amount in Shares and may receive a refund of any over-withheld amount in cash in accordance with applicable law.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78" w:lineRule="exact"/>
        <w:rPr>
          <w:sz w:val="20"/>
          <w:szCs w:val="20"/>
          <w:color w:val="auto"/>
        </w:rPr>
      </w:pPr>
    </w:p>
    <w:p>
      <w:pPr>
        <w:ind w:right="160" w:firstLine="949"/>
        <w:spacing w:after="0" w:line="222" w:lineRule="auto"/>
        <w:rPr>
          <w:sz w:val="20"/>
          <w:szCs w:val="20"/>
          <w:color w:val="auto"/>
        </w:rPr>
      </w:pPr>
      <w:r>
        <w:rPr>
          <w:rFonts w:ascii="Arial" w:cs="Arial" w:eastAsia="Arial" w:hAnsi="Arial"/>
          <w:sz w:val="17"/>
          <w:szCs w:val="17"/>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49" w:lineRule="exact"/>
        <w:rPr>
          <w:sz w:val="20"/>
          <w:szCs w:val="20"/>
          <w:color w:val="auto"/>
        </w:rPr>
      </w:pPr>
    </w:p>
    <w:p>
      <w:pPr>
        <w:ind w:left="600" w:hanging="175"/>
        <w:spacing w:after="0"/>
        <w:tabs>
          <w:tab w:leader="none" w:pos="600"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Nature of Grant</w:t>
      </w:r>
      <w:r>
        <w:rPr>
          <w:rFonts w:ascii="Arial" w:cs="Arial" w:eastAsia="Arial" w:hAnsi="Arial"/>
          <w:sz w:val="17"/>
          <w:szCs w:val="17"/>
          <w:b w:val="1"/>
          <w:bCs w:val="1"/>
          <w:color w:val="auto"/>
          <w:highlight w:val="white"/>
        </w:rPr>
        <w:t>.</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By accepting the Option, Participant acknowledges, understands and agrees that:</w:t>
      </w:r>
    </w:p>
    <w:p>
      <w:pPr>
        <w:spacing w:after="0" w:line="185" w:lineRule="exact"/>
        <w:rPr>
          <w:rFonts w:ascii="Arial" w:cs="Arial" w:eastAsia="Arial" w:hAnsi="Arial"/>
          <w:sz w:val="17"/>
          <w:szCs w:val="17"/>
          <w:b w:val="1"/>
          <w:bCs w:val="1"/>
          <w:color w:val="auto"/>
        </w:rPr>
      </w:pPr>
    </w:p>
    <w:p>
      <w:pPr>
        <w:ind w:right="20" w:firstLine="952"/>
        <w:spacing w:after="0" w:line="237" w:lineRule="auto"/>
        <w:tabs>
          <w:tab w:leader="none" w:pos="118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Plan is established voluntarily by the Company, it is discretionary in nature and it may be modified, amended, suspended or terminated by the Company at any time, to the extent permitted by the Plan;</w:t>
      </w:r>
    </w:p>
    <w:p>
      <w:pPr>
        <w:spacing w:after="0" w:line="156" w:lineRule="exact"/>
        <w:rPr>
          <w:rFonts w:ascii="Arial" w:cs="Arial" w:eastAsia="Arial" w:hAnsi="Arial"/>
          <w:sz w:val="17"/>
          <w:szCs w:val="17"/>
          <w:color w:val="auto"/>
        </w:rPr>
      </w:pPr>
    </w:p>
    <w:p>
      <w:pPr>
        <w:ind w:right="420" w:firstLine="952"/>
        <w:spacing w:after="0" w:line="237" w:lineRule="auto"/>
        <w:tabs>
          <w:tab w:leader="none" w:pos="119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56" w:lineRule="exact"/>
        <w:rPr>
          <w:rFonts w:ascii="Arial" w:cs="Arial" w:eastAsia="Arial" w:hAnsi="Arial"/>
          <w:sz w:val="17"/>
          <w:szCs w:val="17"/>
          <w:color w:val="auto"/>
        </w:rPr>
      </w:pPr>
    </w:p>
    <w:p>
      <w:pPr>
        <w:ind w:left="1180" w:hanging="228"/>
        <w:spacing w:after="0"/>
        <w:tabs>
          <w:tab w:leader="none" w:pos="11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all decisions with respect to future options or other grants, if any, will be at the sole discretion of the Company;</w:t>
      </w:r>
    </w:p>
    <w:p>
      <w:pPr>
        <w:spacing w:after="0" w:line="179" w:lineRule="exact"/>
        <w:rPr>
          <w:rFonts w:ascii="Arial" w:cs="Arial" w:eastAsia="Arial" w:hAnsi="Arial"/>
          <w:sz w:val="17"/>
          <w:szCs w:val="17"/>
          <w:color w:val="auto"/>
        </w:rPr>
      </w:pPr>
    </w:p>
    <w:p>
      <w:pPr>
        <w:ind w:left="1200" w:hanging="248"/>
        <w:spacing w:after="0"/>
        <w:tabs>
          <w:tab w:leader="none" w:pos="120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Participant is voluntarily participating in the Plan;</w:t>
      </w:r>
    </w:p>
    <w:p>
      <w:pPr>
        <w:spacing w:after="0" w:line="179" w:lineRule="exact"/>
        <w:rPr>
          <w:rFonts w:ascii="Arial" w:cs="Arial" w:eastAsia="Arial" w:hAnsi="Arial"/>
          <w:sz w:val="17"/>
          <w:szCs w:val="17"/>
          <w:color w:val="auto"/>
        </w:rPr>
      </w:pPr>
    </w:p>
    <w:p>
      <w:pPr>
        <w:ind w:right="160" w:firstLine="952"/>
        <w:spacing w:after="0" w:line="227" w:lineRule="auto"/>
        <w:tabs>
          <w:tab w:leader="none" w:pos="118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Option and Participant’s participation in the Plan will not create a right to employment or be interpreted as forming or amending an employment or service contract with the Company, the Employer or any Subsidiary, and shall not interfere with the ability of the Company, the Employer or any Subsidiary, as applicable, to terminate Participant’s employment or service relationship (if any);</w:t>
      </w:r>
    </w:p>
    <w:p>
      <w:pPr>
        <w:spacing w:after="0" w:line="153" w:lineRule="exact"/>
        <w:rPr>
          <w:rFonts w:ascii="Arial" w:cs="Arial" w:eastAsia="Arial" w:hAnsi="Arial"/>
          <w:sz w:val="17"/>
          <w:szCs w:val="17"/>
          <w:color w:val="auto"/>
        </w:rPr>
      </w:pPr>
    </w:p>
    <w:p>
      <w:pPr>
        <w:ind w:left="1160" w:hanging="208"/>
        <w:spacing w:after="0"/>
        <w:tabs>
          <w:tab w:leader="none" w:pos="11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Option and the Shares subject to the Option, and the income from and value of same, are not intended to replace any pension rights or</w:t>
      </w:r>
    </w:p>
    <w:p>
      <w:pPr>
        <w:spacing w:after="0"/>
        <w:rPr>
          <w:rFonts w:ascii="Arial" w:cs="Arial" w:eastAsia="Arial" w:hAnsi="Arial"/>
          <w:sz w:val="16"/>
          <w:szCs w:val="16"/>
          <w:color w:val="auto"/>
        </w:rPr>
      </w:pPr>
      <w:r>
        <w:rPr>
          <w:rFonts w:ascii="Arial" w:cs="Arial" w:eastAsia="Arial" w:hAnsi="Arial"/>
          <w:sz w:val="17"/>
          <w:szCs w:val="17"/>
          <w:color w:val="auto"/>
        </w:rPr>
        <w:t>compensation;</w:t>
      </w:r>
    </w:p>
    <w:p>
      <w:pPr>
        <w:spacing w:after="0" w:line="165" w:lineRule="exact"/>
        <w:rPr>
          <w:rFonts w:ascii="Arial" w:cs="Arial" w:eastAsia="Arial" w:hAnsi="Arial"/>
          <w:sz w:val="16"/>
          <w:szCs w:val="16"/>
          <w:color w:val="auto"/>
        </w:rPr>
      </w:pPr>
    </w:p>
    <w:p>
      <w:pPr>
        <w:ind w:firstLine="952"/>
        <w:spacing w:after="0" w:line="227" w:lineRule="auto"/>
        <w:tabs>
          <w:tab w:leader="none" w:pos="119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Option and the Shares subject to the Option, and the income from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55" w:lineRule="exact"/>
        <w:rPr>
          <w:rFonts w:ascii="Arial" w:cs="Arial" w:eastAsia="Arial" w:hAnsi="Arial"/>
          <w:sz w:val="17"/>
          <w:szCs w:val="17"/>
          <w:color w:val="auto"/>
        </w:rPr>
      </w:pPr>
    </w:p>
    <w:p>
      <w:pPr>
        <w:ind w:right="360" w:firstLine="952"/>
        <w:spacing w:after="0" w:line="237" w:lineRule="auto"/>
        <w:tabs>
          <w:tab w:leader="none" w:pos="119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unless otherwise agreed with the Company, the Option and the Shares subject to the Option, and the income from and value of same, are not granted as consideration for, or in connection with, the service Participant may provide as a director of a Subsidiary;</w:t>
      </w:r>
    </w:p>
    <w:p>
      <w:pPr>
        <w:spacing w:after="0" w:line="156" w:lineRule="exact"/>
        <w:rPr>
          <w:rFonts w:ascii="Arial" w:cs="Arial" w:eastAsia="Arial" w:hAnsi="Arial"/>
          <w:sz w:val="17"/>
          <w:szCs w:val="17"/>
          <w:color w:val="auto"/>
        </w:rPr>
      </w:pPr>
    </w:p>
    <w:p>
      <w:pPr>
        <w:ind w:right="40" w:firstLine="952"/>
        <w:spacing w:after="0" w:line="227" w:lineRule="auto"/>
        <w:tabs>
          <w:tab w:leader="none" w:pos="1155"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future value of the Shares underlying the Option is unknown, indeterminable and cannot be predicted with certainty; if the underlying Shares do not increase in value, the Option will have no value; if Participant exercises the Option and acquires Shares, the value of such Shares may increase or decrease, even below the Exercise Price;</w:t>
      </w:r>
    </w:p>
    <w:p>
      <w:pPr>
        <w:spacing w:after="0" w:line="78" w:lineRule="exact"/>
        <w:rPr>
          <w:rFonts w:ascii="Arial" w:cs="Arial" w:eastAsia="Arial" w:hAnsi="Arial"/>
          <w:sz w:val="17"/>
          <w:szCs w:val="17"/>
          <w:color w:val="auto"/>
        </w:rPr>
      </w:pPr>
    </w:p>
    <w:p>
      <w:pPr>
        <w:ind w:right="60" w:firstLine="952"/>
        <w:spacing w:after="0" w:line="227" w:lineRule="auto"/>
        <w:tabs>
          <w:tab w:leader="none" w:pos="1155" w:val="left"/>
        </w:tabs>
        <w:numPr>
          <w:ilvl w:val="1"/>
          <w:numId w:val="104"/>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will arise from forfeiture of the Option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and</w:t>
      </w:r>
    </w:p>
    <w:p>
      <w:pPr>
        <w:spacing w:after="0" w:line="155" w:lineRule="exact"/>
        <w:rPr>
          <w:rFonts w:ascii="Arial" w:cs="Arial" w:eastAsia="Arial" w:hAnsi="Arial"/>
          <w:sz w:val="17"/>
          <w:szCs w:val="17"/>
          <w:color w:val="auto"/>
        </w:rPr>
      </w:pPr>
    </w:p>
    <w:p>
      <w:pPr>
        <w:ind w:right="300" w:firstLine="952"/>
        <w:spacing w:after="0" w:line="227" w:lineRule="auto"/>
        <w:tabs>
          <w:tab w:leader="none" w:pos="119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neither the Company, the Employer nor any Subsidiary will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ectPr>
          <w:pgSz w:w="11900" w:h="16838" w:orient="portrait"/>
          <w:cols w:equalWidth="0" w:num="1">
            <w:col w:w="11220"/>
          </w:cols>
          <w:pgMar w:left="320" w:top="1440" w:right="359" w:bottom="1440" w:gutter="0" w:footer="0" w:header="0"/>
        </w:sectPr>
      </w:pPr>
    </w:p>
    <w:bookmarkStart w:id="168" w:name="page169"/>
    <w:bookmarkEnd w:id="168"/>
    <w:p>
      <w:pPr>
        <w:spacing w:after="0" w:line="116" w:lineRule="exact"/>
        <w:rPr>
          <w:sz w:val="20"/>
          <w:szCs w:val="20"/>
          <w:color w:val="auto"/>
        </w:rPr>
      </w:pPr>
    </w:p>
    <w:p>
      <w:pPr>
        <w:ind w:right="240" w:firstLine="425"/>
        <w:spacing w:after="0" w:line="223" w:lineRule="auto"/>
        <w:tabs>
          <w:tab w:leader="none" w:pos="680"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Advice Regarding Grant. </w:t>
      </w:r>
      <w:r>
        <w:rPr>
          <w:rFonts w:ascii="Arial" w:cs="Arial" w:eastAsia="Arial" w:hAnsi="Arial"/>
          <w:sz w:val="17"/>
          <w:szCs w:val="17"/>
          <w:color w:val="auto"/>
        </w:rPr>
        <w:t>The Company is not providing any tax, legal or financial advice, nor is the Company making any recommendations</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regarding Participant’s participation in the Plan, or Participant’s acquisition or sale of the underlying Shares. Participant acknowledges, understands and agrees that he or she should consult with his or her own personal tax, legal and financial advisors regarding his or her participation in the Plan before taking any action related to the Plan.</w:t>
      </w:r>
    </w:p>
    <w:p>
      <w:pPr>
        <w:spacing w:after="0" w:line="158" w:lineRule="exact"/>
        <w:rPr>
          <w:rFonts w:ascii="Arial" w:cs="Arial" w:eastAsia="Arial" w:hAnsi="Arial"/>
          <w:sz w:val="17"/>
          <w:szCs w:val="17"/>
          <w:b w:val="1"/>
          <w:bCs w:val="1"/>
          <w:color w:val="auto"/>
        </w:rPr>
      </w:pPr>
    </w:p>
    <w:p>
      <w:pPr>
        <w:ind w:right="500" w:firstLine="425"/>
        <w:spacing w:after="0" w:line="266" w:lineRule="auto"/>
        <w:tabs>
          <w:tab w:leader="none" w:pos="671" w:val="left"/>
        </w:tabs>
        <w:numPr>
          <w:ilvl w:val="0"/>
          <w:numId w:val="105"/>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Data Privacy. </w:t>
      </w:r>
      <w:r>
        <w:rPr>
          <w:rFonts w:ascii="Arial" w:cs="Arial" w:eastAsia="Arial" w:hAnsi="Arial"/>
          <w:sz w:val="15"/>
          <w:szCs w:val="15"/>
          <w:b w:val="1"/>
          <w:bCs w:val="1"/>
          <w:i w:val="1"/>
          <w:iCs w:val="1"/>
          <w:color w:val="auto"/>
          <w:highlight w:val="white"/>
        </w:rPr>
        <w:t>Participant hereby explicitly and unambiguously consents to the collection, use and transfer, in electronic or other form, of</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auto"/>
          <w:highlight w:val="white"/>
        </w:rPr>
        <w:t>Participant’s personal data as described in this Option Agreement and any other Option grant materials by and among, as applicable, the Employer, the Company and any Subsidiary for the exclusive purpose of implementing, administering and managing Participant’s participation in the Plan.</w:t>
      </w:r>
    </w:p>
    <w:p>
      <w:pPr>
        <w:spacing w:after="0" w:line="137" w:lineRule="exact"/>
        <w:rPr>
          <w:sz w:val="20"/>
          <w:szCs w:val="20"/>
          <w:color w:val="auto"/>
        </w:rPr>
      </w:pPr>
    </w:p>
    <w:p>
      <w:pPr>
        <w:ind w:right="20" w:firstLine="422"/>
        <w:spacing w:after="0" w:line="218" w:lineRule="auto"/>
        <w:rPr>
          <w:sz w:val="20"/>
          <w:szCs w:val="20"/>
          <w:color w:val="auto"/>
        </w:rPr>
      </w:pPr>
      <w:r>
        <w:rPr>
          <w:rFonts w:ascii="Arial" w:cs="Arial" w:eastAsia="Arial" w:hAnsi="Arial"/>
          <w:sz w:val="17"/>
          <w:szCs w:val="17"/>
          <w:b w:val="1"/>
          <w:bCs w:val="1"/>
          <w:i w:val="1"/>
          <w:iCs w:val="1"/>
          <w:color w:val="auto"/>
        </w:rPr>
        <w:t>Participant understands that the Company and the Employer may hold certain personal information about Participant, including, but not limited to, Participant’s name, home address, email address and telephone number, date of birth, social insurance number, passport number or other identification number (e.g., resident registration number), salary, nationality, job title, any shares of stock or directorships held in the Company, details of all Options or any other entitlement to shares of stock awarded, canceled, exercised, vested, unvested or outstanding in Participant’s favor (“Data”), for the exclusive purpose of implementing, administering and managing the Plan.</w:t>
      </w:r>
    </w:p>
    <w:p>
      <w:pPr>
        <w:spacing w:after="0" w:line="159" w:lineRule="exact"/>
        <w:rPr>
          <w:sz w:val="20"/>
          <w:szCs w:val="20"/>
          <w:color w:val="auto"/>
        </w:rPr>
      </w:pPr>
    </w:p>
    <w:p>
      <w:pPr>
        <w:ind w:firstLine="422"/>
        <w:spacing w:after="0" w:line="255" w:lineRule="auto"/>
        <w:rPr>
          <w:sz w:val="20"/>
          <w:szCs w:val="20"/>
          <w:color w:val="auto"/>
        </w:rPr>
      </w:pPr>
      <w:r>
        <w:rPr>
          <w:rFonts w:ascii="Arial" w:cs="Arial" w:eastAsia="Arial" w:hAnsi="Arial"/>
          <w:sz w:val="14"/>
          <w:szCs w:val="14"/>
          <w:b w:val="1"/>
          <w:bCs w:val="1"/>
          <w:i w:val="1"/>
          <w:iCs w:val="1"/>
          <w:color w:val="auto"/>
        </w:rPr>
        <w:t>Participant understands that Data will be transferred to the Company’s designated third-party broker, or other third party (“Online Administrator”) and its affiliated companies or such other stock plan service provider as may be designated by the Company from time to time, which is assisting the Company with the implementation, administration and management of the Plan. Participant understands that the recipients of Data may be located in the United States or elsewhere, and that the recipients’ country may have different data privacy laws and protections than Participant’s country. Participant understands that if he or she resides outside the United States, he or she may request a list with the names and addresses of any potential recipients of Data by contacting his or her local human resources representative. Participant authorizes the Company, the Company’s designated third-party broker, or such other stock plan service provider as may be designated by the Company from time to time,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information about the storage and processing of Data, require any necessary amendments to Data or refuse or withdraw the consents herein, in any case without cost, by contacting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Employer will not be affected; the only consequence of refusing or withdrawing Participant’s consent is that the Company would not be able to grant Options or other equity awards to Participant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54" w:lineRule="exact"/>
        <w:rPr>
          <w:sz w:val="20"/>
          <w:szCs w:val="20"/>
          <w:color w:val="auto"/>
        </w:rPr>
      </w:pPr>
    </w:p>
    <w:p>
      <w:pPr>
        <w:ind w:firstLine="422"/>
        <w:spacing w:after="0" w:line="255" w:lineRule="auto"/>
        <w:rPr>
          <w:sz w:val="20"/>
          <w:szCs w:val="20"/>
          <w:color w:val="auto"/>
        </w:rPr>
      </w:pPr>
      <w:r>
        <w:rPr>
          <w:rFonts w:ascii="Arial" w:cs="Arial" w:eastAsia="Arial" w:hAnsi="Arial"/>
          <w:sz w:val="15"/>
          <w:szCs w:val="15"/>
          <w:b w:val="1"/>
          <w:bCs w:val="1"/>
          <w:i w:val="1"/>
          <w:iCs w:val="1"/>
          <w:color w:val="auto"/>
        </w:rPr>
        <w:t>Finally, upon request of the Company or the Employer, Participant agrees to provide an executed data privacy consent form (or any other agreements or consents) that the Company 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0" w:lineRule="exact"/>
        <w:rPr>
          <w:sz w:val="20"/>
          <w:szCs w:val="20"/>
          <w:color w:val="auto"/>
        </w:rPr>
      </w:pPr>
    </w:p>
    <w:p>
      <w:pPr>
        <w:ind w:right="20" w:firstLine="425"/>
        <w:spacing w:after="0" w:line="229" w:lineRule="auto"/>
        <w:tabs>
          <w:tab w:leader="none" w:pos="68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Language. </w:t>
      </w:r>
      <w:r>
        <w:rPr>
          <w:rFonts w:ascii="Arial" w:cs="Arial" w:eastAsia="Arial" w:hAnsi="Arial"/>
          <w:sz w:val="17"/>
          <w:szCs w:val="17"/>
          <w:color w:val="auto"/>
        </w:rPr>
        <w:t>Participant acknowledges that he or she is sufficiently proficient in English to understand the terms and conditions of this Option Agreement.</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Furthermore, if Participant has received this Option Agreement, or any other document related to the Option and/or the Plan translated into a language other than English and if the meaning of the translated version is different than the English version, the English version will control.</w:t>
      </w:r>
    </w:p>
    <w:p>
      <w:pPr>
        <w:spacing w:after="0" w:line="151" w:lineRule="exact"/>
        <w:rPr>
          <w:rFonts w:ascii="Arial" w:cs="Arial" w:eastAsia="Arial" w:hAnsi="Arial"/>
          <w:sz w:val="17"/>
          <w:szCs w:val="17"/>
          <w:b w:val="1"/>
          <w:bCs w:val="1"/>
          <w:color w:val="auto"/>
        </w:rPr>
      </w:pPr>
    </w:p>
    <w:p>
      <w:pPr>
        <w:ind w:right="100" w:firstLine="425"/>
        <w:spacing w:after="0" w:line="223" w:lineRule="auto"/>
        <w:tabs>
          <w:tab w:leader="none" w:pos="68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Appendix. </w:t>
      </w:r>
      <w:r>
        <w:rPr>
          <w:rFonts w:ascii="Arial" w:cs="Arial" w:eastAsia="Arial" w:hAnsi="Arial"/>
          <w:sz w:val="17"/>
          <w:szCs w:val="17"/>
          <w:color w:val="auto"/>
          <w:highlight w:val="white"/>
        </w:rPr>
        <w:t>Notwithstanding any provisions in this Option Agreement, the Option will be subject to any special terms and conditions set forth in any</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appendix to this Option 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Option Agreement.</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16" w:lineRule="exact"/>
        <w:rPr>
          <w:sz w:val="20"/>
          <w:szCs w:val="20"/>
          <w:color w:val="auto"/>
        </w:rPr>
      </w:pPr>
    </w:p>
    <w:p>
      <w:pPr>
        <w:jc w:val="both"/>
        <w:ind w:right="340" w:firstLine="425"/>
        <w:spacing w:after="0" w:line="246" w:lineRule="auto"/>
        <w:tabs>
          <w:tab w:leader="none" w:pos="68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Imposition of Other Requirements. </w:t>
      </w:r>
      <w:r>
        <w:rPr>
          <w:rFonts w:ascii="Arial" w:cs="Arial" w:eastAsia="Arial" w:hAnsi="Arial"/>
          <w:sz w:val="16"/>
          <w:szCs w:val="16"/>
          <w:color w:val="auto"/>
        </w:rPr>
        <w:t>The Company reserves the right to impose other requirements on Participant’s participation in the Plan, on the</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Option and on any Shares purchased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44" w:lineRule="exact"/>
        <w:rPr>
          <w:rFonts w:ascii="Arial" w:cs="Arial" w:eastAsia="Arial" w:hAnsi="Arial"/>
          <w:sz w:val="16"/>
          <w:szCs w:val="16"/>
          <w:b w:val="1"/>
          <w:bCs w:val="1"/>
          <w:color w:val="auto"/>
        </w:rPr>
      </w:pPr>
    </w:p>
    <w:p>
      <w:pPr>
        <w:jc w:val="both"/>
        <w:ind w:right="100" w:firstLine="425"/>
        <w:spacing w:after="0" w:line="223" w:lineRule="auto"/>
        <w:tabs>
          <w:tab w:leader="none" w:pos="680"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Acknowledgement. </w:t>
      </w:r>
      <w:r>
        <w:rPr>
          <w:rFonts w:ascii="Arial" w:cs="Arial" w:eastAsia="Arial" w:hAnsi="Arial"/>
          <w:sz w:val="17"/>
          <w:szCs w:val="17"/>
          <w:color w:val="auto"/>
        </w:rPr>
        <w:t>The Company and Participant agree that the Option is granted under and governed by the Notice, this Option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provisions of the Plan (incorporated herein by reference). Participant: (a) acknowledges receipt of a copy of the Plan and the Plan prospectus, (b) represents that Participant has carefully read and is familiar with their provisions, and (c) hereby accepts the Option subject to all of the terms and conditions set forth herein and those set forth in the Plan and the Notice.</w:t>
      </w:r>
    </w:p>
    <w:p>
      <w:pPr>
        <w:spacing w:after="0" w:line="152" w:lineRule="exact"/>
        <w:rPr>
          <w:rFonts w:ascii="Arial" w:cs="Arial" w:eastAsia="Arial" w:hAnsi="Arial"/>
          <w:sz w:val="17"/>
          <w:szCs w:val="17"/>
          <w:b w:val="1"/>
          <w:bCs w:val="1"/>
          <w:color w:val="auto"/>
        </w:rPr>
      </w:pPr>
    </w:p>
    <w:p>
      <w:pPr>
        <w:ind w:firstLine="425"/>
        <w:spacing w:after="0" w:line="252" w:lineRule="auto"/>
        <w:tabs>
          <w:tab w:leader="none" w:pos="680" w:val="left"/>
        </w:tabs>
        <w:numPr>
          <w:ilvl w:val="0"/>
          <w:numId w:val="10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Entire Agreement; Enforcement of Rights. </w:t>
      </w:r>
      <w:r>
        <w:rPr>
          <w:rFonts w:ascii="Arial" w:cs="Arial" w:eastAsia="Arial" w:hAnsi="Arial"/>
          <w:sz w:val="15"/>
          <w:szCs w:val="15"/>
          <w:color w:val="auto"/>
          <w:highlight w:val="white"/>
        </w:rPr>
        <w:t>This Option Agreement, the Plan and the Notice constitute the entire agreement and understanding of the</w:t>
      </w:r>
      <w:r>
        <w:rPr>
          <w:rFonts w:ascii="Arial" w:cs="Arial" w:eastAsia="Arial" w:hAnsi="Arial"/>
          <w:sz w:val="15"/>
          <w:szCs w:val="15"/>
          <w:b w:val="1"/>
          <w:bCs w:val="1"/>
          <w:color w:val="auto"/>
        </w:rPr>
        <w:t xml:space="preserve"> </w:t>
      </w:r>
      <w:r>
        <w:rPr>
          <w:rFonts w:ascii="Arial" w:cs="Arial" w:eastAsia="Arial" w:hAnsi="Arial"/>
          <w:sz w:val="15"/>
          <w:szCs w:val="15"/>
          <w:color w:val="auto"/>
          <w:highlight w:val="white"/>
        </w:rPr>
        <w:t>parties relating to the subject matter herein and supersede all prior discussions between them. Any prior agreements, commitments or negotiations concerning the purchase of the Shares hereunder are superseded. No adverse modification of, or adverse amendment to, this Option Agreement, nor any waiver of any rights under this Option Agreement, will be effective unless in writing and signed by the parties to this Option Agreement (which writing and signing may be electronic). The failure by either party to enforce any rights under this Option Agreement will not be construed as a waiver of any rights of such party.</w:t>
      </w:r>
    </w:p>
    <w:p>
      <w:pPr>
        <w:spacing w:after="0" w:line="63" w:lineRule="exact"/>
        <w:rPr>
          <w:rFonts w:ascii="Arial" w:cs="Arial" w:eastAsia="Arial" w:hAnsi="Arial"/>
          <w:sz w:val="15"/>
          <w:szCs w:val="15"/>
          <w:b w:val="1"/>
          <w:bCs w:val="1"/>
          <w:color w:val="auto"/>
        </w:rPr>
      </w:pPr>
    </w:p>
    <w:p>
      <w:pPr>
        <w:ind w:right="120" w:firstLine="425"/>
        <w:spacing w:after="0" w:line="229" w:lineRule="auto"/>
        <w:tabs>
          <w:tab w:leader="none" w:pos="68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Laws and Regulations. </w:t>
      </w:r>
      <w:r>
        <w:rPr>
          <w:rFonts w:ascii="Arial" w:cs="Arial" w:eastAsia="Arial" w:hAnsi="Arial"/>
          <w:sz w:val="16"/>
          <w:szCs w:val="16"/>
          <w:color w:val="auto"/>
        </w:rPr>
        <w:t>The issuance of Shares will be subject to and conditioned upon compliance by the Company and Participant</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with all applicable state, federal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Option Agreement without Participant’s consent to the extent necessary to comply with securities or other laws applicable to issuance of Shares. Finally, the Shares issued pursuant to this Option Agreement shall be endorsed with appropriate legends, if any, determined by the Company.</w:t>
      </w:r>
    </w:p>
    <w:p>
      <w:pPr>
        <w:spacing w:after="0" w:line="153" w:lineRule="exact"/>
        <w:rPr>
          <w:rFonts w:ascii="Arial" w:cs="Arial" w:eastAsia="Arial" w:hAnsi="Arial"/>
          <w:sz w:val="16"/>
          <w:szCs w:val="16"/>
          <w:b w:val="1"/>
          <w:bCs w:val="1"/>
          <w:color w:val="auto"/>
        </w:rPr>
      </w:pPr>
    </w:p>
    <w:p>
      <w:pPr>
        <w:ind w:right="220" w:firstLine="425"/>
        <w:spacing w:after="0" w:line="223" w:lineRule="auto"/>
        <w:tabs>
          <w:tab w:leader="none" w:pos="680"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one or more provisions of this Option Agreement are held to be unenforceable under applicable law, then such provision will be</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enforced to the maximum extent possible given the intent of the parties hereto. If such clause or provision cannot be so enforced, then (a) such provision will be excluded from this Option Agreement, (b) the balance of this Option Agreement will be interpreted as if such provision were so excluded and (c) the balance of this Option Agreement will be enforceable in accordance with its terms.</w:t>
      </w:r>
    </w:p>
    <w:p>
      <w:pPr>
        <w:spacing w:after="0" w:line="152" w:lineRule="exact"/>
        <w:rPr>
          <w:rFonts w:ascii="Arial" w:cs="Arial" w:eastAsia="Arial" w:hAnsi="Arial"/>
          <w:sz w:val="17"/>
          <w:szCs w:val="17"/>
          <w:b w:val="1"/>
          <w:bCs w:val="1"/>
          <w:color w:val="auto"/>
        </w:rPr>
      </w:pPr>
    </w:p>
    <w:p>
      <w:pPr>
        <w:ind w:right="280" w:firstLine="425"/>
        <w:spacing w:after="0" w:line="307" w:lineRule="auto"/>
        <w:tabs>
          <w:tab w:leader="none" w:pos="680" w:val="left"/>
        </w:tabs>
        <w:numPr>
          <w:ilvl w:val="0"/>
          <w:numId w:val="10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Governing Law and Venue. </w:t>
      </w:r>
      <w:r>
        <w:rPr>
          <w:rFonts w:ascii="Arial" w:cs="Arial" w:eastAsia="Arial" w:hAnsi="Arial"/>
          <w:sz w:val="15"/>
          <w:szCs w:val="15"/>
          <w:color w:val="auto"/>
          <w:highlight w:val="white"/>
        </w:rPr>
        <w:t>This Option Agreement and all acts and transactions pursuant hereto and the rights and obligations of the parties hereto</w:t>
      </w:r>
      <w:r>
        <w:rPr>
          <w:rFonts w:ascii="Arial" w:cs="Arial" w:eastAsia="Arial" w:hAnsi="Arial"/>
          <w:sz w:val="15"/>
          <w:szCs w:val="15"/>
          <w:b w:val="1"/>
          <w:bCs w:val="1"/>
          <w:color w:val="auto"/>
        </w:rPr>
        <w:t xml:space="preserve"> </w:t>
      </w:r>
      <w:r>
        <w:rPr>
          <w:rFonts w:ascii="Arial" w:cs="Arial" w:eastAsia="Arial" w:hAnsi="Arial"/>
          <w:sz w:val="15"/>
          <w:szCs w:val="15"/>
          <w:color w:val="auto"/>
          <w:highlight w:val="white"/>
        </w:rPr>
        <w:t>will be governed, construed and interpreted in accordance with the laws of the State of Delaware, without giving effect to such state’s conflict of laws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-1785620</wp:posOffset>
            </wp:positionV>
            <wp:extent cx="24765" cy="901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24765" cy="90170"/>
                    </a:xfrm>
                    <a:prstGeom prst="rect">
                      <a:avLst/>
                    </a:prstGeom>
                    <a:noFill/>
                  </pic:spPr>
                </pic:pic>
              </a:graphicData>
            </a:graphic>
          </wp:anchor>
        </w:drawing>
      </w:r>
    </w:p>
    <w:p>
      <w:pPr>
        <w:spacing w:after="0" w:line="87" w:lineRule="exact"/>
        <w:rPr>
          <w:sz w:val="20"/>
          <w:szCs w:val="20"/>
          <w:color w:val="auto"/>
        </w:rPr>
      </w:pPr>
    </w:p>
    <w:p>
      <w:pPr>
        <w:ind w:firstLine="422"/>
        <w:spacing w:after="0" w:line="215" w:lineRule="auto"/>
        <w:rPr>
          <w:sz w:val="20"/>
          <w:szCs w:val="20"/>
          <w:color w:val="auto"/>
        </w:rPr>
      </w:pPr>
      <w:r>
        <w:rPr>
          <w:rFonts w:ascii="Arial" w:cs="Arial" w:eastAsia="Arial" w:hAnsi="Arial"/>
          <w:sz w:val="17"/>
          <w:szCs w:val="17"/>
          <w:color w:val="auto"/>
        </w:rPr>
        <w:t>Any and all disputes relating to, concerning or arising from this Option Agreement, or relating to, concerning or arising from the relationship between the parties evidenced by the Plan or this Option Agreement, will be brought and heard exclusively in the United States District Court for the District of Southern California or the Superior Court of California, County of Los Angeles.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sz w:val="20"/>
          <w:szCs w:val="20"/>
          <w:color w:val="auto"/>
        </w:rPr>
      </w:pPr>
    </w:p>
    <w:p>
      <w:pPr>
        <w:ind w:right="20" w:firstLine="425"/>
        <w:spacing w:after="0" w:line="243" w:lineRule="auto"/>
        <w:tabs>
          <w:tab w:leader="none" w:pos="680"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Rights as Employee. </w:t>
      </w:r>
      <w:r>
        <w:rPr>
          <w:rFonts w:ascii="Arial" w:cs="Arial" w:eastAsia="Arial" w:hAnsi="Arial"/>
          <w:sz w:val="17"/>
          <w:szCs w:val="17"/>
          <w:color w:val="auto"/>
          <w:highlight w:val="white"/>
        </w:rPr>
        <w:t>Nothing in this Option Agreement will affect in any manner whatsoever any right or power of the Company, or a Subsidiary, to</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terminate Participant’s Service, for any reason, with or without Cause.</w:t>
      </w:r>
    </w:p>
    <w:p>
      <w:pPr>
        <w:spacing w:after="0" w:line="146" w:lineRule="exact"/>
        <w:rPr>
          <w:rFonts w:ascii="Arial" w:cs="Arial" w:eastAsia="Arial" w:hAnsi="Arial"/>
          <w:sz w:val="17"/>
          <w:szCs w:val="17"/>
          <w:b w:val="1"/>
          <w:bCs w:val="1"/>
          <w:color w:val="auto"/>
        </w:rPr>
      </w:pPr>
    </w:p>
    <w:p>
      <w:pPr>
        <w:ind w:right="60" w:firstLine="425"/>
        <w:spacing w:after="0" w:line="229" w:lineRule="auto"/>
        <w:tabs>
          <w:tab w:leader="none" w:pos="68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Consent to Electronic Delivery of All Plan Documents and Disclosures. </w:t>
      </w:r>
      <w:r>
        <w:rPr>
          <w:rFonts w:ascii="Arial" w:cs="Arial" w:eastAsia="Arial" w:hAnsi="Arial"/>
          <w:sz w:val="16"/>
          <w:szCs w:val="16"/>
          <w:color w:val="auto"/>
          <w:highlight w:val="white"/>
        </w:rPr>
        <w:t>By Participant’s acceptance of the Notice (whether in writing or</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electronically), Participant and the Company agree that this Option is granted under and governed by the terms and conditions of the Plan, the Notice and this Option Agreement. Participant has reviewed the Plan, the Notice and this Option Agreement in their entirety, has had an opportunity to obtain the advice of counsel prior to executing the Notice and Agreement, and fully understands all provisions of the Plan, the Notice and this Option Agreement. Participant hereby agrees to accept as binding, conclusive and final all decisions or interpretations of the Committee upon any questions relating to the Plan, the Notice and this Option Agreement. Participant further agrees to notify the Company upon any change in the residence address. By acceptance of this Option, Participant agrees to participate in the Plan through an on-line or electronic system established and</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22" w:lineRule="exact"/>
        <w:rPr>
          <w:sz w:val="20"/>
          <w:szCs w:val="20"/>
          <w:color w:val="auto"/>
        </w:rPr>
      </w:pPr>
    </w:p>
    <w:p>
      <w:pPr>
        <w:ind w:right="260"/>
        <w:spacing w:after="0" w:line="216" w:lineRule="auto"/>
        <w:rPr>
          <w:sz w:val="20"/>
          <w:szCs w:val="20"/>
          <w:color w:val="auto"/>
        </w:rPr>
      </w:pPr>
      <w:r>
        <w:rPr>
          <w:rFonts w:ascii="Arial" w:cs="Arial" w:eastAsia="Arial" w:hAnsi="Arial"/>
          <w:sz w:val="17"/>
          <w:szCs w:val="17"/>
          <w:color w:val="auto"/>
        </w:rPr>
        <w:t>maintained by the Company or a third party designated by the Company and consents to the electronic delivery of the Notice, this Option Agreement, the Plan, account statements, Plan prospectuses required by the SEC,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w:t>
      </w:r>
    </w:p>
    <w:p>
      <w:pPr>
        <w:spacing w:after="0" w:line="81" w:lineRule="exact"/>
        <w:rPr>
          <w:sz w:val="20"/>
          <w:szCs w:val="20"/>
          <w:color w:val="auto"/>
        </w:rPr>
      </w:pPr>
    </w:p>
    <w:p>
      <w:pPr>
        <w:jc w:val="both"/>
        <w:ind w:right="140"/>
        <w:spacing w:after="0" w:line="246" w:lineRule="auto"/>
        <w:rPr>
          <w:sz w:val="20"/>
          <w:szCs w:val="20"/>
          <w:color w:val="auto"/>
        </w:rPr>
      </w:pPr>
      <w:r>
        <w:rPr>
          <w:rFonts w:ascii="Arial" w:cs="Arial" w:eastAsia="Arial" w:hAnsi="Arial"/>
          <w:sz w:val="15"/>
          <w:szCs w:val="15"/>
          <w:color w:val="auto"/>
        </w:rPr>
        <w:t>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w:t>
      </w:r>
    </w:p>
    <w:p>
      <w:pPr>
        <w:spacing w:after="0" w:line="148" w:lineRule="exact"/>
        <w:rPr>
          <w:sz w:val="20"/>
          <w:szCs w:val="20"/>
          <w:color w:val="auto"/>
        </w:rPr>
      </w:pPr>
    </w:p>
    <w:p>
      <w:pPr>
        <w:ind w:firstLine="425"/>
        <w:spacing w:after="0" w:line="243" w:lineRule="auto"/>
        <w:tabs>
          <w:tab w:leader="none" w:pos="680"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Insider Trading Restrictions/Market Abuse Laws. </w:t>
      </w:r>
      <w:r>
        <w:rPr>
          <w:rFonts w:ascii="Arial" w:cs="Arial" w:eastAsia="Arial" w:hAnsi="Arial"/>
          <w:sz w:val="15"/>
          <w:szCs w:val="15"/>
          <w:color w:val="auto"/>
          <w:highlight w:val="white"/>
        </w:rPr>
        <w:t>Participant acknowledges that, depending on Participant’s country of residence, the broker’s</w:t>
      </w:r>
      <w:r>
        <w:rPr>
          <w:rFonts w:ascii="Arial" w:cs="Arial" w:eastAsia="Arial" w:hAnsi="Arial"/>
          <w:sz w:val="15"/>
          <w:szCs w:val="15"/>
          <w:b w:val="1"/>
          <w:bCs w:val="1"/>
          <w:color w:val="auto"/>
        </w:rPr>
        <w:t xml:space="preserve"> </w:t>
      </w:r>
      <w:r>
        <w:rPr>
          <w:rFonts w:ascii="Arial" w:cs="Arial" w:eastAsia="Arial" w:hAnsi="Arial"/>
          <w:sz w:val="15"/>
          <w:szCs w:val="15"/>
          <w:color w:val="auto"/>
          <w:highlight w:val="white"/>
        </w:rPr>
        <w:t>country, or the country in which the Shares are listed, Participant may be subject to insider trading restrictions and/or market abuse laws in applicable jurisdictions, which may affect Participant’s ability to directly or indirectly, accept, acquire, sell or attempt to sell or otherwise dispose of Shares, or rights to Shares</w:t>
      </w:r>
    </w:p>
    <w:p>
      <w:pPr>
        <w:ind w:right="100"/>
        <w:spacing w:after="0"/>
        <w:rPr>
          <w:rFonts w:ascii="Arial" w:cs="Arial" w:eastAsia="Arial" w:hAnsi="Arial"/>
          <w:sz w:val="15"/>
          <w:szCs w:val="15"/>
          <w:b w:val="1"/>
          <w:bCs w:val="1"/>
          <w:color w:val="auto"/>
        </w:rPr>
      </w:pPr>
      <w:r>
        <w:rPr>
          <w:rFonts w:ascii="Arial" w:cs="Arial" w:eastAsia="Arial" w:hAnsi="Arial"/>
          <w:sz w:val="15"/>
          <w:szCs w:val="15"/>
          <w:color w:val="auto"/>
          <w:highlight w:val="white"/>
        </w:rPr>
        <w:t>(</w:t>
      </w:r>
      <w:r>
        <w:rPr>
          <w:rFonts w:ascii="Arial" w:cs="Arial" w:eastAsia="Arial" w:hAnsi="Arial"/>
          <w:sz w:val="15"/>
          <w:szCs w:val="15"/>
          <w:i w:val="1"/>
          <w:iCs w:val="1"/>
          <w:color w:val="auto"/>
          <w:highlight w:val="white"/>
        </w:rPr>
        <w:t>e.g.,</w:t>
      </w:r>
      <w:r>
        <w:rPr>
          <w:rFonts w:ascii="Arial" w:cs="Arial" w:eastAsia="Arial" w:hAnsi="Arial"/>
          <w:sz w:val="15"/>
          <w:szCs w:val="15"/>
          <w:color w:val="auto"/>
          <w:highlight w:val="white"/>
        </w:rPr>
        <w:t xml:space="preserve"> Options), or rights linked to the value of Shares, during such times as Participant is considered to have “inside information” regarding the Company (as defined by the laws or regulations in the applicable jurisdiction). Local insider trading laws and regulations may prohibit the cancellation or amendment of orders Participant placed before possessing the inside information. Furthermore, Participant may be prohibited from (i) 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agrees to comply with such policy, as it may be amended from time to time, whenever Participant acquires or disposes of the Company’s securities.</w:t>
      </w:r>
    </w:p>
    <w:p>
      <w:pPr>
        <w:spacing w:after="0" w:line="150" w:lineRule="exact"/>
        <w:rPr>
          <w:rFonts w:ascii="Arial" w:cs="Arial" w:eastAsia="Arial" w:hAnsi="Arial"/>
          <w:sz w:val="15"/>
          <w:szCs w:val="15"/>
          <w:b w:val="1"/>
          <w:bCs w:val="1"/>
          <w:color w:val="auto"/>
        </w:rPr>
      </w:pPr>
    </w:p>
    <w:p>
      <w:pPr>
        <w:ind w:right="20" w:firstLine="425"/>
        <w:spacing w:after="0" w:line="217" w:lineRule="auto"/>
        <w:tabs>
          <w:tab w:leader="none" w:pos="680"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Foreign Asset/Account, Exchange Control and Tax Reporting</w:t>
      </w:r>
      <w:r>
        <w:rPr>
          <w:rFonts w:ascii="Arial" w:cs="Arial" w:eastAsia="Arial" w:hAnsi="Arial"/>
          <w:sz w:val="17"/>
          <w:szCs w:val="17"/>
          <w:color w:val="auto"/>
        </w:rPr>
        <w:t>. Participant may be subject to foreign asset/account, exchange control and/or tax</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reporting requirements as a result of the acquisition, holding and/or transfer of Shares or cash resulting from his or her participation in the Plan. Participant may be required to report such accounts, assets, the balances therein, the value thereof and/or the transactions related thereto to the applicable authorities in Participant’s country and/or repatriate funds received in connection with the Plan within certain time limits or according to specified procedures. Participant acknowledges that he or she is responsible for ensuring compliance with any applicable foreign asset/account, exchange control and tax reporting requirements and should consult his or her personal legal and tax advisors on such matters.</w:t>
      </w:r>
    </w:p>
    <w:p>
      <w:pPr>
        <w:spacing w:after="0" w:line="154" w:lineRule="exact"/>
        <w:rPr>
          <w:rFonts w:ascii="Arial" w:cs="Arial" w:eastAsia="Arial" w:hAnsi="Arial"/>
          <w:sz w:val="17"/>
          <w:szCs w:val="17"/>
          <w:b w:val="1"/>
          <w:bCs w:val="1"/>
          <w:color w:val="auto"/>
        </w:rPr>
      </w:pPr>
    </w:p>
    <w:p>
      <w:pPr>
        <w:jc w:val="both"/>
        <w:ind w:right="180" w:firstLine="425"/>
        <w:spacing w:after="0" w:line="223" w:lineRule="auto"/>
        <w:tabs>
          <w:tab w:leader="none" w:pos="680"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 Subject to Company Clawback or Recoupment. </w:t>
      </w:r>
      <w:r>
        <w:rPr>
          <w:rFonts w:ascii="Arial" w:cs="Arial" w:eastAsia="Arial" w:hAnsi="Arial"/>
          <w:sz w:val="17"/>
          <w:szCs w:val="17"/>
          <w:color w:val="auto"/>
        </w:rPr>
        <w:t>The Option shall be subject to clawback or recoupment pursuant to any compensation</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clawback or recoupment policy adopted by the Board or required by law during the term of Participant’s employment or other Service that is applicable to Participant. In addition to any other remedies available under such policy, applicable law may require the cancellation of Participant’s Option (whether vested or unvested) and the recoupment of any gains realized with respect to Participant’s Option.</w:t>
      </w:r>
    </w:p>
    <w:p>
      <w:pPr>
        <w:spacing w:after="0" w:line="152" w:lineRule="exact"/>
        <w:rPr>
          <w:sz w:val="20"/>
          <w:szCs w:val="20"/>
          <w:color w:val="auto"/>
        </w:rPr>
      </w:pPr>
    </w:p>
    <w:p>
      <w:pPr>
        <w:ind w:right="360" w:firstLine="422"/>
        <w:spacing w:after="0" w:line="243" w:lineRule="auto"/>
        <w:rPr>
          <w:sz w:val="20"/>
          <w:szCs w:val="20"/>
          <w:color w:val="auto"/>
        </w:rPr>
      </w:pPr>
      <w:r>
        <w:rPr>
          <w:rFonts w:ascii="Arial" w:cs="Arial" w:eastAsia="Arial" w:hAnsi="Arial"/>
          <w:sz w:val="17"/>
          <w:szCs w:val="17"/>
          <w:b w:val="1"/>
          <w:bCs w:val="1"/>
          <w:color w:val="auto"/>
        </w:rPr>
        <w:t>BY ACCEPTING THIS OPTION, PARTICIPANT AGREES TO ALL OF THE TERMS AND CONDITIONS DESCRIBED ABOVE AND IN THE PLAN.</w:t>
      </w:r>
    </w:p>
    <w:p>
      <w:pPr>
        <w:sectPr>
          <w:pgSz w:w="11900" w:h="16838" w:orient="portrait"/>
          <w:cols w:equalWidth="0" w:num="1">
            <w:col w:w="11240"/>
          </w:cols>
          <w:pgMar w:left="320" w:top="1440" w:right="339" w:bottom="1440" w:gutter="0" w:footer="0" w:header="0"/>
        </w:sectPr>
      </w:pPr>
    </w:p>
    <w:bookmarkStart w:id="171" w:name="page172"/>
    <w:bookmarkEnd w:id="171"/>
    <w:p>
      <w:pPr>
        <w:ind w:left="5180"/>
        <w:spacing w:after="0"/>
        <w:rPr>
          <w:sz w:val="20"/>
          <w:szCs w:val="20"/>
          <w:color w:val="auto"/>
        </w:rPr>
      </w:pPr>
      <w:r>
        <w:rPr>
          <w:rFonts w:ascii="Arial" w:cs="Arial" w:eastAsia="Arial" w:hAnsi="Arial"/>
          <w:sz w:val="17"/>
          <w:szCs w:val="17"/>
          <w:b w:val="1"/>
          <w:bCs w:val="1"/>
          <w:color w:val="auto"/>
        </w:rPr>
        <w:t>APPENDIX</w:t>
      </w:r>
    </w:p>
    <w:p>
      <w:pPr>
        <w:spacing w:after="0" w:line="68"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ARCUTIS BIOTHERAPEUTICS, INC.</w:t>
      </w:r>
    </w:p>
    <w:p>
      <w:pPr>
        <w:jc w:val="center"/>
        <w:ind w:right="-1100"/>
        <w:spacing w:after="0" w:line="206" w:lineRule="auto"/>
        <w:rPr>
          <w:sz w:val="20"/>
          <w:szCs w:val="20"/>
          <w:color w:val="auto"/>
        </w:rPr>
      </w:pPr>
      <w:r>
        <w:rPr>
          <w:rFonts w:ascii="Arial" w:cs="Arial" w:eastAsia="Arial" w:hAnsi="Arial"/>
          <w:sz w:val="17"/>
          <w:szCs w:val="17"/>
          <w:b w:val="1"/>
          <w:bCs w:val="1"/>
          <w:color w:val="auto"/>
        </w:rPr>
        <w:t>2022 EMPLOYMENT INDUCEMENT INCENTIVE PLAN</w:t>
      </w:r>
    </w:p>
    <w:p>
      <w:pPr>
        <w:jc w:val="center"/>
        <w:ind w:right="-1100"/>
        <w:spacing w:after="0"/>
        <w:rPr>
          <w:sz w:val="20"/>
          <w:szCs w:val="20"/>
          <w:color w:val="auto"/>
        </w:rPr>
      </w:pPr>
      <w:r>
        <w:rPr>
          <w:rFonts w:ascii="Arial" w:cs="Arial" w:eastAsia="Arial" w:hAnsi="Arial"/>
          <w:sz w:val="17"/>
          <w:szCs w:val="17"/>
          <w:b w:val="1"/>
          <w:bCs w:val="1"/>
          <w:color w:val="auto"/>
        </w:rPr>
        <w:t>GLOBAL STOCK OPTION AWARD AGREEMENT</w:t>
      </w:r>
    </w:p>
    <w:p>
      <w:pPr>
        <w:spacing w:after="0" w:line="56" w:lineRule="exact"/>
        <w:rPr>
          <w:sz w:val="20"/>
          <w:szCs w:val="20"/>
          <w:color w:val="auto"/>
        </w:rPr>
      </w:pPr>
    </w:p>
    <w:p>
      <w:pPr>
        <w:jc w:val="right"/>
        <w:ind w:right="1559"/>
        <w:spacing w:after="0"/>
        <w:rPr>
          <w:sz w:val="20"/>
          <w:szCs w:val="20"/>
          <w:color w:val="auto"/>
        </w:rPr>
      </w:pPr>
      <w:r>
        <w:rPr>
          <w:rFonts w:ascii="Arial" w:cs="Arial" w:eastAsia="Arial" w:hAnsi="Arial"/>
          <w:sz w:val="17"/>
          <w:szCs w:val="17"/>
          <w:b w:val="1"/>
          <w:bCs w:val="1"/>
          <w:color w:val="auto"/>
        </w:rPr>
        <w:t>COUNTRY SPECIFIC PROVISIONS FOR EMPLOYEES OUTSIDE THE U.S.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|US-DOCS\127817847.1||</w:t>
      </w:r>
    </w:p>
    <w:p>
      <w:pPr>
        <w:sectPr>
          <w:pgSz w:w="11900" w:h="16838" w:orient="portrait"/>
          <w:cols w:equalWidth="0" w:num="1">
            <w:col w:w="10139"/>
          </w:cols>
          <w:pgMar w:left="320" w:top="1349" w:right="1440" w:bottom="1440" w:gutter="0" w:footer="0" w:header="0"/>
        </w:sectPr>
      </w:pPr>
    </w:p>
    <w:bookmarkStart w:id="172" w:name="page173"/>
    <w:bookmarkEnd w:id="172"/>
    <w:p>
      <w:pPr>
        <w:jc w:val="center"/>
        <w:spacing w:after="0"/>
        <w:rPr>
          <w:sz w:val="20"/>
          <w:szCs w:val="20"/>
          <w:color w:val="auto"/>
        </w:rPr>
      </w:pPr>
      <w:r>
        <w:rPr>
          <w:rFonts w:ascii="Arial" w:cs="Arial" w:eastAsia="Arial" w:hAnsi="Arial"/>
          <w:sz w:val="17"/>
          <w:szCs w:val="17"/>
          <w:b w:val="1"/>
          <w:bCs w:val="1"/>
          <w:color w:val="auto"/>
        </w:rPr>
        <w:t>ARCUTIS BIOTHERAPEUTICS, INC.</w:t>
      </w:r>
    </w:p>
    <w:p>
      <w:pPr>
        <w:jc w:val="center"/>
        <w:spacing w:after="0" w:line="206" w:lineRule="auto"/>
        <w:rPr>
          <w:sz w:val="20"/>
          <w:szCs w:val="20"/>
          <w:color w:val="auto"/>
        </w:rPr>
      </w:pPr>
      <w:r>
        <w:rPr>
          <w:rFonts w:ascii="Arial" w:cs="Arial" w:eastAsia="Arial" w:hAnsi="Arial"/>
          <w:sz w:val="17"/>
          <w:szCs w:val="17"/>
          <w:b w:val="1"/>
          <w:bCs w:val="1"/>
          <w:color w:val="auto"/>
        </w:rPr>
        <w:t>2022 EMPLOYMENT INDUCEMENT INCENTIVE PLAN</w:t>
      </w:r>
    </w:p>
    <w:p>
      <w:pPr>
        <w:jc w:val="center"/>
        <w:spacing w:after="0"/>
        <w:rPr>
          <w:sz w:val="20"/>
          <w:szCs w:val="20"/>
          <w:color w:val="auto"/>
        </w:rPr>
      </w:pPr>
      <w:r>
        <w:rPr>
          <w:rFonts w:ascii="Arial" w:cs="Arial" w:eastAsia="Arial" w:hAnsi="Arial"/>
          <w:sz w:val="17"/>
          <w:szCs w:val="17"/>
          <w:b w:val="1"/>
          <w:bCs w:val="1"/>
          <w:color w:val="auto"/>
        </w:rPr>
        <w:t>GLOBAL NOTICE OF RESTRICTED STOCK UNIT AWARD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herein, the terms defined in the Arcutis Biotherapeutics,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2022 Employment Inducement Incentive Plan (the</w:t>
      </w:r>
    </w:p>
    <w:p>
      <w:pPr>
        <w:ind w:right="260"/>
        <w:spacing w:after="0" w:line="22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will have the same meanings in this Global Notice of Restricted Stock Unit Award and the electronic representation of this Global Notice of Restricted Stock Unit Award established and maintained by the Company or a third party designated by the Company (this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Name:</w:t>
      </w:r>
    </w:p>
    <w:p>
      <w:pPr>
        <w:ind w:left="420"/>
        <w:spacing w:after="0"/>
        <w:rPr>
          <w:sz w:val="20"/>
          <w:szCs w:val="20"/>
          <w:color w:val="auto"/>
        </w:rPr>
      </w:pPr>
      <w:r>
        <w:rPr>
          <w:rFonts w:ascii="Arial" w:cs="Arial" w:eastAsia="Arial" w:hAnsi="Arial"/>
          <w:sz w:val="17"/>
          <w:szCs w:val="17"/>
          <w:b w:val="1"/>
          <w:bCs w:val="1"/>
          <w:color w:val="auto"/>
        </w:rPr>
        <w:t>Address:</w:t>
      </w:r>
    </w:p>
    <w:p>
      <w:pPr>
        <w:spacing w:after="0" w:line="165"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You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have been granted an award of Restricted Stock Units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under the Plan subject to the terms and conditions of the Plan, this Notice and the attached Global Restricted Stock Unit Award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including any applicable country-specific provisions in the appendix attached hereto (the “</w:t>
      </w:r>
      <w:r>
        <w:rPr>
          <w:rFonts w:ascii="Arial" w:cs="Arial" w:eastAsia="Arial" w:hAnsi="Arial"/>
          <w:sz w:val="17"/>
          <w:szCs w:val="17"/>
          <w:b w:val="1"/>
          <w:bCs w:val="1"/>
          <w:i w:val="1"/>
          <w:iCs w:val="1"/>
          <w:color w:val="auto"/>
        </w:rPr>
        <w:t>Appendix</w:t>
      </w:r>
      <w:r>
        <w:rPr>
          <w:rFonts w:ascii="Arial" w:cs="Arial" w:eastAsia="Arial" w:hAnsi="Arial"/>
          <w:sz w:val="17"/>
          <w:szCs w:val="17"/>
          <w:color w:val="auto"/>
        </w:rPr>
        <w:t>”), which constitutes part of the Agreement.</w:t>
      </w:r>
    </w:p>
    <w:p>
      <w:pPr>
        <w:sectPr>
          <w:pgSz w:w="11900" w:h="16838" w:orient="portrait"/>
          <w:cols w:equalWidth="0" w:num="1">
            <w:col w:w="11240"/>
          </w:cols>
          <w:pgMar w:left="320" w:top="1341"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Grant Number:</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Number of RSUs: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Date of Grant:</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Vesting Commencement Date:</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Expiration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80"/>
        <w:spacing w:after="0" w:line="227" w:lineRule="auto"/>
        <w:rPr>
          <w:sz w:val="20"/>
          <w:szCs w:val="20"/>
          <w:color w:val="auto"/>
        </w:rPr>
      </w:pPr>
      <w:r>
        <w:rPr>
          <w:rFonts w:ascii="Arial" w:cs="Arial" w:eastAsia="Arial" w:hAnsi="Arial"/>
          <w:sz w:val="17"/>
          <w:szCs w:val="17"/>
          <w:color w:val="auto"/>
        </w:rPr>
        <w:t>The earlier to occur of: (a) the date on which settlement of all RSUs granted hereunder occurs and (b) the tenth anniversary of the Date of Grant. This RSU expires earlier if Participant’s Service terminates earlier, as described in the Agreement.</w:t>
      </w:r>
    </w:p>
    <w:p>
      <w:pPr>
        <w:spacing w:after="0" w:line="98" w:lineRule="exact"/>
        <w:rPr>
          <w:sz w:val="20"/>
          <w:szCs w:val="20"/>
          <w:color w:val="auto"/>
        </w:rPr>
      </w:pPr>
    </w:p>
    <w:p>
      <w:pPr>
        <w:sectPr>
          <w:pgSz w:w="11900" w:h="16838" w:orient="portrait"/>
          <w:cols w:equalWidth="0" w:num="2">
            <w:col w:w="2660" w:space="400"/>
            <w:col w:w="8180"/>
          </w:cols>
          <w:pgMar w:left="320" w:top="1341" w:right="339" w:bottom="1440" w:gutter="0" w:footer="0" w:header="0"/>
          <w:type w:val="continuous"/>
        </w:sectPr>
      </w:pPr>
    </w:p>
    <w:p>
      <w:pPr>
        <w:ind w:left="440"/>
        <w:spacing w:after="0"/>
        <w:rPr>
          <w:sz w:val="20"/>
          <w:szCs w:val="20"/>
          <w:color w:val="auto"/>
        </w:rPr>
      </w:pPr>
      <w:r>
        <w:rPr>
          <w:rFonts w:ascii="Arial" w:cs="Arial" w:eastAsia="Arial" w:hAnsi="Arial"/>
          <w:sz w:val="14"/>
          <w:szCs w:val="14"/>
          <w:b w:val="1"/>
          <w:bCs w:val="1"/>
          <w:color w:val="auto"/>
        </w:rPr>
        <w:t>Vesting Schedule:</w:t>
      </w:r>
    </w:p>
    <w:p>
      <w:pPr>
        <w:spacing w:after="0" w:line="20" w:lineRule="exact"/>
        <w:rPr>
          <w:sz w:val="20"/>
          <w:szCs w:val="20"/>
          <w:color w:val="auto"/>
        </w:rPr>
      </w:pPr>
      <w:r>
        <w:rPr>
          <w:sz w:val="20"/>
          <w:szCs w:val="20"/>
          <w:color w:val="auto"/>
        </w:rPr>
        <w:br w:type="column"/>
      </w:r>
    </w:p>
    <w:p>
      <w:pPr>
        <w:ind w:right="140"/>
        <w:spacing w:after="0" w:line="237" w:lineRule="auto"/>
        <w:rPr>
          <w:sz w:val="20"/>
          <w:szCs w:val="20"/>
          <w:color w:val="auto"/>
        </w:rPr>
      </w:pPr>
      <w:r>
        <w:rPr>
          <w:rFonts w:ascii="Arial" w:cs="Arial" w:eastAsia="Arial" w:hAnsi="Arial"/>
          <w:sz w:val="17"/>
          <w:szCs w:val="17"/>
          <w:color w:val="auto"/>
        </w:rPr>
        <w:t>Subject to the limitations set forth in this Notice, the Plan and the Agreement, the RSUs will vest in accordance with the following schedule: [insert applicable vesting schedule]</w:t>
      </w:r>
    </w:p>
    <w:p>
      <w:pPr>
        <w:spacing w:after="0" w:line="200" w:lineRule="exact"/>
        <w:rPr>
          <w:sz w:val="20"/>
          <w:szCs w:val="20"/>
          <w:color w:val="auto"/>
        </w:rPr>
      </w:pPr>
    </w:p>
    <w:p>
      <w:pPr>
        <w:sectPr>
          <w:pgSz w:w="11900" w:h="16838" w:orient="portrait"/>
          <w:cols w:equalWidth="0" w:num="2">
            <w:col w:w="2340" w:space="720"/>
            <w:col w:w="8180"/>
          </w:cols>
          <w:pgMar w:left="320" w:top="1341" w:right="3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By accepting (whether in writing, electronically or otherwise) the RSUs, Participant acknowledges and agrees to the following:</w:t>
      </w:r>
    </w:p>
    <w:p>
      <w:pPr>
        <w:spacing w:after="0" w:line="128" w:lineRule="exact"/>
        <w:rPr>
          <w:sz w:val="20"/>
          <w:szCs w:val="20"/>
          <w:color w:val="auto"/>
        </w:rPr>
      </w:pPr>
    </w:p>
    <w:p>
      <w:pPr>
        <w:ind w:left="1040" w:right="60" w:hanging="567"/>
        <w:spacing w:after="0" w:line="230" w:lineRule="auto"/>
        <w:tabs>
          <w:tab w:leader="none" w:pos="10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Participant understands that Participant’s Service with the Company or a Subsidiary is for an unspecified duration, can be terminated at any time (</w:t>
      </w:r>
      <w:r>
        <w:rPr>
          <w:rFonts w:ascii="Arial" w:cs="Arial" w:eastAsia="Arial" w:hAnsi="Arial"/>
          <w:sz w:val="16"/>
          <w:szCs w:val="16"/>
          <w:i w:val="1"/>
          <w:iCs w:val="1"/>
          <w:color w:val="auto"/>
        </w:rPr>
        <w:t>i.e.</w:t>
      </w:r>
      <w:r>
        <w:rPr>
          <w:rFonts w:ascii="Arial" w:cs="Arial" w:eastAsia="Arial" w:hAnsi="Arial"/>
          <w:sz w:val="16"/>
          <w:szCs w:val="16"/>
          <w:color w:val="auto"/>
        </w:rPr>
        <w:t>, is “at-will”), except where otherwise prohibited by applicable law, and that nothing in this Notice, the Agreement or the Plan changes the nature of that relationship. Participant acknowledges that the vesting of the RSUs pursuant to this Notice is subject to Participant’s continuing Service.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w:t>
      </w:r>
    </w:p>
    <w:p>
      <w:pPr>
        <w:spacing w:after="0" w:line="208" w:lineRule="exact"/>
        <w:rPr>
          <w:rFonts w:ascii="Arial" w:cs="Arial" w:eastAsia="Arial" w:hAnsi="Arial"/>
          <w:sz w:val="16"/>
          <w:szCs w:val="16"/>
          <w:color w:val="auto"/>
        </w:rPr>
      </w:pPr>
    </w:p>
    <w:p>
      <w:pPr>
        <w:ind w:left="1040" w:right="340" w:hanging="567"/>
        <w:spacing w:after="0" w:line="299" w:lineRule="auto"/>
        <w:tabs>
          <w:tab w:leader="none" w:pos="10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This grant is made under and governed by the Plan, the Agreement and this Notice, and this Notice is subject to the terms and conditions of the Agreement and the Plan, both of which are incorporated herein by reference. Participant has read the Notice, the Agreement and the Plan.</w:t>
      </w:r>
    </w:p>
    <w:p>
      <w:pPr>
        <w:spacing w:after="0" w:line="177" w:lineRule="exact"/>
        <w:rPr>
          <w:rFonts w:ascii="Arial" w:cs="Arial" w:eastAsia="Arial" w:hAnsi="Arial"/>
          <w:sz w:val="15"/>
          <w:szCs w:val="15"/>
          <w:color w:val="auto"/>
        </w:rPr>
      </w:pPr>
    </w:p>
    <w:p>
      <w:pPr>
        <w:ind w:left="1040" w:right="580" w:hanging="567"/>
        <w:spacing w:after="0" w:line="237" w:lineRule="auto"/>
        <w:tabs>
          <w:tab w:leader="none" w:pos="10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Participant has read the Company’s Insider Trading Policy, and agrees to comply with such policy, as it may be amended from time to time, whenever Participant acquires or disposes of the Company’s securities.</w:t>
      </w:r>
    </w:p>
    <w:p>
      <w:pPr>
        <w:sectPr>
          <w:pgSz w:w="11900" w:h="16838" w:orient="portrait"/>
          <w:cols w:equalWidth="0" w:num="1">
            <w:col w:w="11240"/>
          </w:cols>
          <w:pgMar w:left="320" w:top="1341" w:right="339" w:bottom="1440" w:gutter="0" w:footer="0" w:header="0"/>
          <w:type w:val="continuous"/>
        </w:sectPr>
      </w:pPr>
    </w:p>
    <w:bookmarkStart w:id="173" w:name="page174"/>
    <w:bookmarkEnd w:id="173"/>
    <w:p>
      <w:pPr>
        <w:ind w:left="567" w:hanging="567"/>
        <w:spacing w:after="0"/>
        <w:tabs>
          <w:tab w:leader="none" w:pos="56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By accepting the RSUs, Participant consents to electronic delivery and participation as set forth in the Agreement.</w:t>
      </w:r>
    </w:p>
    <w:p>
      <w:pPr>
        <w:spacing w:after="0" w:line="24" w:lineRule="exact"/>
        <w:rPr>
          <w:rFonts w:ascii="Arial" w:cs="Arial" w:eastAsia="Arial" w:hAnsi="Arial"/>
          <w:sz w:val="17"/>
          <w:szCs w:val="17"/>
          <w:color w:val="auto"/>
        </w:rPr>
      </w:pPr>
    </w:p>
    <w:p>
      <w:pPr>
        <w:ind w:left="567" w:hanging="567"/>
        <w:spacing w:after="0" w:line="265" w:lineRule="auto"/>
        <w:tabs>
          <w:tab w:leader="none" w:pos="56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By accepting the RSUs, to unless Participant has a valid 10b5-1 plan in place directing the sale of Shares to cover the Tax-Related Items (as defined in the Agreement), Participant agrees to the 10b5-1 Arrangement described in Section 6 of the Agreement.</w:t>
      </w:r>
    </w:p>
    <w:p>
      <w:pPr>
        <w:sectPr>
          <w:pgSz w:w="11900" w:h="16838" w:orient="portrait"/>
          <w:cols w:equalWidth="0" w:num="1">
            <w:col w:w="10207"/>
          </w:cols>
          <w:pgMar w:left="793" w:top="1407" w:right="899" w:bottom="1440" w:gutter="0" w:footer="0" w:header="0"/>
        </w:sectPr>
      </w:pPr>
    </w:p>
    <w:bookmarkStart w:id="174" w:name="page175"/>
    <w:bookmarkEnd w:id="174"/>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ARCUTIS BIOTHERAPEUTICS, INC.</w:t>
      </w:r>
    </w:p>
    <w:p>
      <w:pPr>
        <w:jc w:val="center"/>
        <w:ind w:right="-19"/>
        <w:spacing w:after="0" w:line="206" w:lineRule="auto"/>
        <w:rPr>
          <w:sz w:val="20"/>
          <w:szCs w:val="20"/>
          <w:color w:val="auto"/>
        </w:rPr>
      </w:pPr>
      <w:r>
        <w:rPr>
          <w:rFonts w:ascii="Arial" w:cs="Arial" w:eastAsia="Arial" w:hAnsi="Arial"/>
          <w:sz w:val="17"/>
          <w:szCs w:val="17"/>
          <w:b w:val="1"/>
          <w:bCs w:val="1"/>
          <w:color w:val="auto"/>
        </w:rPr>
        <w:t>2022 EMPLOYMENT INDUCEMENT INCENTIVE PLAN</w:t>
      </w:r>
    </w:p>
    <w:p>
      <w:pPr>
        <w:jc w:val="center"/>
        <w:ind w:right="-19"/>
        <w:spacing w:after="0"/>
        <w:rPr>
          <w:sz w:val="20"/>
          <w:szCs w:val="20"/>
          <w:color w:val="auto"/>
        </w:rPr>
      </w:pPr>
      <w:r>
        <w:rPr>
          <w:rFonts w:ascii="Arial" w:cs="Arial" w:eastAsia="Arial" w:hAnsi="Arial"/>
          <w:sz w:val="17"/>
          <w:szCs w:val="17"/>
          <w:b w:val="1"/>
          <w:bCs w:val="1"/>
          <w:color w:val="auto"/>
        </w:rPr>
        <w:t>GLOBAL RESTRICTED STOCK UNIT AWARD AGREEMENT</w:t>
      </w:r>
    </w:p>
    <w:p>
      <w:pPr>
        <w:spacing w:after="0" w:line="165" w:lineRule="exact"/>
        <w:rPr>
          <w:sz w:val="20"/>
          <w:szCs w:val="20"/>
          <w:color w:val="auto"/>
        </w:rPr>
      </w:pPr>
    </w:p>
    <w:p>
      <w:pPr>
        <w:ind w:right="180" w:firstLine="422"/>
        <w:spacing w:after="0" w:line="237" w:lineRule="auto"/>
        <w:rPr>
          <w:sz w:val="20"/>
          <w:szCs w:val="20"/>
          <w:color w:val="auto"/>
        </w:rPr>
      </w:pPr>
      <w:r>
        <w:rPr>
          <w:rFonts w:ascii="Arial" w:cs="Arial" w:eastAsia="Arial" w:hAnsi="Arial"/>
          <w:sz w:val="17"/>
          <w:szCs w:val="17"/>
          <w:color w:val="auto"/>
        </w:rPr>
        <w:t>Unless otherwise defined in this Global Restricted Stock Unit Award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any capitalized terms used herein will have the same meaning ascribed to them in the Arcutis Biotherapeutics, Inc. 2022 Employment Inducement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w:t>
      </w:r>
    </w:p>
    <w:p>
      <w:pPr>
        <w:spacing w:after="0" w:line="157" w:lineRule="exact"/>
        <w:rPr>
          <w:sz w:val="20"/>
          <w:szCs w:val="20"/>
          <w:color w:val="auto"/>
        </w:rPr>
      </w:pPr>
    </w:p>
    <w:p>
      <w:pPr>
        <w:ind w:right="80" w:firstLine="422"/>
        <w:spacing w:after="0" w:line="222" w:lineRule="auto"/>
        <w:rPr>
          <w:sz w:val="20"/>
          <w:szCs w:val="20"/>
          <w:color w:val="auto"/>
        </w:rPr>
      </w:pPr>
      <w:r>
        <w:rPr>
          <w:rFonts w:ascii="Arial" w:cs="Arial" w:eastAsia="Arial" w:hAnsi="Arial"/>
          <w:sz w:val="17"/>
          <w:szCs w:val="17"/>
          <w:color w:val="auto"/>
        </w:rPr>
        <w:t>Participant has been granted Restricted Stock Units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subject to the terms, restrictions and conditions of the Plan, the Global Notice of Restricted Stock Unit Award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and this Agreement, including any applicable country-specific provisions in the appendix attached hereto (the “</w:t>
      </w:r>
      <w:r>
        <w:rPr>
          <w:rFonts w:ascii="Arial" w:cs="Arial" w:eastAsia="Arial" w:hAnsi="Arial"/>
          <w:sz w:val="17"/>
          <w:szCs w:val="17"/>
          <w:b w:val="1"/>
          <w:bCs w:val="1"/>
          <w:i w:val="1"/>
          <w:iCs w:val="1"/>
          <w:color w:val="auto"/>
        </w:rPr>
        <w:t>Appendix</w:t>
      </w:r>
      <w:r>
        <w:rPr>
          <w:rFonts w:ascii="Arial" w:cs="Arial" w:eastAsia="Arial" w:hAnsi="Arial"/>
          <w:sz w:val="17"/>
          <w:szCs w:val="17"/>
          <w:color w:val="auto"/>
        </w:rPr>
        <w:t>”), which constitutes part of this Agreement. In the event of a conflict between the terms and conditions of the Plan and the terms and conditions of the Notice or this Agreement, the terms and conditions of the Plan shall prevail.</w:t>
      </w:r>
    </w:p>
    <w:p>
      <w:pPr>
        <w:spacing w:after="0" w:line="149" w:lineRule="exact"/>
        <w:rPr>
          <w:sz w:val="20"/>
          <w:szCs w:val="20"/>
          <w:color w:val="auto"/>
        </w:rPr>
      </w:pPr>
    </w:p>
    <w:p>
      <w:pPr>
        <w:ind w:right="560" w:firstLine="3"/>
        <w:spacing w:after="0" w:line="273" w:lineRule="auto"/>
        <w:tabs>
          <w:tab w:leader="none" w:pos="172"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Settlement. </w:t>
      </w:r>
      <w:r>
        <w:rPr>
          <w:rFonts w:ascii="Arial" w:cs="Arial" w:eastAsia="Arial" w:hAnsi="Arial"/>
          <w:sz w:val="16"/>
          <w:szCs w:val="16"/>
          <w:color w:val="auto"/>
        </w:rPr>
        <w:t>Settlement of RSUs will be made within 30 days following the applicable date of vesting under the Vesting Schedule set forth in the Notice.</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Settlement of RSUs will be in Shares. No fractional RSUs or rights for fractional Shares shall be created pursuant to this Agreement.</w:t>
      </w:r>
    </w:p>
    <w:p>
      <w:pPr>
        <w:spacing w:after="0" w:line="124" w:lineRule="exact"/>
        <w:rPr>
          <w:rFonts w:ascii="Arial" w:cs="Arial" w:eastAsia="Arial" w:hAnsi="Arial"/>
          <w:sz w:val="16"/>
          <w:szCs w:val="16"/>
          <w:b w:val="1"/>
          <w:bCs w:val="1"/>
          <w:color w:val="auto"/>
        </w:rPr>
      </w:pPr>
    </w:p>
    <w:p>
      <w:pPr>
        <w:ind w:right="600" w:firstLine="3"/>
        <w:spacing w:after="0" w:line="243" w:lineRule="auto"/>
        <w:tabs>
          <w:tab w:leader="none" w:pos="172"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Stockholder Rights. </w:t>
      </w:r>
      <w:r>
        <w:rPr>
          <w:rFonts w:ascii="Arial" w:cs="Arial" w:eastAsia="Arial" w:hAnsi="Arial"/>
          <w:sz w:val="17"/>
          <w:szCs w:val="17"/>
          <w:color w:val="auto"/>
          <w:highlight w:val="white"/>
        </w:rPr>
        <w:t>Unless and until such time as Shares are issued in settlement of vested RSUs, Participant will have no ownership of the Shares</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allocated to the RSUs and will have no rights to dividends or to vote such Shares.</w:t>
      </w:r>
    </w:p>
    <w:p>
      <w:pPr>
        <w:spacing w:after="0" w:line="146" w:lineRule="exact"/>
        <w:rPr>
          <w:rFonts w:ascii="Arial" w:cs="Arial" w:eastAsia="Arial" w:hAnsi="Arial"/>
          <w:sz w:val="17"/>
          <w:szCs w:val="17"/>
          <w:b w:val="1"/>
          <w:bCs w:val="1"/>
          <w:color w:val="auto"/>
        </w:rPr>
      </w:pPr>
    </w:p>
    <w:p>
      <w:pPr>
        <w:ind w:left="180" w:hanging="177"/>
        <w:spacing w:after="0"/>
        <w:tabs>
          <w:tab w:leader="none" w:pos="18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Dividend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if any (whether in cash or Shares), will not be credited to Participant.</w:t>
      </w:r>
    </w:p>
    <w:p>
      <w:pPr>
        <w:spacing w:after="0" w:line="179" w:lineRule="exact"/>
        <w:rPr>
          <w:rFonts w:ascii="Arial" w:cs="Arial" w:eastAsia="Arial" w:hAnsi="Arial"/>
          <w:sz w:val="17"/>
          <w:szCs w:val="17"/>
          <w:b w:val="1"/>
          <w:bCs w:val="1"/>
          <w:color w:val="auto"/>
        </w:rPr>
      </w:pPr>
    </w:p>
    <w:p>
      <w:pPr>
        <w:ind w:firstLine="3"/>
        <w:spacing w:after="0" w:line="273" w:lineRule="auto"/>
        <w:tabs>
          <w:tab w:leader="none" w:pos="172"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Non-Transferability of RSUs. </w:t>
      </w:r>
      <w:r>
        <w:rPr>
          <w:rFonts w:ascii="Arial" w:cs="Arial" w:eastAsia="Arial" w:hAnsi="Arial"/>
          <w:sz w:val="16"/>
          <w:szCs w:val="16"/>
          <w:color w:val="auto"/>
        </w:rPr>
        <w:t>The RSUs and any interest therein will not be sold, assigned, transferred, pledged, hypothecated, or otherwise disposed of in any</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manner other than by will or by the laws of descent or distribution or court order or unless otherwise permitted by the Committee on a case-by-case basis.</w:t>
      </w:r>
    </w:p>
    <w:p>
      <w:pPr>
        <w:spacing w:after="0" w:line="124" w:lineRule="exact"/>
        <w:rPr>
          <w:rFonts w:ascii="Arial" w:cs="Arial" w:eastAsia="Arial" w:hAnsi="Arial"/>
          <w:sz w:val="16"/>
          <w:szCs w:val="16"/>
          <w:b w:val="1"/>
          <w:bCs w:val="1"/>
          <w:color w:val="auto"/>
        </w:rPr>
      </w:pPr>
    </w:p>
    <w:p>
      <w:pPr>
        <w:ind w:right="120" w:firstLine="3"/>
        <w:spacing w:after="0" w:line="241" w:lineRule="auto"/>
        <w:tabs>
          <w:tab w:leader="none" w:pos="172"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Termination. </w:t>
      </w:r>
      <w:r>
        <w:rPr>
          <w:rFonts w:ascii="Arial" w:cs="Arial" w:eastAsia="Arial" w:hAnsi="Arial"/>
          <w:sz w:val="15"/>
          <w:szCs w:val="15"/>
          <w:color w:val="auto"/>
        </w:rPr>
        <w:t>If Participant’s Service terminates for any reason, all unvested RSUs will be forfeited to the Company forthwith, and all rights of Participant to</w:t>
      </w:r>
      <w:r>
        <w:rPr>
          <w:rFonts w:ascii="Arial" w:cs="Arial" w:eastAsia="Arial" w:hAnsi="Arial"/>
          <w:sz w:val="15"/>
          <w:szCs w:val="15"/>
          <w:b w:val="1"/>
          <w:bCs w:val="1"/>
          <w:color w:val="auto"/>
        </w:rPr>
        <w:t xml:space="preserve"> </w:t>
      </w:r>
      <w:r>
        <w:rPr>
          <w:rFonts w:ascii="Arial" w:cs="Arial" w:eastAsia="Arial" w:hAnsi="Arial"/>
          <w:sz w:val="15"/>
          <w:szCs w:val="15"/>
          <w:color w:val="auto"/>
          <w:highlight w:val="white"/>
        </w:rPr>
        <w:t>such RSUs will immediately terminate without payment of any consideration to Participant. Participant’s Service will be considered terminated (regardless of the reason for such termination and whether or not later found to be invalid or in breach of employment laws in the jurisdiction where Participant is employed or the terms of Participant’s employment agreement, if any) as of the date Participant is no longer actively providing services and Participant’s Service will not be extended by any notice period (e.g., Participant’s Service would not include a period of “garden leave” or similar period mandated under employment laws in the jurisdiction where Participant is employed or the terms of Participant’s employment agreement, if any). Participant acknowledges and agrees that the Vesting Schedule may change prospectively in the event Participant’s service status changes between full- and part-time and/or in the event Participant is on a leave of absence, in accordance with Company policies relating to work schedules and vesting of awards or as determined by the Committee. 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 leave of absence).</w:t>
      </w:r>
    </w:p>
    <w:p>
      <w:pPr>
        <w:spacing w:after="0" w:line="76" w:lineRule="exact"/>
        <w:rPr>
          <w:rFonts w:ascii="Arial" w:cs="Arial" w:eastAsia="Arial" w:hAnsi="Arial"/>
          <w:sz w:val="15"/>
          <w:szCs w:val="15"/>
          <w:b w:val="1"/>
          <w:bCs w:val="1"/>
          <w:color w:val="auto"/>
        </w:rPr>
      </w:pPr>
    </w:p>
    <w:p>
      <w:pPr>
        <w:ind w:left="180" w:hanging="177"/>
        <w:spacing w:after="0"/>
        <w:tabs>
          <w:tab w:leader="none" w:pos="180" w:val="left"/>
        </w:tabs>
        <w:numPr>
          <w:ilvl w:val="0"/>
          <w:numId w:val="112"/>
        </w:numPr>
        <w:rPr>
          <w:rFonts w:ascii="Arial" w:cs="Arial" w:eastAsia="Arial" w:hAnsi="Arial"/>
          <w:sz w:val="17"/>
          <w:szCs w:val="17"/>
          <w:b w:val="1"/>
          <w:bCs w:val="1"/>
          <w:color w:val="auto"/>
          <w:highlight w:val="white"/>
        </w:rPr>
      </w:pPr>
      <w:r>
        <w:rPr>
          <w:rFonts w:ascii="Arial" w:cs="Arial" w:eastAsia="Arial" w:hAnsi="Arial"/>
          <w:sz w:val="17"/>
          <w:szCs w:val="17"/>
          <w:b w:val="1"/>
          <w:bCs w:val="1"/>
          <w:u w:val="single" w:color="auto"/>
          <w:color w:val="auto"/>
          <w:highlight w:val="white"/>
        </w:rPr>
        <w:t>Taxes</w:t>
      </w:r>
      <w:r>
        <w:rPr>
          <w:rFonts w:ascii="Arial" w:cs="Arial" w:eastAsia="Arial" w:hAnsi="Arial"/>
          <w:sz w:val="17"/>
          <w:szCs w:val="17"/>
          <w:b w:val="1"/>
          <w:bCs w:val="1"/>
          <w:color w:val="auto"/>
          <w:highlight w:val="white"/>
        </w:rPr>
        <w:t>.</w:t>
      </w:r>
    </w:p>
    <w:p>
      <w:pPr>
        <w:spacing w:after="0" w:line="81" w:lineRule="exact"/>
        <w:rPr>
          <w:rFonts w:ascii="Arial" w:cs="Arial" w:eastAsia="Arial" w:hAnsi="Arial"/>
          <w:sz w:val="17"/>
          <w:szCs w:val="17"/>
          <w:b w:val="1"/>
          <w:bCs w:val="1"/>
          <w:color w:val="auto"/>
          <w:highlight w:val="white"/>
        </w:rPr>
      </w:pPr>
    </w:p>
    <w:p>
      <w:pPr>
        <w:ind w:firstLine="425"/>
        <w:spacing w:after="0" w:line="235" w:lineRule="auto"/>
        <w:tabs>
          <w:tab w:leader="none" w:pos="656" w:val="left"/>
        </w:tabs>
        <w:numPr>
          <w:ilvl w:val="1"/>
          <w:numId w:val="112"/>
        </w:numPr>
        <w:rPr>
          <w:rFonts w:ascii="Arial" w:cs="Arial" w:eastAsia="Arial" w:hAnsi="Arial"/>
          <w:sz w:val="15"/>
          <w:szCs w:val="15"/>
          <w:color w:val="auto"/>
        </w:rPr>
      </w:pPr>
      <w:r>
        <w:rPr>
          <w:rFonts w:ascii="Arial" w:cs="Arial" w:eastAsia="Arial" w:hAnsi="Arial"/>
          <w:sz w:val="15"/>
          <w:szCs w:val="15"/>
          <w:color w:val="auto"/>
        </w:rPr>
        <w:t xml:space="preserve">Responsibility for Taxes. Participant acknowledges that, to the extent permitted by applicable law, regardless of any action taken by the Company or a </w:t>
      </w:r>
      <w:r>
        <w:rPr>
          <w:rFonts w:ascii="Arial" w:cs="Arial" w:eastAsia="Arial" w:hAnsi="Arial"/>
          <w:sz w:val="15"/>
          <w:szCs w:val="15"/>
          <w:color w:val="auto"/>
          <w:highlight w:val="white"/>
        </w:rPr>
        <w:t>Subsidiary employing or retaining Participant (the “</w:t>
      </w:r>
      <w:r>
        <w:rPr>
          <w:rFonts w:ascii="Arial" w:cs="Arial" w:eastAsia="Arial" w:hAnsi="Arial"/>
          <w:sz w:val="15"/>
          <w:szCs w:val="15"/>
          <w:b w:val="1"/>
          <w:bCs w:val="1"/>
          <w:i w:val="1"/>
          <w:iCs w:val="1"/>
          <w:color w:val="auto"/>
          <w:highlight w:val="white"/>
        </w:rPr>
        <w:t>Employer</w:t>
      </w:r>
      <w:r>
        <w:rPr>
          <w:rFonts w:ascii="Arial" w:cs="Arial" w:eastAsia="Arial" w:hAnsi="Arial"/>
          <w:sz w:val="15"/>
          <w:szCs w:val="15"/>
          <w:color w:val="auto"/>
          <w:highlight w:val="white"/>
        </w:rPr>
        <w:t>”), the ultimate liability for all income tax, social insurance, payroll tax, fringe benefits tax, payment on account or other tax-related items related to Participant’s participation in the Plan and legally applicable to Participant (“</w:t>
      </w:r>
      <w:r>
        <w:rPr>
          <w:rFonts w:ascii="Arial" w:cs="Arial" w:eastAsia="Arial" w:hAnsi="Arial"/>
          <w:sz w:val="15"/>
          <w:szCs w:val="15"/>
          <w:b w:val="1"/>
          <w:bCs w:val="1"/>
          <w:i w:val="1"/>
          <w:iCs w:val="1"/>
          <w:color w:val="auto"/>
          <w:highlight w:val="white"/>
        </w:rPr>
        <w:t>Tax-Related Items</w:t>
      </w:r>
      <w:r>
        <w:rPr>
          <w:rFonts w:ascii="Arial" w:cs="Arial" w:eastAsia="Arial" w:hAnsi="Arial"/>
          <w:sz w:val="15"/>
          <w:szCs w:val="15"/>
          <w:color w:val="auto"/>
          <w:highlight w:val="white"/>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and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w:t>
      </w:r>
    </w:p>
    <w:p>
      <w:pPr>
        <w:spacing w:after="0" w:line="5" w:lineRule="exact"/>
        <w:rPr>
          <w:rFonts w:ascii="Arial" w:cs="Arial" w:eastAsia="Arial" w:hAnsi="Arial"/>
          <w:sz w:val="15"/>
          <w:szCs w:val="15"/>
          <w:color w:val="auto"/>
        </w:rPr>
      </w:pPr>
    </w:p>
    <w:p>
      <w:pPr>
        <w:ind w:right="780"/>
        <w:spacing w:after="0" w:line="247" w:lineRule="auto"/>
        <w:rPr>
          <w:rFonts w:ascii="Arial" w:cs="Arial" w:eastAsia="Arial" w:hAnsi="Arial"/>
          <w:sz w:val="15"/>
          <w:szCs w:val="15"/>
          <w:color w:val="auto"/>
        </w:rPr>
      </w:pPr>
      <w:r>
        <w:rPr>
          <w:rFonts w:ascii="Arial" w:cs="Arial" w:eastAsia="Arial" w:hAnsi="Arial"/>
          <w:sz w:val="16"/>
          <w:szCs w:val="16"/>
          <w:color w:val="auto"/>
          <w:highlight w:val="white"/>
        </w:rPr>
        <w:t xml:space="preserve">Related Items in more than one jurisdiction. </w:t>
      </w:r>
      <w:r>
        <w:rPr>
          <w:rFonts w:ascii="Arial" w:cs="Arial" w:eastAsia="Arial" w:hAnsi="Arial"/>
          <w:sz w:val="16"/>
          <w:szCs w:val="16"/>
          <w:i w:val="1"/>
          <w:iCs w:val="1"/>
          <w:color w:val="auto"/>
          <w:highlight w:val="white"/>
        </w:rPr>
        <w:t>PARTICIPANT SHOULD CONSULT A TAX ADVISER APPROPRIATELY QUALIFIED IN EACH OF THE</w:t>
      </w:r>
      <w:r>
        <w:rPr>
          <w:rFonts w:ascii="Arial" w:cs="Arial" w:eastAsia="Arial" w:hAnsi="Arial"/>
          <w:sz w:val="16"/>
          <w:szCs w:val="16"/>
          <w:color w:val="auto"/>
          <w:highlight w:val="white"/>
        </w:rPr>
        <w:t xml:space="preserve"> </w:t>
      </w:r>
      <w:r>
        <w:rPr>
          <w:rFonts w:ascii="Arial" w:cs="Arial" w:eastAsia="Arial" w:hAnsi="Arial"/>
          <w:sz w:val="16"/>
          <w:szCs w:val="16"/>
          <w:i w:val="1"/>
          <w:iCs w:val="1"/>
          <w:color w:val="auto"/>
          <w:highlight w:val="white"/>
        </w:rPr>
        <w:t>JURISDICTIONS, INCLUDING COUNTRY OR COUNTRIES IN WHICH PARTICIPANT RESIDES OR IS SUBJECT TO 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-1455420</wp:posOffset>
            </wp:positionV>
            <wp:extent cx="24765" cy="901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24765" cy="9017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22" w:lineRule="exact"/>
        <w:rPr>
          <w:sz w:val="20"/>
          <w:szCs w:val="20"/>
          <w:color w:val="auto"/>
        </w:rPr>
      </w:pPr>
    </w:p>
    <w:p>
      <w:pPr>
        <w:ind w:right="140" w:firstLine="425"/>
        <w:spacing w:after="0" w:line="227" w:lineRule="auto"/>
        <w:tabs>
          <w:tab w:leader="none" w:pos="66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Withholding. </w:t>
      </w:r>
      <w:r>
        <w:rPr>
          <w:rFonts w:ascii="Arial" w:cs="Arial" w:eastAsia="Arial" w:hAnsi="Arial"/>
          <w:sz w:val="17"/>
          <w:szCs w:val="17"/>
          <w:color w:val="auto"/>
          <w:highlight w:val="white"/>
        </w:rPr>
        <w:t>Prior to any relevant taxable or tax withholding event, as applicable, to the extent permitted by applicable law, Participant agrees to make</w:t>
      </w:r>
      <w:r>
        <w:rPr>
          <w:rFonts w:ascii="Arial" w:cs="Arial" w:eastAsia="Arial" w:hAnsi="Arial"/>
          <w:sz w:val="17"/>
          <w:szCs w:val="17"/>
          <w:color w:val="auto"/>
        </w:rPr>
        <w:t xml:space="preserve"> </w:t>
      </w:r>
      <w:r>
        <w:rPr>
          <w:rFonts w:ascii="Arial" w:cs="Arial" w:eastAsia="Arial" w:hAnsi="Arial"/>
          <w:sz w:val="17"/>
          <w:szCs w:val="17"/>
          <w:color w:val="auto"/>
          <w:highlight w:val="white"/>
        </w:rPr>
        <w:t>arrangements satisfactory to the Company and/or the Employer to fulfill all Tax-Related Items. In this regard, Participant authorizes the Company and/or the Employer, or their respective agents, at their discretion as follows:</w:t>
      </w:r>
    </w:p>
    <w:p>
      <w:pPr>
        <w:spacing w:after="0" w:line="104" w:lineRule="exact"/>
        <w:rPr>
          <w:rFonts w:ascii="Arial" w:cs="Arial" w:eastAsia="Arial" w:hAnsi="Arial"/>
          <w:sz w:val="17"/>
          <w:szCs w:val="17"/>
          <w:color w:val="auto"/>
        </w:rPr>
      </w:pPr>
    </w:p>
    <w:p>
      <w:pPr>
        <w:ind w:left="1040" w:hanging="567"/>
        <w:spacing w:after="0" w:line="222" w:lineRule="auto"/>
        <w:tabs>
          <w:tab w:leader="none" w:pos="10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the Plan or this Section 6, unless Participant has a valid 10b5-1 plan in place directing the sale of Shares to cover the Tax-Related Items, the Tax-Related Items shall automatically, and without further action by Participant, be satisfied by having the Company withhold taxes from the proceeds of the sale of the Shares through a mandatory sale arranged by the Company on Participant’s behalf. In the event Participant’s Tax-Related Items will be satisfied under this Section 6(b), then the Company shall instruct any brokerage firm determined acceptable to the Company for such purpose to sell on Participant’s behalf a whole number of shares from those Shares issuable to Participant upon settlement of the RSUs as is required to generate cash proceeds sufficient to satisfy Participant’s Tax-Related Items (with such Tax-Related Items to be calculated based on the minimum statutory withholding rates for federal, state, local and foreign income tax and payroll tax purposes as of the date of delivery). Participant acknowledges that the instruction to the broker to sell Shares pursuant to this Section 6(b) is intended to comply with the requirements of Rule 10b5-1(c)(1)(i)(B) under the Exchange Act and to be interpreted to comply with the requirements of Rule 10b5-1(c)(1) under the Exchange Act (the “</w:t>
      </w:r>
      <w:r>
        <w:rPr>
          <w:rFonts w:ascii="Arial" w:cs="Arial" w:eastAsia="Arial" w:hAnsi="Arial"/>
          <w:sz w:val="16"/>
          <w:szCs w:val="16"/>
          <w:b w:val="1"/>
          <w:bCs w:val="1"/>
          <w:i w:val="1"/>
          <w:iCs w:val="1"/>
          <w:color w:val="auto"/>
        </w:rPr>
        <w:t>10b5-1 Arrangement</w:t>
      </w:r>
      <w:r>
        <w:rPr>
          <w:rFonts w:ascii="Arial" w:cs="Arial" w:eastAsia="Arial" w:hAnsi="Arial"/>
          <w:sz w:val="16"/>
          <w:szCs w:val="16"/>
          <w:color w:val="auto"/>
        </w:rPr>
        <w:t>”). This 10b5-1 Arrangement is being adopted to permit the Company to sell (on Participant’s behalf) a number of Shares issuable to Participant upon the settlement of the RSUs sufficient to pay the Tax-Related Items that arises as a result of the vesting or settlement of the RSUs. Participant hereby acknowledges that the broker is under no obligation to arrange for such sale at any particular price. Participant hereby appoints the Company as Participant’s agent and attorney-in-fact to instruct the broker with respect to the number of Shares to be sold under this 10b5-1 Arrangement. Participant acknowledges that it may not be possible to sell Shares during the term of this 10b5-1 Arrangement due to (A) a legal or contractual restriction applicable to Participant or to the broker, (B) a market disruption, (C) rules governing order execution priority on the stock exchange on which the Shares are traded, (D) a sale effected pursuant to this 10b5-1 Arrangement that fails to comply (or in the reasonable opinion of the broker’s counsel is likely not to comply) with Rule 144 under the Securities Act or would result in a short-swing profit under Section 16 of the Exchange Act, or (E) the Company’s determination that sales may not be effected under this 10b5-1 Arrangement.</w:t>
      </w:r>
    </w:p>
    <w:p>
      <w:pPr>
        <w:spacing w:after="0" w:line="229" w:lineRule="exact"/>
        <w:rPr>
          <w:rFonts w:ascii="Arial" w:cs="Arial" w:eastAsia="Arial" w:hAnsi="Arial"/>
          <w:sz w:val="16"/>
          <w:szCs w:val="16"/>
          <w:color w:val="auto"/>
        </w:rPr>
      </w:pPr>
    </w:p>
    <w:p>
      <w:pPr>
        <w:ind w:left="1040" w:right="100" w:hanging="567"/>
        <w:spacing w:after="0" w:line="232" w:lineRule="auto"/>
        <w:tabs>
          <w:tab w:leader="none" w:pos="104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This 10b5-1 Arrangement shall terminate as to the RSUs on the earliest of: (A) completion of the final sale of Shares withheld pursuant to this Section 6(b) following the final vesting date attributable to the RSUs; (B) termination of the RSUs; (C) the date of Participant’s death; or (D) as soon as practicable after (but in no event later than the end of the next business day following) the announcement of (1) a tender or exchange offer for shares of Common Stock by the Company or any other person, or (2) a merger, acquisition, recapitalization or comparable transaction as a result of which Common Stock is to be exchanged or converted into shares of another company.</w:t>
      </w:r>
    </w:p>
    <w:p>
      <w:pPr>
        <w:spacing w:after="0" w:line="209" w:lineRule="exact"/>
        <w:rPr>
          <w:rFonts w:ascii="Arial" w:cs="Arial" w:eastAsia="Arial" w:hAnsi="Arial"/>
          <w:sz w:val="16"/>
          <w:szCs w:val="16"/>
          <w:color w:val="auto"/>
        </w:rPr>
      </w:pPr>
    </w:p>
    <w:p>
      <w:pPr>
        <w:ind w:left="1040" w:right="40" w:hanging="567"/>
        <w:spacing w:after="0" w:line="212" w:lineRule="auto"/>
        <w:tabs>
          <w:tab w:leader="none" w:pos="104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Participant represents that (A) Participant is not presently aware of any material nonpublic information about the Company or its securities; (B) Participant is entering into this Agreement and the 10b5-1 Arrangement in good faith and not as part of a plan or scheme to evade the prohibitions of Rule 10b5-1 or any other provision of any federal, state or foreign securities laws or regulations; (C) Participant shall have full responsibility for compliance with (1) any reporting requirements under Section 13 or 16 of the Exchange Act, (2) the short-swing profit recovery provisions under Section 16 of the Exchange Act, and (3) any federal, state or foreign securities laws or regulations concerning trading while aware of material nonpublic information; and (D) Participant is aware that in order for this 10b5-1 Arrangement to constitute an instruction pursuant to Rule 10b5-1(c), Participant must not alter or deviate from the terms of the instruction in this Section 3.2(b) (whether by changing the amount, price, or timing of any purchase or sale hereunder), exercise any subsequent discretion over the terms hereof or enter into or alter a corresponding or hedging transaction with respect to the Common Stock to be sold pursuant to this instruction or any securities convertible into or exchangeable for such Common Stock.</w:t>
      </w:r>
    </w:p>
    <w:p>
      <w:pPr>
        <w:spacing w:after="0" w:line="224" w:lineRule="exact"/>
        <w:rPr>
          <w:rFonts w:ascii="Arial" w:cs="Arial" w:eastAsia="Arial" w:hAnsi="Arial"/>
          <w:sz w:val="17"/>
          <w:szCs w:val="17"/>
          <w:color w:val="auto"/>
        </w:rPr>
      </w:pPr>
    </w:p>
    <w:p>
      <w:pPr>
        <w:jc w:val="both"/>
        <w:ind w:left="1040" w:right="140" w:hanging="567"/>
        <w:spacing w:after="0" w:line="227" w:lineRule="auto"/>
        <w:tabs>
          <w:tab w:leader="none" w:pos="104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Participant acknowledges that this 10b5-1 Arrangement is subject to the terms of any policy adopted now or hereafter by the Company governing the adoption of 10b5-1 plans. Participant’s acceptance of the RSUs constitutes the Participant’s instruction and authorization to the Company and any brokerage firm to complete the transactions described in this Section 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-4577080</wp:posOffset>
            </wp:positionV>
            <wp:extent cx="16510" cy="736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16510" cy="73660"/>
                    </a:xfrm>
                    <a:prstGeom prst="rect">
                      <a:avLst/>
                    </a:prstGeom>
                    <a:noFill/>
                  </pic:spPr>
                </pic:pic>
              </a:graphicData>
            </a:graphic>
          </wp:anchor>
        </w:drawing>
      </w:r>
    </w:p>
    <w:p>
      <w:pPr>
        <w:spacing w:after="0" w:line="149" w:lineRule="exact"/>
        <w:rPr>
          <w:sz w:val="20"/>
          <w:szCs w:val="20"/>
          <w:color w:val="auto"/>
        </w:rPr>
      </w:pPr>
    </w:p>
    <w:p>
      <w:pPr>
        <w:ind w:right="120" w:firstLine="422"/>
        <w:spacing w:after="0" w:line="227" w:lineRule="auto"/>
        <w:rPr>
          <w:sz w:val="20"/>
          <w:szCs w:val="20"/>
          <w:color w:val="auto"/>
        </w:rPr>
      </w:pPr>
      <w:r>
        <w:rPr>
          <w:rFonts w:ascii="Arial" w:cs="Arial" w:eastAsia="Arial" w:hAnsi="Arial"/>
          <w:sz w:val="17"/>
          <w:szCs w:val="17"/>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w:t>
      </w:r>
    </w:p>
    <w:p>
      <w:pPr>
        <w:sectPr>
          <w:pgSz w:w="11900" w:h="16838" w:orient="portrait"/>
          <w:cols w:equalWidth="0" w:num="1">
            <w:col w:w="11220"/>
          </w:cols>
          <w:pgMar w:left="320" w:top="1440" w:right="35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color w:val="auto"/>
        </w:rPr>
        <w:t>entitlement to the equivalent amount in Shares and may receive a refund of any over-withheld amount in cash in accordance with applicable law.</w:t>
      </w:r>
    </w:p>
    <w:p>
      <w:pPr>
        <w:spacing w:after="0" w:line="179" w:lineRule="exact"/>
        <w:rPr>
          <w:sz w:val="20"/>
          <w:szCs w:val="20"/>
          <w:color w:val="auto"/>
        </w:rPr>
      </w:pPr>
    </w:p>
    <w:p>
      <w:pPr>
        <w:ind w:firstLine="422"/>
        <w:spacing w:after="0" w:line="225" w:lineRule="auto"/>
        <w:rPr>
          <w:sz w:val="20"/>
          <w:szCs w:val="20"/>
          <w:color w:val="auto"/>
        </w:rPr>
      </w:pPr>
      <w:r>
        <w:rPr>
          <w:rFonts w:ascii="Arial" w:cs="Arial" w:eastAsia="Arial" w:hAnsi="Arial"/>
          <w:sz w:val="16"/>
          <w:szCs w:val="16"/>
          <w:color w:val="auto"/>
        </w:rPr>
        <w:t>To the extent that the Tax-Related Items is not fully satisfied pursuant to Section 6(b) or Section 6(b) does not apply, the Company has the right and option, but not the obligation, to treat Participant’s failure to provide timely payment in accordance with the Plan of any withholding tax arising in connection with the RSUs as Participant’s election to satisfy all or any portion of the withholding tax by requesting the Company retain Shares otherwise issuable under the RSUs (provided, however, that if Participant is subject to Section 16 of the Exchange Act at the time the tax withholding obligation arises, the prior approval of the Administrator shall be required for any election by the Company pursuant to this paragraph).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 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56" w:lineRule="exact"/>
        <w:rPr>
          <w:sz w:val="20"/>
          <w:szCs w:val="20"/>
          <w:color w:val="auto"/>
        </w:rPr>
      </w:pPr>
    </w:p>
    <w:p>
      <w:pPr>
        <w:ind w:left="180" w:hanging="177"/>
        <w:spacing w:after="0"/>
        <w:tabs>
          <w:tab w:leader="none" w:pos="180"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Nature of Grant</w:t>
      </w:r>
      <w:r>
        <w:rPr>
          <w:rFonts w:ascii="Arial" w:cs="Arial" w:eastAsia="Arial" w:hAnsi="Arial"/>
          <w:sz w:val="17"/>
          <w:szCs w:val="17"/>
          <w:b w:val="1"/>
          <w:bCs w:val="1"/>
          <w:color w:val="auto"/>
        </w:rPr>
        <w:t xml:space="preserve">. </w:t>
      </w:r>
      <w:r>
        <w:rPr>
          <w:rFonts w:ascii="Arial" w:cs="Arial" w:eastAsia="Arial" w:hAnsi="Arial"/>
          <w:sz w:val="17"/>
          <w:szCs w:val="17"/>
          <w:color w:val="auto"/>
        </w:rPr>
        <w:t>By accepting the RSUs, Participant acknowledges, understands and agrees that:</w:t>
      </w:r>
    </w:p>
    <w:p>
      <w:pPr>
        <w:spacing w:after="0" w:line="81" w:lineRule="exact"/>
        <w:rPr>
          <w:rFonts w:ascii="Arial" w:cs="Arial" w:eastAsia="Arial" w:hAnsi="Arial"/>
          <w:sz w:val="17"/>
          <w:szCs w:val="17"/>
          <w:b w:val="1"/>
          <w:bCs w:val="1"/>
          <w:color w:val="auto"/>
        </w:rPr>
      </w:pPr>
    </w:p>
    <w:p>
      <w:pPr>
        <w:ind w:right="540" w:firstLine="425"/>
        <w:spacing w:after="0" w:line="237" w:lineRule="auto"/>
        <w:tabs>
          <w:tab w:leader="none" w:pos="656"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 Plan is established voluntarily by the Company, it is discretionary in nature and it may be modified, amended, suspended or terminated by the Company at any time, to the extent permitted by the Plan;</w:t>
      </w:r>
    </w:p>
    <w:p>
      <w:pPr>
        <w:spacing w:after="0" w:line="156" w:lineRule="exact"/>
        <w:rPr>
          <w:rFonts w:ascii="Arial" w:cs="Arial" w:eastAsia="Arial" w:hAnsi="Arial"/>
          <w:sz w:val="17"/>
          <w:szCs w:val="17"/>
          <w:color w:val="auto"/>
        </w:rPr>
      </w:pPr>
    </w:p>
    <w:p>
      <w:pPr>
        <w:ind w:right="340" w:firstLine="425"/>
        <w:spacing w:after="0" w:line="237" w:lineRule="auto"/>
        <w:tabs>
          <w:tab w:leader="none" w:pos="666"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56" w:lineRule="exact"/>
        <w:rPr>
          <w:rFonts w:ascii="Arial" w:cs="Arial" w:eastAsia="Arial" w:hAnsi="Arial"/>
          <w:sz w:val="17"/>
          <w:szCs w:val="17"/>
          <w:color w:val="auto"/>
        </w:rPr>
      </w:pPr>
    </w:p>
    <w:p>
      <w:pPr>
        <w:ind w:left="660" w:hanging="235"/>
        <w:spacing w:after="0"/>
        <w:tabs>
          <w:tab w:leader="none" w:pos="6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all decisions with respect to future RSUs or other grants, if any, will be at the sole discretion of the Company;</w:t>
      </w:r>
    </w:p>
    <w:p>
      <w:pPr>
        <w:spacing w:after="0" w:line="179" w:lineRule="exact"/>
        <w:rPr>
          <w:rFonts w:ascii="Arial" w:cs="Arial" w:eastAsia="Arial" w:hAnsi="Arial"/>
          <w:sz w:val="17"/>
          <w:szCs w:val="17"/>
          <w:color w:val="auto"/>
        </w:rPr>
      </w:pPr>
    </w:p>
    <w:p>
      <w:pPr>
        <w:ind w:left="660" w:hanging="235"/>
        <w:spacing w:after="0"/>
        <w:tabs>
          <w:tab w:leader="none" w:pos="6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Participant is voluntarily participating in the Plan;</w:t>
      </w:r>
    </w:p>
    <w:p>
      <w:pPr>
        <w:spacing w:after="0" w:line="179" w:lineRule="exact"/>
        <w:rPr>
          <w:rFonts w:ascii="Arial" w:cs="Arial" w:eastAsia="Arial" w:hAnsi="Arial"/>
          <w:sz w:val="17"/>
          <w:szCs w:val="17"/>
          <w:color w:val="auto"/>
        </w:rPr>
      </w:pPr>
    </w:p>
    <w:p>
      <w:pPr>
        <w:jc w:val="both"/>
        <w:ind w:right="240" w:firstLine="425"/>
        <w:spacing w:after="0" w:line="227" w:lineRule="auto"/>
        <w:tabs>
          <w:tab w:leader="none" w:pos="656"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 RSUs and Participant’s participation in the Plan will not create a right to employment or be interpreted as forming or amending an employment or service contract with the Company, the Employer or any Subsidiary and shall not interfere with the ability of the Company, the Employer or any Subsidiary, as applicable, to terminate Participant’s employment or service relationship (if any);</w:t>
      </w:r>
    </w:p>
    <w:p>
      <w:pPr>
        <w:spacing w:after="0" w:line="155" w:lineRule="exact"/>
        <w:rPr>
          <w:rFonts w:ascii="Arial" w:cs="Arial" w:eastAsia="Arial" w:hAnsi="Arial"/>
          <w:sz w:val="17"/>
          <w:szCs w:val="17"/>
          <w:color w:val="auto"/>
        </w:rPr>
      </w:pPr>
    </w:p>
    <w:p>
      <w:pPr>
        <w:ind w:left="640" w:hanging="215"/>
        <w:spacing w:after="0"/>
        <w:tabs>
          <w:tab w:leader="none" w:pos="640" w:val="left"/>
        </w:tabs>
        <w:numPr>
          <w:ilvl w:val="1"/>
          <w:numId w:val="115"/>
        </w:numPr>
        <w:rPr>
          <w:rFonts w:ascii="Arial" w:cs="Arial" w:eastAsia="Arial" w:hAnsi="Arial"/>
          <w:sz w:val="15"/>
          <w:szCs w:val="15"/>
          <w:color w:val="auto"/>
        </w:rPr>
      </w:pPr>
      <w:r>
        <w:rPr>
          <w:rFonts w:ascii="Arial" w:cs="Arial" w:eastAsia="Arial" w:hAnsi="Arial"/>
          <w:sz w:val="15"/>
          <w:szCs w:val="15"/>
          <w:color w:val="auto"/>
        </w:rPr>
        <w:t>the RSUs and the Shares subject to the RSUs, and the income from and value of same, are not intended to replace any pension rights or compensation;</w:t>
      </w:r>
    </w:p>
    <w:p>
      <w:pPr>
        <w:spacing w:after="0" w:line="202" w:lineRule="exact"/>
        <w:rPr>
          <w:rFonts w:ascii="Arial" w:cs="Arial" w:eastAsia="Arial" w:hAnsi="Arial"/>
          <w:sz w:val="15"/>
          <w:szCs w:val="15"/>
          <w:color w:val="auto"/>
        </w:rPr>
      </w:pPr>
    </w:p>
    <w:p>
      <w:pPr>
        <w:ind w:right="40" w:firstLine="425"/>
        <w:spacing w:after="0" w:line="227" w:lineRule="auto"/>
        <w:tabs>
          <w:tab w:leader="none" w:pos="666"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 RSUs and the Shares subject to the RSUs, and the income from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55" w:lineRule="exact"/>
        <w:rPr>
          <w:rFonts w:ascii="Arial" w:cs="Arial" w:eastAsia="Arial" w:hAnsi="Arial"/>
          <w:sz w:val="17"/>
          <w:szCs w:val="17"/>
          <w:color w:val="auto"/>
        </w:rPr>
      </w:pPr>
    </w:p>
    <w:p>
      <w:pPr>
        <w:ind w:right="300" w:firstLine="425"/>
        <w:spacing w:after="0" w:line="237" w:lineRule="auto"/>
        <w:tabs>
          <w:tab w:leader="none" w:pos="666" w:val="left"/>
        </w:tabs>
        <w:numPr>
          <w:ilvl w:val="1"/>
          <w:numId w:val="115"/>
        </w:numPr>
        <w:rPr>
          <w:rFonts w:ascii="Arial" w:cs="Arial" w:eastAsia="Arial" w:hAnsi="Arial"/>
          <w:sz w:val="17"/>
          <w:szCs w:val="17"/>
          <w:color w:val="auto"/>
        </w:rPr>
      </w:pPr>
      <w:r>
        <w:rPr>
          <w:rFonts w:ascii="Arial" w:cs="Arial" w:eastAsia="Arial" w:hAnsi="Arial"/>
          <w:sz w:val="17"/>
          <w:szCs w:val="17"/>
          <w:color w:val="auto"/>
        </w:rPr>
        <w:t>unless otherwise agreed with the Company, the RSUs and the Shares subject to the RSUs, and the income from and value of same, are not granted as consideration for, or in connection with, the service Participant may provide as a director of a Subsidiary;</w:t>
      </w:r>
    </w:p>
    <w:p>
      <w:pPr>
        <w:spacing w:after="0" w:line="156" w:lineRule="exact"/>
        <w:rPr>
          <w:rFonts w:ascii="Arial" w:cs="Arial" w:eastAsia="Arial" w:hAnsi="Arial"/>
          <w:sz w:val="17"/>
          <w:szCs w:val="17"/>
          <w:color w:val="auto"/>
        </w:rPr>
      </w:pPr>
    </w:p>
    <w:p>
      <w:pPr>
        <w:ind w:left="640" w:hanging="215"/>
        <w:spacing w:after="0"/>
        <w:tabs>
          <w:tab w:leader="none" w:pos="64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 future value of the underlying Shares is unknown, indeterminable and cannot be predicted with certainty;</w:t>
      </w:r>
    </w:p>
    <w:p>
      <w:pPr>
        <w:spacing w:after="0" w:line="101" w:lineRule="exact"/>
        <w:rPr>
          <w:rFonts w:ascii="Arial" w:cs="Arial" w:eastAsia="Arial" w:hAnsi="Arial"/>
          <w:sz w:val="17"/>
          <w:szCs w:val="17"/>
          <w:color w:val="auto"/>
        </w:rPr>
      </w:pPr>
    </w:p>
    <w:p>
      <w:pPr>
        <w:ind w:right="40" w:firstLine="425"/>
        <w:spacing w:after="0" w:line="227" w:lineRule="auto"/>
        <w:tabs>
          <w:tab w:leader="none" w:pos="628" w:val="left"/>
        </w:tabs>
        <w:numPr>
          <w:ilvl w:val="1"/>
          <w:numId w:val="115"/>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will arise from forfeiture of the RSUs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and</w:t>
      </w:r>
    </w:p>
    <w:p>
      <w:pPr>
        <w:spacing w:after="0" w:line="155" w:lineRule="exact"/>
        <w:rPr>
          <w:rFonts w:ascii="Arial" w:cs="Arial" w:eastAsia="Arial" w:hAnsi="Arial"/>
          <w:sz w:val="17"/>
          <w:szCs w:val="17"/>
          <w:color w:val="auto"/>
        </w:rPr>
      </w:pPr>
    </w:p>
    <w:p>
      <w:pPr>
        <w:jc w:val="both"/>
        <w:ind w:right="120" w:firstLine="425"/>
        <w:spacing w:after="0" w:line="227" w:lineRule="auto"/>
        <w:tabs>
          <w:tab w:leader="none" w:pos="666" w:val="left"/>
        </w:tabs>
        <w:numPr>
          <w:ilvl w:val="1"/>
          <w:numId w:val="115"/>
        </w:numPr>
        <w:rPr>
          <w:rFonts w:ascii="Arial" w:cs="Arial" w:eastAsia="Arial" w:hAnsi="Arial"/>
          <w:sz w:val="17"/>
          <w:szCs w:val="17"/>
          <w:color w:val="auto"/>
        </w:rPr>
      </w:pPr>
      <w:r>
        <w:rPr>
          <w:rFonts w:ascii="Arial" w:cs="Arial" w:eastAsia="Arial" w:hAnsi="Arial"/>
          <w:sz w:val="17"/>
          <w:szCs w:val="17"/>
          <w:color w:val="auto"/>
        </w:rPr>
        <w:t>neither the Company, the Employer nor any Subsidiary will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upon settlement.</w:t>
      </w:r>
    </w:p>
    <w:p>
      <w:pPr>
        <w:sectPr>
          <w:pgSz w:w="11900" w:h="16838" w:orient="portrait"/>
          <w:cols w:equalWidth="0" w:num="1">
            <w:col w:w="11220"/>
          </w:cols>
          <w:pgMar w:left="320" w:top="1355" w:right="359" w:bottom="1440" w:gutter="0" w:footer="0" w:header="0"/>
        </w:sectPr>
      </w:pPr>
    </w:p>
    <w:bookmarkStart w:id="177" w:name="page178"/>
    <w:bookmarkEnd w:id="177"/>
    <w:p>
      <w:pPr>
        <w:spacing w:after="0" w:line="116" w:lineRule="exact"/>
        <w:rPr>
          <w:sz w:val="20"/>
          <w:szCs w:val="20"/>
          <w:color w:val="auto"/>
        </w:rPr>
      </w:pPr>
    </w:p>
    <w:p>
      <w:pPr>
        <w:ind w:right="240" w:firstLine="3"/>
        <w:spacing w:after="0" w:line="223" w:lineRule="auto"/>
        <w:tabs>
          <w:tab w:leader="none" w:pos="172"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Advice Regarding Grant. </w:t>
      </w:r>
      <w:r>
        <w:rPr>
          <w:rFonts w:ascii="Arial" w:cs="Arial" w:eastAsia="Arial" w:hAnsi="Arial"/>
          <w:sz w:val="17"/>
          <w:szCs w:val="17"/>
          <w:color w:val="auto"/>
        </w:rPr>
        <w:t>The Company is not providing any tax, legal or financial advice, nor is the Company making any recommendations regarding</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Participant’s participation in the Plan, or Participant’s acquisition or sale of the underlying Shares. Participant acknowledges, understands and agrees he or she should consult with his or her own personal tax, legal and financial advisors regarding his or her participation in the Plan before taking any action related to the Plan.</w:t>
      </w:r>
    </w:p>
    <w:p>
      <w:pPr>
        <w:spacing w:after="0" w:line="158" w:lineRule="exact"/>
        <w:rPr>
          <w:rFonts w:ascii="Arial" w:cs="Arial" w:eastAsia="Arial" w:hAnsi="Arial"/>
          <w:sz w:val="17"/>
          <w:szCs w:val="17"/>
          <w:b w:val="1"/>
          <w:bCs w:val="1"/>
          <w:color w:val="auto"/>
        </w:rPr>
      </w:pPr>
    </w:p>
    <w:p>
      <w:pPr>
        <w:ind w:firstLine="3"/>
        <w:spacing w:after="0" w:line="242" w:lineRule="auto"/>
        <w:tabs>
          <w:tab w:leader="none" w:pos="172" w:val="left"/>
        </w:tabs>
        <w:numPr>
          <w:ilvl w:val="0"/>
          <w:numId w:val="11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Data Privacy. Participant hereby explicitly and unambiguously consents to the collection, use and transfer, in electronic or other form, of Participant’s </w:t>
      </w:r>
      <w:r>
        <w:rPr>
          <w:rFonts w:ascii="Arial" w:cs="Arial" w:eastAsia="Arial" w:hAnsi="Arial"/>
          <w:sz w:val="16"/>
          <w:szCs w:val="16"/>
          <w:b w:val="1"/>
          <w:bCs w:val="1"/>
          <w:i w:val="1"/>
          <w:iCs w:val="1"/>
          <w:color w:val="auto"/>
          <w:highlight w:val="white"/>
        </w:rPr>
        <w:t>personal data as described in this Agreement and any other RSU grant materials by and among, as applicable, the Employer, the Company and any Subsidiary for the exclusive purpose of implementing, administering and managing Participant’s participation in the Plan.</w:t>
      </w:r>
    </w:p>
    <w:p>
      <w:pPr>
        <w:spacing w:after="0" w:line="154" w:lineRule="exact"/>
        <w:rPr>
          <w:sz w:val="20"/>
          <w:szCs w:val="20"/>
          <w:color w:val="auto"/>
        </w:rPr>
      </w:pPr>
    </w:p>
    <w:p>
      <w:pPr>
        <w:ind w:right="80" w:firstLine="422"/>
        <w:spacing w:after="0" w:line="218" w:lineRule="auto"/>
        <w:rPr>
          <w:sz w:val="20"/>
          <w:szCs w:val="20"/>
          <w:color w:val="auto"/>
        </w:rPr>
      </w:pPr>
      <w:r>
        <w:rPr>
          <w:rFonts w:ascii="Arial" w:cs="Arial" w:eastAsia="Arial" w:hAnsi="Arial"/>
          <w:sz w:val="17"/>
          <w:szCs w:val="17"/>
          <w:b w:val="1"/>
          <w:bCs w:val="1"/>
          <w:i w:val="1"/>
          <w:iCs w:val="1"/>
          <w:color w:val="auto"/>
        </w:rPr>
        <w:t>Participant understands that the Company and the Employer may hold certain personal information about Participant, including, but not limited to, Participant’s name, home address, email address and telephone number, date of birth, social insurance number, passport number or other identification number (e.g., resident registration number), salary, nationality, job title, any shares of stock or directorships held in the Company, details of all RSUs or any other entitlement to shares of stock awarded, canceled, exercised, vested, unvested or outstanding in Participant’s favor (“Data”), for the exclusive purpose of implementing, administering and managing the Plan.</w:t>
      </w:r>
    </w:p>
    <w:p>
      <w:pPr>
        <w:spacing w:after="0" w:line="159" w:lineRule="exact"/>
        <w:rPr>
          <w:sz w:val="20"/>
          <w:szCs w:val="20"/>
          <w:color w:val="auto"/>
        </w:rPr>
      </w:pPr>
    </w:p>
    <w:p>
      <w:pPr>
        <w:ind w:firstLine="422"/>
        <w:spacing w:after="0" w:line="255" w:lineRule="auto"/>
        <w:rPr>
          <w:sz w:val="20"/>
          <w:szCs w:val="20"/>
          <w:color w:val="auto"/>
        </w:rPr>
      </w:pPr>
      <w:r>
        <w:rPr>
          <w:rFonts w:ascii="Arial" w:cs="Arial" w:eastAsia="Arial" w:hAnsi="Arial"/>
          <w:sz w:val="14"/>
          <w:szCs w:val="14"/>
          <w:b w:val="1"/>
          <w:bCs w:val="1"/>
          <w:i w:val="1"/>
          <w:iCs w:val="1"/>
          <w:color w:val="auto"/>
        </w:rPr>
        <w:t>Participant understands that Data will be transferred to the Company’s designated third-party broker, or other third party (“Online Administrator”) and its affiliated companies or such other stock plan service provider as may be designated by the Company from time to time, which is assisting the Company with the implementation, administration and management of the Plan. Participant understands that the recipients of Data may be located in the United States or elsewhere, and that the recipients’ country may have different data privacy laws and protections than Participant’s country. Participant understands that if he or she resides outside the United States, he or she may request a list with the names and addresses of any potential recipients of Data by contacting his or her local human resources representative. Participant authorizes the Company, the Company’s designated third-party broker, or such other stock plan service provider as may be designated by the Company from time to time,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information about the storage and processing of Data, require any necessary amendments to Data or refuse or withdraw the consents herein, in any case without cost, by contacting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Employer will not be affected; the only consequence of refusing or withdrawing Participant’s consent is that the Company would not be able to grant RSUs or other equity awards to Participant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54" w:lineRule="exact"/>
        <w:rPr>
          <w:sz w:val="20"/>
          <w:szCs w:val="20"/>
          <w:color w:val="auto"/>
        </w:rPr>
      </w:pPr>
    </w:p>
    <w:p>
      <w:pPr>
        <w:ind w:firstLine="422"/>
        <w:spacing w:after="0" w:line="255" w:lineRule="auto"/>
        <w:rPr>
          <w:sz w:val="20"/>
          <w:szCs w:val="20"/>
          <w:color w:val="auto"/>
        </w:rPr>
      </w:pPr>
      <w:r>
        <w:rPr>
          <w:rFonts w:ascii="Arial" w:cs="Arial" w:eastAsia="Arial" w:hAnsi="Arial"/>
          <w:sz w:val="15"/>
          <w:szCs w:val="15"/>
          <w:b w:val="1"/>
          <w:bCs w:val="1"/>
          <w:i w:val="1"/>
          <w:iCs w:val="1"/>
          <w:color w:val="auto"/>
        </w:rPr>
        <w:t>Finally, upon request of the Company or the Employer, Participant agrees to provide an executed data privacy consent form (or any other agreements or consents) that the Company 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0" w:lineRule="exact"/>
        <w:rPr>
          <w:sz w:val="20"/>
          <w:szCs w:val="20"/>
          <w:color w:val="auto"/>
        </w:rPr>
      </w:pPr>
    </w:p>
    <w:p>
      <w:pPr>
        <w:ind w:right="20" w:firstLine="3"/>
        <w:spacing w:after="0" w:line="229" w:lineRule="auto"/>
        <w:tabs>
          <w:tab w:leader="none" w:pos="258"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Language. </w:t>
      </w:r>
      <w:r>
        <w:rPr>
          <w:rFonts w:ascii="Arial" w:cs="Arial" w:eastAsia="Arial" w:hAnsi="Arial"/>
          <w:sz w:val="17"/>
          <w:szCs w:val="17"/>
          <w:color w:val="auto"/>
          <w:highlight w:val="white"/>
        </w:rPr>
        <w:t>Participant acknowledges that he or she is sufficiently proficient in English to understand the terms and conditions of this Agreement. Furthermore,</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if Participant has received this Agreement or any other document related to the RSU and/or the Plan translated into a language other than English and if the meaning of the translated version is different than the English version, the English version will control.</w:t>
      </w:r>
    </w:p>
    <w:p>
      <w:pPr>
        <w:spacing w:after="0" w:line="151" w:lineRule="exact"/>
        <w:rPr>
          <w:rFonts w:ascii="Arial" w:cs="Arial" w:eastAsia="Arial" w:hAnsi="Arial"/>
          <w:sz w:val="17"/>
          <w:szCs w:val="17"/>
          <w:b w:val="1"/>
          <w:bCs w:val="1"/>
          <w:color w:val="auto"/>
        </w:rPr>
      </w:pPr>
    </w:p>
    <w:p>
      <w:pPr>
        <w:ind w:right="100" w:firstLine="3"/>
        <w:spacing w:after="0" w:line="223" w:lineRule="auto"/>
        <w:tabs>
          <w:tab w:leader="none" w:pos="249"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Appendix. </w:t>
      </w:r>
      <w:r>
        <w:rPr>
          <w:rFonts w:ascii="Arial" w:cs="Arial" w:eastAsia="Arial" w:hAnsi="Arial"/>
          <w:sz w:val="17"/>
          <w:szCs w:val="17"/>
          <w:color w:val="auto"/>
        </w:rPr>
        <w:t>Notwithstanding any provisions in this Agreement, the RSUs will be subject to any special terms and conditions set forth in any appendix to this</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16" w:lineRule="exact"/>
        <w:rPr>
          <w:sz w:val="20"/>
          <w:szCs w:val="20"/>
          <w:color w:val="auto"/>
        </w:rPr>
      </w:pPr>
    </w:p>
    <w:p>
      <w:pPr>
        <w:ind w:right="40" w:firstLine="3"/>
        <w:spacing w:after="0" w:line="229" w:lineRule="auto"/>
        <w:tabs>
          <w:tab w:leader="none" w:pos="258"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Imposition of Other Requirements. </w:t>
      </w:r>
      <w:r>
        <w:rPr>
          <w:rFonts w:ascii="Arial" w:cs="Arial" w:eastAsia="Arial" w:hAnsi="Arial"/>
          <w:sz w:val="17"/>
          <w:szCs w:val="17"/>
          <w:color w:val="auto"/>
          <w:highlight w:val="white"/>
        </w:rPr>
        <w:t>The Company reserves the right to impose other requirements on Participant’s participation in the Plan, on the RSUs and</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51" w:lineRule="exact"/>
        <w:rPr>
          <w:rFonts w:ascii="Arial" w:cs="Arial" w:eastAsia="Arial" w:hAnsi="Arial"/>
          <w:sz w:val="17"/>
          <w:szCs w:val="17"/>
          <w:b w:val="1"/>
          <w:bCs w:val="1"/>
          <w:color w:val="auto"/>
        </w:rPr>
      </w:pPr>
    </w:p>
    <w:p>
      <w:pPr>
        <w:ind w:right="40" w:firstLine="3"/>
        <w:spacing w:after="0" w:line="223" w:lineRule="auto"/>
        <w:tabs>
          <w:tab w:leader="none" w:pos="258"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Acknowledgement. </w:t>
      </w:r>
      <w:r>
        <w:rPr>
          <w:rFonts w:ascii="Arial" w:cs="Arial" w:eastAsia="Arial" w:hAnsi="Arial"/>
          <w:sz w:val="17"/>
          <w:szCs w:val="17"/>
          <w:color w:val="auto"/>
          <w:highlight w:val="white"/>
        </w:rPr>
        <w:t>The Company and Participant agree that the RSUs are granted under and governed by the Notice, this Agreement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the Plan (incorporated herein by reference). Participant: (a) acknowledges receipt of a copy of the Plan and the Plan prospectus, (b) represents that Participant has carefully read and is familiar with their provisions, and (c) hereby accepts the RSUs subject to all of the terms and conditions set forth herein and those set forth in the Plan and the Notice.</w:t>
      </w:r>
    </w:p>
    <w:p>
      <w:pPr>
        <w:spacing w:after="0" w:line="152" w:lineRule="exact"/>
        <w:rPr>
          <w:rFonts w:ascii="Arial" w:cs="Arial" w:eastAsia="Arial" w:hAnsi="Arial"/>
          <w:sz w:val="17"/>
          <w:szCs w:val="17"/>
          <w:b w:val="1"/>
          <w:bCs w:val="1"/>
          <w:color w:val="auto"/>
        </w:rPr>
      </w:pPr>
    </w:p>
    <w:p>
      <w:pPr>
        <w:ind w:firstLine="3"/>
        <w:spacing w:after="0" w:line="220" w:lineRule="auto"/>
        <w:tabs>
          <w:tab w:leader="none" w:pos="258"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Entire Agreement; Enforcement of Rights. </w:t>
      </w:r>
      <w:r>
        <w:rPr>
          <w:rFonts w:ascii="Arial" w:cs="Arial" w:eastAsia="Arial" w:hAnsi="Arial"/>
          <w:sz w:val="17"/>
          <w:szCs w:val="17"/>
          <w:color w:val="auto"/>
          <w:highlight w:val="white"/>
        </w:rPr>
        <w:t>This Agreement, the Plan and the Notice constitute the entire agreement and understanding of the parties relating</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will be effective unless in writing and signed by the parties to this Agreement (which writing and signing may be electronic). The failure by either party to enforce any rights under this Agreement will not be construed as a waiver of any rights of such party.</w:t>
      </w:r>
    </w:p>
    <w:p>
      <w:pPr>
        <w:spacing w:after="0" w:line="73" w:lineRule="exact"/>
        <w:rPr>
          <w:rFonts w:ascii="Arial" w:cs="Arial" w:eastAsia="Arial" w:hAnsi="Arial"/>
          <w:sz w:val="17"/>
          <w:szCs w:val="17"/>
          <w:b w:val="1"/>
          <w:bCs w:val="1"/>
          <w:color w:val="auto"/>
        </w:rPr>
      </w:pPr>
    </w:p>
    <w:p>
      <w:pPr>
        <w:ind w:right="20" w:firstLine="3"/>
        <w:spacing w:after="0" w:line="229" w:lineRule="auto"/>
        <w:tabs>
          <w:tab w:leader="none" w:pos="258" w:val="left"/>
        </w:tabs>
        <w:numPr>
          <w:ilvl w:val="0"/>
          <w:numId w:val="118"/>
        </w:numPr>
        <w:rPr>
          <w:rFonts w:ascii="Arial" w:cs="Arial" w:eastAsia="Arial" w:hAnsi="Arial"/>
          <w:sz w:val="16"/>
          <w:szCs w:val="16"/>
          <w:b w:val="1"/>
          <w:bCs w:val="1"/>
          <w:color w:val="auto"/>
          <w:highlight w:val="white"/>
        </w:rPr>
      </w:pPr>
      <w:r>
        <w:rPr>
          <w:rFonts w:ascii="Arial" w:cs="Arial" w:eastAsia="Arial" w:hAnsi="Arial"/>
          <w:sz w:val="16"/>
          <w:szCs w:val="16"/>
          <w:b w:val="1"/>
          <w:bCs w:val="1"/>
          <w:color w:val="auto"/>
          <w:highlight w:val="white"/>
        </w:rPr>
        <w:t xml:space="preserve">Compliance with Laws and Regulations. </w:t>
      </w:r>
      <w:r>
        <w:rPr>
          <w:rFonts w:ascii="Arial" w:cs="Arial" w:eastAsia="Arial" w:hAnsi="Arial"/>
          <w:sz w:val="16"/>
          <w:szCs w:val="16"/>
          <w:color w:val="auto"/>
        </w:rPr>
        <w:t>The issuance of Shares will be subject to and conditioned upon compliance by the Company and Participant with</w:t>
      </w:r>
      <w:r>
        <w:rPr>
          <w:rFonts w:ascii="Arial" w:cs="Arial" w:eastAsia="Arial" w:hAnsi="Arial"/>
          <w:sz w:val="16"/>
          <w:szCs w:val="16"/>
          <w:b w:val="1"/>
          <w:bCs w:val="1"/>
          <w:color w:val="auto"/>
          <w:highlight w:val="white"/>
        </w:rPr>
        <w:t xml:space="preserve"> </w:t>
      </w:r>
      <w:r>
        <w:rPr>
          <w:rFonts w:ascii="Arial" w:cs="Arial" w:eastAsia="Arial" w:hAnsi="Arial"/>
          <w:sz w:val="16"/>
          <w:szCs w:val="16"/>
          <w:color w:val="auto"/>
          <w:highlight w:val="white"/>
        </w:rPr>
        <w:t>all applicable state, federal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RSU Agreement without Participant’s consent to the extent necessary to comply with securities or other laws applicable to issuance of Shares. Finally, the Shares issued pursuant to this RSU Agreement shall be endorsed with appropriate legends, if any, determined by the Company.</w:t>
      </w:r>
    </w:p>
    <w:p>
      <w:pPr>
        <w:spacing w:after="0" w:line="153" w:lineRule="exact"/>
        <w:rPr>
          <w:rFonts w:ascii="Arial" w:cs="Arial" w:eastAsia="Arial" w:hAnsi="Arial"/>
          <w:sz w:val="16"/>
          <w:szCs w:val="16"/>
          <w:b w:val="1"/>
          <w:bCs w:val="1"/>
          <w:color w:val="auto"/>
          <w:highlight w:val="white"/>
        </w:rPr>
      </w:pPr>
    </w:p>
    <w:p>
      <w:pPr>
        <w:ind w:right="240" w:firstLine="3"/>
        <w:spacing w:after="0" w:line="223" w:lineRule="auto"/>
        <w:tabs>
          <w:tab w:leader="none" w:pos="258"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highlight w:val="white"/>
        </w:rPr>
        <w:t>If one or more provisions of this Agreement are held to be unenforceable under applicable law, then such provision will be enforced to the</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maximum extent possible given the intent of the parties hereto. If such clause or provision cannot be so enforced, then (a) such provision will be excluded from this Agreement, (b) the balance of this Agreement will be interpreted as if such provision were so excluded and (c) the balance of this Agreement will be enforceable in accordance with its terms.</w:t>
      </w:r>
    </w:p>
    <w:p>
      <w:pPr>
        <w:spacing w:after="0" w:line="152" w:lineRule="exact"/>
        <w:rPr>
          <w:rFonts w:ascii="Arial" w:cs="Arial" w:eastAsia="Arial" w:hAnsi="Arial"/>
          <w:sz w:val="17"/>
          <w:szCs w:val="17"/>
          <w:b w:val="1"/>
          <w:bCs w:val="1"/>
          <w:color w:val="auto"/>
        </w:rPr>
      </w:pPr>
    </w:p>
    <w:p>
      <w:pPr>
        <w:ind w:right="720" w:firstLine="3"/>
        <w:spacing w:after="0" w:line="307" w:lineRule="auto"/>
        <w:tabs>
          <w:tab w:leader="none" w:pos="258" w:val="left"/>
        </w:tabs>
        <w:numPr>
          <w:ilvl w:val="0"/>
          <w:numId w:val="11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Governing Law and Venue. </w:t>
      </w:r>
      <w:r>
        <w:rPr>
          <w:rFonts w:ascii="Arial" w:cs="Arial" w:eastAsia="Arial" w:hAnsi="Arial"/>
          <w:sz w:val="15"/>
          <w:szCs w:val="15"/>
          <w:color w:val="auto"/>
          <w:highlight w:val="white"/>
        </w:rPr>
        <w:t>This Agreement and all acts and transactions pursuant hereto and the rights and obligations of the parties hereto will be</w:t>
      </w:r>
      <w:r>
        <w:rPr>
          <w:rFonts w:ascii="Arial" w:cs="Arial" w:eastAsia="Arial" w:hAnsi="Arial"/>
          <w:sz w:val="15"/>
          <w:szCs w:val="15"/>
          <w:b w:val="1"/>
          <w:bCs w:val="1"/>
          <w:color w:val="auto"/>
        </w:rPr>
        <w:t xml:space="preserve"> </w:t>
      </w:r>
      <w:r>
        <w:rPr>
          <w:rFonts w:ascii="Arial" w:cs="Arial" w:eastAsia="Arial" w:hAnsi="Arial"/>
          <w:sz w:val="15"/>
          <w:szCs w:val="15"/>
          <w:color w:val="auto"/>
          <w:highlight w:val="white"/>
        </w:rPr>
        <w:t>governed, construed and interpreted in accordance with the laws of the State of Delaware, without giving effect to such state’s conflict of laws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-1785620</wp:posOffset>
            </wp:positionV>
            <wp:extent cx="24765" cy="901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24765" cy="90170"/>
                    </a:xfrm>
                    <a:prstGeom prst="rect">
                      <a:avLst/>
                    </a:prstGeom>
                    <a:noFill/>
                  </pic:spPr>
                </pic:pic>
              </a:graphicData>
            </a:graphic>
          </wp:anchor>
        </w:drawing>
      </w:r>
    </w:p>
    <w:p>
      <w:pPr>
        <w:spacing w:after="0" w:line="87" w:lineRule="exact"/>
        <w:rPr>
          <w:sz w:val="20"/>
          <w:szCs w:val="20"/>
          <w:color w:val="auto"/>
        </w:rPr>
      </w:pPr>
    </w:p>
    <w:p>
      <w:pPr>
        <w:ind w:right="60" w:firstLine="422"/>
        <w:spacing w:after="0" w:line="215" w:lineRule="auto"/>
        <w:rPr>
          <w:sz w:val="20"/>
          <w:szCs w:val="20"/>
          <w:color w:val="auto"/>
        </w:rPr>
      </w:pPr>
      <w:r>
        <w:rPr>
          <w:rFonts w:ascii="Arial" w:cs="Arial" w:eastAsia="Arial" w:hAnsi="Arial"/>
          <w:sz w:val="17"/>
          <w:szCs w:val="17"/>
          <w:color w:val="auto"/>
        </w:rPr>
        <w:t>Any and all disputes relating to, concerning or arising from this Agreement, or relating to, concerning or arising from the relationship between the parties evidenced by the Plan or this Agreement, will be brought and heard exclusively in the United States District Court for the District of Southern California or the Superior Court of California, County of Los Angeles.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sz w:val="20"/>
          <w:szCs w:val="20"/>
          <w:color w:val="auto"/>
        </w:rPr>
      </w:pPr>
    </w:p>
    <w:p>
      <w:pPr>
        <w:ind w:right="260" w:firstLine="3"/>
        <w:spacing w:after="0" w:line="243" w:lineRule="auto"/>
        <w:tabs>
          <w:tab w:leader="none" w:pos="258"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Rights as Employee. </w:t>
      </w:r>
      <w:r>
        <w:rPr>
          <w:rFonts w:ascii="Arial" w:cs="Arial" w:eastAsia="Arial" w:hAnsi="Arial"/>
          <w:sz w:val="17"/>
          <w:szCs w:val="17"/>
          <w:color w:val="auto"/>
          <w:highlight w:val="white"/>
        </w:rPr>
        <w:t>Nothing in this Agreement will affect in any manner whatsoever any right or power of the Company, or a Subsidiary, to terminate</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Participant’s Service, for any reason, with or without Cause.</w:t>
      </w:r>
    </w:p>
    <w:p>
      <w:pPr>
        <w:spacing w:after="0" w:line="146" w:lineRule="exact"/>
        <w:rPr>
          <w:rFonts w:ascii="Arial" w:cs="Arial" w:eastAsia="Arial" w:hAnsi="Arial"/>
          <w:sz w:val="17"/>
          <w:szCs w:val="17"/>
          <w:b w:val="1"/>
          <w:bCs w:val="1"/>
          <w:color w:val="auto"/>
        </w:rPr>
      </w:pPr>
    </w:p>
    <w:p>
      <w:pPr>
        <w:ind w:right="80" w:firstLine="3"/>
        <w:spacing w:after="0" w:line="215" w:lineRule="auto"/>
        <w:tabs>
          <w:tab w:leader="none" w:pos="258"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Consent to Electronic Delivery of All Plan Documents and Disclosures. </w:t>
      </w:r>
      <w:r>
        <w:rPr>
          <w:rFonts w:ascii="Arial" w:cs="Arial" w:eastAsia="Arial" w:hAnsi="Arial"/>
          <w:sz w:val="17"/>
          <w:szCs w:val="17"/>
          <w:color w:val="auto"/>
          <w:highlight w:val="white"/>
        </w:rPr>
        <w:t>By Participant’s acceptance of the Notice (whether in writing or electronically),</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Participant and the Company agree that the RSUs are granted under and governed by the terms and conditions of the Plan, the Notice and this Agreement. Participant has reviewed the Plan, the Notice and this Agreement in their entirety, has had an opportunity to obtain the advice of counsel prior to executing this Notice and Agreement,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 By acceptance of the RSUs, Participant agrees to participate in the Plan through an on-line or electronic system established and maintained by the Company or a third party designated by the Company and consents to the electronic delivery of the Notice, this Agreement, the</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22"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Plan, account statements, Plan prospectuses required by the SEC,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w:t>
      </w:r>
    </w:p>
    <w:p>
      <w:pPr>
        <w:spacing w:after="0" w:line="151" w:lineRule="exact"/>
        <w:rPr>
          <w:sz w:val="20"/>
          <w:szCs w:val="20"/>
          <w:color w:val="auto"/>
        </w:rPr>
      </w:pPr>
    </w:p>
    <w:p>
      <w:pPr>
        <w:ind w:right="20" w:firstLine="3"/>
        <w:spacing w:after="0" w:line="225" w:lineRule="auto"/>
        <w:tabs>
          <w:tab w:leader="none" w:pos="258"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Insider Trading Restrictions/Market Abuse Laws. </w:t>
      </w:r>
      <w:r>
        <w:rPr>
          <w:rFonts w:ascii="Arial" w:cs="Arial" w:eastAsia="Arial" w:hAnsi="Arial"/>
          <w:sz w:val="16"/>
          <w:szCs w:val="16"/>
          <w:color w:val="auto"/>
          <w:highlight w:val="white"/>
        </w:rPr>
        <w:t>Participant acknowledges that, depending on Participant’s country of residence, the broker’s country, or</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the country in which the Shares are listed, Participant may be subject to insider trading restrictions and/or market abuse laws in applicable jurisdictions, which may affect Participant’s ability to directly or indirectly, accept, acquire, sell or attempt to sell or otherwise dispose of Shares, or rights to Shares (</w:t>
      </w:r>
      <w:r>
        <w:rPr>
          <w:rFonts w:ascii="Arial" w:cs="Arial" w:eastAsia="Arial" w:hAnsi="Arial"/>
          <w:sz w:val="16"/>
          <w:szCs w:val="16"/>
          <w:i w:val="1"/>
          <w:iCs w:val="1"/>
          <w:color w:val="auto"/>
          <w:highlight w:val="white"/>
        </w:rPr>
        <w:t>e.g.</w:t>
      </w:r>
      <w:r>
        <w:rPr>
          <w:rFonts w:ascii="Arial" w:cs="Arial" w:eastAsia="Arial" w:hAnsi="Arial"/>
          <w:sz w:val="16"/>
          <w:szCs w:val="16"/>
          <w:color w:val="auto"/>
          <w:highlight w:val="white"/>
        </w:rPr>
        <w:t>, RSUs), or rights linked to the value of Shares, during such times as Participant is considered to have “inside information” regarding the Company (as defined by the laws or regulations in the applicable jurisdiction). Local insider trading laws and regulations may prohibit the cancellation or amendment of orders Participant placed before possessing the inside information. Furthermore, Participant may be prohibited from (i) 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agrees to comply with such policy, as it may be amended from time to time, whenever Participant acquires or disposes of the Company’s securities.</w:t>
      </w:r>
    </w:p>
    <w:p>
      <w:pPr>
        <w:spacing w:after="0" w:line="157" w:lineRule="exact"/>
        <w:rPr>
          <w:rFonts w:ascii="Arial" w:cs="Arial" w:eastAsia="Arial" w:hAnsi="Arial"/>
          <w:sz w:val="16"/>
          <w:szCs w:val="16"/>
          <w:b w:val="1"/>
          <w:bCs w:val="1"/>
          <w:color w:val="auto"/>
        </w:rPr>
      </w:pPr>
    </w:p>
    <w:p>
      <w:pPr>
        <w:ind w:right="60" w:firstLine="3"/>
        <w:spacing w:after="0" w:line="217" w:lineRule="auto"/>
        <w:tabs>
          <w:tab w:leader="none" w:pos="258"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Foreign Asset/Account, Exchange Control and Tax Reporting. </w:t>
      </w:r>
      <w:r>
        <w:rPr>
          <w:rFonts w:ascii="Arial" w:cs="Arial" w:eastAsia="Arial" w:hAnsi="Arial"/>
          <w:sz w:val="17"/>
          <w:szCs w:val="17"/>
          <w:color w:val="auto"/>
        </w:rPr>
        <w:t>Participant may be subject to foreign asset/account, exchange control and/or tax reporting</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requirements as a result of the acquisition, holding and/or transfer of Shares or cash resulting from his or her participation in the Plan. Participant may be required to report such accounts, assets, the balances therein, the value thereof and/or the transactions related thereto to the applicable authorities in Participant’s country and/or repatriate funds received in connection with the Plan within certain time limits or according to specified procedures. Participant acknowledges that he or she is responsible for ensuring compliance with any applicable foreign asset/account, exchange control and tax reporting requirements and should consult his or her personal legal and tax advisors on such matters.</w:t>
      </w:r>
    </w:p>
    <w:p>
      <w:pPr>
        <w:spacing w:after="0" w:line="154" w:lineRule="exact"/>
        <w:rPr>
          <w:rFonts w:ascii="Arial" w:cs="Arial" w:eastAsia="Arial" w:hAnsi="Arial"/>
          <w:sz w:val="17"/>
          <w:szCs w:val="17"/>
          <w:b w:val="1"/>
          <w:bCs w:val="1"/>
          <w:color w:val="auto"/>
        </w:rPr>
      </w:pPr>
    </w:p>
    <w:p>
      <w:pPr>
        <w:ind w:right="100" w:firstLine="3"/>
        <w:spacing w:after="0" w:line="225" w:lineRule="auto"/>
        <w:tabs>
          <w:tab w:leader="none" w:pos="258"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Code Section 409A. </w:t>
      </w:r>
      <w:r>
        <w:rPr>
          <w:rFonts w:ascii="Arial" w:cs="Arial" w:eastAsia="Arial" w:hAnsi="Arial"/>
          <w:sz w:val="16"/>
          <w:szCs w:val="16"/>
          <w:color w:val="auto"/>
          <w:highlight w:val="white"/>
        </w:rPr>
        <w:t>For purposes of this Agreement, a termination of employment will be determined consistent with the rules relating to a “separation from</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service” as defined in Section 409A of the Internal Revenue Code and the regulations thereunder (“</w:t>
      </w:r>
      <w:r>
        <w:rPr>
          <w:rFonts w:ascii="Arial" w:cs="Arial" w:eastAsia="Arial" w:hAnsi="Arial"/>
          <w:sz w:val="16"/>
          <w:szCs w:val="16"/>
          <w:b w:val="1"/>
          <w:bCs w:val="1"/>
          <w:i w:val="1"/>
          <w:iCs w:val="1"/>
          <w:color w:val="auto"/>
          <w:highlight w:val="white"/>
        </w:rPr>
        <w:t>Section 409A</w:t>
      </w:r>
      <w:r>
        <w:rPr>
          <w:rFonts w:ascii="Arial" w:cs="Arial" w:eastAsia="Arial" w:hAnsi="Arial"/>
          <w:sz w:val="16"/>
          <w:szCs w:val="16"/>
          <w:color w:val="auto"/>
          <w:highlight w:val="white"/>
        </w:rPr>
        <w:t>”). Notwithstanding anything else provided herein, to the extent any payments provided under this RSU Agreement in connection with Participant’s termination of employment constitute deferred compensation subject to Section 409A, and Participant is deemed at the time of such termination of employment to be a “specified employee” under</w:t>
      </w:r>
    </w:p>
    <w:p>
      <w:pPr>
        <w:spacing w:after="0" w:line="1" w:lineRule="exact"/>
        <w:rPr>
          <w:rFonts w:ascii="Arial" w:cs="Arial" w:eastAsia="Arial" w:hAnsi="Arial"/>
          <w:sz w:val="16"/>
          <w:szCs w:val="16"/>
          <w:b w:val="1"/>
          <w:bCs w:val="1"/>
          <w:color w:val="auto"/>
        </w:rPr>
      </w:pPr>
    </w:p>
    <w:p>
      <w:pPr>
        <w:ind w:right="80"/>
        <w:spacing w:after="0" w:line="233" w:lineRule="auto"/>
        <w:rPr>
          <w:rFonts w:ascii="Arial" w:cs="Arial" w:eastAsia="Arial" w:hAnsi="Arial"/>
          <w:sz w:val="16"/>
          <w:szCs w:val="16"/>
          <w:b w:val="1"/>
          <w:bCs w:val="1"/>
          <w:color w:val="auto"/>
        </w:rPr>
      </w:pPr>
      <w:r>
        <w:rPr>
          <w:rFonts w:ascii="Arial" w:cs="Arial" w:eastAsia="Arial" w:hAnsi="Arial"/>
          <w:sz w:val="15"/>
          <w:szCs w:val="15"/>
          <w:color w:val="auto"/>
          <w:highlight w:val="white"/>
        </w:rPr>
        <w:t>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RSU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w:t>
      </w:r>
    </w:p>
    <w:p>
      <w:pPr>
        <w:spacing w:after="0" w:line="3"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highlight w:val="white"/>
        </w:rPr>
        <w:t>of Section 1.409A-2(b)(2) of the Treasury Regulations.</w:t>
      </w:r>
    </w:p>
    <w:p>
      <w:pPr>
        <w:spacing w:after="0" w:line="159" w:lineRule="exact"/>
        <w:rPr>
          <w:rFonts w:ascii="Arial" w:cs="Arial" w:eastAsia="Arial" w:hAnsi="Arial"/>
          <w:sz w:val="16"/>
          <w:szCs w:val="16"/>
          <w:b w:val="1"/>
          <w:bCs w:val="1"/>
          <w:color w:val="auto"/>
        </w:rPr>
      </w:pPr>
    </w:p>
    <w:p>
      <w:pPr>
        <w:ind w:firstLine="3"/>
        <w:spacing w:after="0" w:line="223" w:lineRule="auto"/>
        <w:tabs>
          <w:tab w:leader="none" w:pos="258"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 Subject to Company Clawback or Recoupment. </w:t>
      </w:r>
      <w:r>
        <w:rPr>
          <w:rFonts w:ascii="Arial" w:cs="Arial" w:eastAsia="Arial" w:hAnsi="Arial"/>
          <w:sz w:val="17"/>
          <w:szCs w:val="17"/>
          <w:color w:val="auto"/>
          <w:highlight w:val="white"/>
        </w:rPr>
        <w:t>The RSUs shall be subject to clawback or recoupment pursuant to any compensation clawback or</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recoupment policy adopted by the Board or required by law during the term of Participant’s employment or other Service that is applicable to Participant. In addition to any other remedies available under such policy, applicable law may require the cancellation of Participant’s RSUs (whether vested or unvested) and the recoupment of any gains realized with respect to Participant’s RSUs.</w:t>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116" w:lineRule="exact"/>
        <w:rPr>
          <w:sz w:val="20"/>
          <w:szCs w:val="20"/>
          <w:color w:val="auto"/>
        </w:rPr>
      </w:pPr>
    </w:p>
    <w:p>
      <w:pPr>
        <w:ind w:firstLine="422"/>
        <w:spacing w:after="0" w:line="243" w:lineRule="auto"/>
        <w:rPr>
          <w:sz w:val="20"/>
          <w:szCs w:val="20"/>
          <w:color w:val="auto"/>
        </w:rPr>
      </w:pPr>
      <w:r>
        <w:rPr>
          <w:rFonts w:ascii="Arial" w:cs="Arial" w:eastAsia="Arial" w:hAnsi="Arial"/>
          <w:sz w:val="17"/>
          <w:szCs w:val="17"/>
          <w:b w:val="1"/>
          <w:bCs w:val="1"/>
          <w:color w:val="auto"/>
        </w:rPr>
        <w:t>BY ACCEPTING THIS AWARD OF RSUS, PARTICIPANT AGREES TO ALL OF THE TERMS AND CONDITIONS DESCRIBED ABOVE AND IN THE PLAN.</w:t>
      </w:r>
    </w:p>
    <w:p>
      <w:pPr>
        <w:sectPr>
          <w:pgSz w:w="11900" w:h="16838" w:orient="portrait"/>
          <w:cols w:equalWidth="0" w:num="1">
            <w:col w:w="10940"/>
          </w:cols>
          <w:pgMar w:left="320" w:top="1440" w:right="639" w:bottom="1440" w:gutter="0" w:footer="0" w:header="0"/>
        </w:sectPr>
      </w:pPr>
    </w:p>
    <w:bookmarkStart w:id="181" w:name="page182"/>
    <w:bookmarkEnd w:id="181"/>
    <w:p>
      <w:pPr>
        <w:ind w:left="5180"/>
        <w:spacing w:after="0"/>
        <w:rPr>
          <w:sz w:val="20"/>
          <w:szCs w:val="20"/>
          <w:color w:val="auto"/>
        </w:rPr>
      </w:pPr>
      <w:r>
        <w:rPr>
          <w:rFonts w:ascii="Arial" w:cs="Arial" w:eastAsia="Arial" w:hAnsi="Arial"/>
          <w:sz w:val="17"/>
          <w:szCs w:val="17"/>
          <w:b w:val="1"/>
          <w:bCs w:val="1"/>
          <w:color w:val="auto"/>
        </w:rPr>
        <w:t>APPENDIX</w:t>
      </w:r>
    </w:p>
    <w:p>
      <w:pPr>
        <w:spacing w:after="0" w:line="68"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ARCUTIS BIOTHERAPEUTICS, INC.</w:t>
      </w:r>
    </w:p>
    <w:p>
      <w:pPr>
        <w:jc w:val="center"/>
        <w:ind w:right="-1100"/>
        <w:spacing w:after="0" w:line="206" w:lineRule="auto"/>
        <w:rPr>
          <w:sz w:val="20"/>
          <w:szCs w:val="20"/>
          <w:color w:val="auto"/>
        </w:rPr>
      </w:pPr>
      <w:r>
        <w:rPr>
          <w:rFonts w:ascii="Arial" w:cs="Arial" w:eastAsia="Arial" w:hAnsi="Arial"/>
          <w:sz w:val="17"/>
          <w:szCs w:val="17"/>
          <w:b w:val="1"/>
          <w:bCs w:val="1"/>
          <w:color w:val="auto"/>
        </w:rPr>
        <w:t>2022 EMPLOYMENT INDUCEMENT INCENTIVE PLAN</w:t>
      </w:r>
    </w:p>
    <w:p>
      <w:pPr>
        <w:jc w:val="center"/>
        <w:ind w:right="-1100"/>
        <w:spacing w:after="0"/>
        <w:rPr>
          <w:sz w:val="20"/>
          <w:szCs w:val="20"/>
          <w:color w:val="auto"/>
        </w:rPr>
      </w:pPr>
      <w:r>
        <w:rPr>
          <w:rFonts w:ascii="Arial" w:cs="Arial" w:eastAsia="Arial" w:hAnsi="Arial"/>
          <w:sz w:val="17"/>
          <w:szCs w:val="17"/>
          <w:b w:val="1"/>
          <w:bCs w:val="1"/>
          <w:color w:val="auto"/>
        </w:rPr>
        <w:t>GLOBAL RESTRICTED STOCK UNIT AWARD AGREEMENT</w:t>
      </w:r>
    </w:p>
    <w:p>
      <w:pPr>
        <w:spacing w:after="0" w:line="56" w:lineRule="exact"/>
        <w:rPr>
          <w:sz w:val="20"/>
          <w:szCs w:val="20"/>
          <w:color w:val="auto"/>
        </w:rPr>
      </w:pPr>
    </w:p>
    <w:p>
      <w:pPr>
        <w:jc w:val="right"/>
        <w:ind w:right="1559"/>
        <w:spacing w:after="0"/>
        <w:rPr>
          <w:sz w:val="20"/>
          <w:szCs w:val="20"/>
          <w:color w:val="auto"/>
        </w:rPr>
      </w:pPr>
      <w:r>
        <w:rPr>
          <w:rFonts w:ascii="Arial" w:cs="Arial" w:eastAsia="Arial" w:hAnsi="Arial"/>
          <w:sz w:val="17"/>
          <w:szCs w:val="17"/>
          <w:b w:val="1"/>
          <w:bCs w:val="1"/>
          <w:color w:val="auto"/>
        </w:rPr>
        <w:t>COUNTRY SPECIFIC PROVISIONS FOR EMPLOYEES OUTSIDE THE U.S.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0139"/>
          </w:cols>
          <w:pgMar w:left="320" w:top="1349" w:right="1440" w:bottom="1440" w:gutter="0" w:footer="0" w:header="0"/>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December 13, 2021</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Masaru Matsuda</w:t>
      </w:r>
    </w:p>
    <w:p>
      <w:pPr>
        <w:spacing w:after="0" w:line="198" w:lineRule="auto"/>
        <w:rPr>
          <w:sz w:val="20"/>
          <w:szCs w:val="20"/>
          <w:color w:val="auto"/>
        </w:rPr>
      </w:pPr>
      <w:r>
        <w:rPr>
          <w:rFonts w:ascii="Arial" w:cs="Arial" w:eastAsia="Arial" w:hAnsi="Arial"/>
          <w:sz w:val="19"/>
          <w:szCs w:val="19"/>
          <w:color w:val="auto"/>
        </w:rPr>
        <w:t>5123 Meadows Del Mar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San Diego, CA 92130</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RE: Employment with Arcutis Biotherapeutics,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Dear Mas:</w:t>
      </w:r>
    </w:p>
    <w:p>
      <w:pPr>
        <w:spacing w:after="0" w:line="195" w:lineRule="exact"/>
        <w:rPr>
          <w:sz w:val="20"/>
          <w:szCs w:val="20"/>
          <w:color w:val="auto"/>
        </w:rPr>
      </w:pPr>
    </w:p>
    <w:p>
      <w:pPr>
        <w:jc w:val="both"/>
        <w:ind w:firstLine="332"/>
        <w:spacing w:after="0" w:line="227" w:lineRule="auto"/>
        <w:rPr>
          <w:sz w:val="20"/>
          <w:szCs w:val="20"/>
          <w:color w:val="auto"/>
        </w:rPr>
      </w:pPr>
      <w:r>
        <w:rPr>
          <w:rFonts w:ascii="Arial" w:cs="Arial" w:eastAsia="Arial" w:hAnsi="Arial"/>
          <w:sz w:val="18"/>
          <w:szCs w:val="18"/>
          <w:color w:val="auto"/>
        </w:rPr>
        <w:t>This employment letter sets forth the terms and confirms your employment as Senior Vice President and General Counsel with Arcutis Biotherapeutics, Inc., a Delaware Corporation (the “Company” or “Arcutis”). You will report to me, the Company’s Chief Executive Officer. If you accept this offer, you will commence employment with the Company on January 3, 2022, or such other date mutually agreed in writing between you and the Company (the date you actually commence employment with the Company, the “Effective Date”).</w:t>
      </w:r>
    </w:p>
    <w:p>
      <w:pPr>
        <w:spacing w:after="0" w:line="167" w:lineRule="exact"/>
        <w:rPr>
          <w:sz w:val="20"/>
          <w:szCs w:val="20"/>
          <w:color w:val="auto"/>
        </w:rPr>
      </w:pPr>
    </w:p>
    <w:p>
      <w:pPr>
        <w:jc w:val="both"/>
        <w:ind w:firstLine="313"/>
        <w:spacing w:after="0" w:line="235" w:lineRule="auto"/>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Work Location</w:t>
      </w:r>
      <w:r>
        <w:rPr>
          <w:rFonts w:ascii="Arial" w:cs="Arial" w:eastAsia="Arial" w:hAnsi="Arial"/>
          <w:sz w:val="18"/>
          <w:szCs w:val="18"/>
          <w:color w:val="auto"/>
        </w:rPr>
        <w:t>. The Company will allow you to work primarily from your home office. However, as Arcutis’ headquarters are located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Los Angeles, California area, you will be expected to spend a reasonable amount of time at the Company’s headquarters. The Company will provide expense reimbursement for your visits to our Los Angeles area offices as outlined in section 4 of this agreement.</w:t>
      </w:r>
    </w:p>
    <w:p>
      <w:pPr>
        <w:spacing w:after="0" w:line="167" w:lineRule="exact"/>
        <w:rPr>
          <w:rFonts w:ascii="Arial" w:cs="Arial" w:eastAsia="Arial" w:hAnsi="Arial"/>
          <w:sz w:val="18"/>
          <w:szCs w:val="18"/>
          <w:color w:val="auto"/>
        </w:rPr>
      </w:pPr>
    </w:p>
    <w:p>
      <w:pPr>
        <w:ind w:left="620" w:hanging="307"/>
        <w:spacing w:after="0"/>
        <w:tabs>
          <w:tab w:leader="none" w:pos="620" w:val="left"/>
        </w:tabs>
        <w:numPr>
          <w:ilvl w:val="0"/>
          <w:numId w:val="121"/>
        </w:numPr>
        <w:rPr>
          <w:rFonts w:ascii="Arial" w:cs="Arial" w:eastAsia="Arial" w:hAnsi="Arial"/>
          <w:sz w:val="19"/>
          <w:szCs w:val="19"/>
          <w:color w:val="auto"/>
        </w:rPr>
      </w:pPr>
      <w:r>
        <w:rPr>
          <w:rFonts w:ascii="Arial" w:cs="Arial" w:eastAsia="Arial" w:hAnsi="Arial"/>
          <w:sz w:val="19"/>
          <w:szCs w:val="19"/>
          <w:b w:val="1"/>
          <w:bCs w:val="1"/>
          <w:u w:val="single" w:color="auto"/>
          <w:color w:val="auto"/>
        </w:rPr>
        <w:t>Compensation</w:t>
      </w:r>
      <w:r>
        <w:rPr>
          <w:rFonts w:ascii="Arial" w:cs="Arial" w:eastAsia="Arial" w:hAnsi="Arial"/>
          <w:sz w:val="19"/>
          <w:szCs w:val="19"/>
          <w:color w:val="auto"/>
        </w:rPr>
        <w:t>.</w:t>
      </w:r>
    </w:p>
    <w:p>
      <w:pPr>
        <w:spacing w:after="0" w:line="194" w:lineRule="exact"/>
        <w:rPr>
          <w:rFonts w:ascii="Arial" w:cs="Arial" w:eastAsia="Arial" w:hAnsi="Arial"/>
          <w:sz w:val="19"/>
          <w:szCs w:val="19"/>
          <w:color w:val="auto"/>
        </w:rPr>
      </w:pPr>
    </w:p>
    <w:p>
      <w:pPr>
        <w:jc w:val="both"/>
        <w:ind w:firstLine="624"/>
        <w:spacing w:after="0" w:line="222" w:lineRule="auto"/>
        <w:tabs>
          <w:tab w:leader="none" w:pos="1232" w:val="left"/>
        </w:tabs>
        <w:numPr>
          <w:ilvl w:val="1"/>
          <w:numId w:val="121"/>
        </w:numPr>
        <w:rPr>
          <w:rFonts w:ascii="Arial" w:cs="Arial" w:eastAsia="Arial" w:hAnsi="Arial"/>
          <w:sz w:val="19"/>
          <w:szCs w:val="19"/>
          <w:color w:val="auto"/>
        </w:rPr>
      </w:pPr>
      <w:r>
        <w:rPr>
          <w:rFonts w:ascii="Arial" w:cs="Arial" w:eastAsia="Arial" w:hAnsi="Arial"/>
          <w:sz w:val="19"/>
          <w:szCs w:val="19"/>
          <w:b w:val="1"/>
          <w:bCs w:val="1"/>
          <w:u w:val="single" w:color="auto"/>
          <w:color w:val="auto"/>
        </w:rPr>
        <w:t>Salary</w:t>
      </w:r>
      <w:r>
        <w:rPr>
          <w:rFonts w:ascii="Arial" w:cs="Arial" w:eastAsia="Arial" w:hAnsi="Arial"/>
          <w:sz w:val="19"/>
          <w:szCs w:val="19"/>
          <w:color w:val="auto"/>
        </w:rPr>
        <w:t>. In this position, the Company will pay you an annual base salary of four hundred fifteen thousand dollars ($415,000) per</w:t>
      </w:r>
      <w:r>
        <w:rPr>
          <w:rFonts w:ascii="Arial" w:cs="Arial" w:eastAsia="Arial" w:hAnsi="Arial"/>
          <w:sz w:val="19"/>
          <w:szCs w:val="19"/>
          <w:b w:val="1"/>
          <w:bCs w:val="1"/>
          <w:color w:val="auto"/>
        </w:rPr>
        <w:t xml:space="preserve"> </w:t>
      </w:r>
      <w:r>
        <w:rPr>
          <w:rFonts w:ascii="Arial" w:cs="Arial" w:eastAsia="Arial" w:hAnsi="Arial"/>
          <w:sz w:val="19"/>
          <w:szCs w:val="19"/>
          <w:color w:val="auto"/>
        </w:rPr>
        <w:t>year, payable in accordance with the Company’s standard payroll schedule. Your pay will be periodically subject to adjustment pursuant to the Company’s policies as in effect from time to time and pro-rated for any partial employment hereunder.</w:t>
      </w:r>
    </w:p>
    <w:p>
      <w:pPr>
        <w:spacing w:after="0" w:line="168" w:lineRule="exact"/>
        <w:rPr>
          <w:rFonts w:ascii="Arial" w:cs="Arial" w:eastAsia="Arial" w:hAnsi="Arial"/>
          <w:sz w:val="19"/>
          <w:szCs w:val="19"/>
          <w:color w:val="auto"/>
        </w:rPr>
      </w:pPr>
    </w:p>
    <w:p>
      <w:pPr>
        <w:jc w:val="both"/>
        <w:ind w:firstLine="624"/>
        <w:spacing w:after="0" w:line="213" w:lineRule="auto"/>
        <w:tabs>
          <w:tab w:leader="none" w:pos="1230" w:val="left"/>
        </w:tabs>
        <w:numPr>
          <w:ilvl w:val="1"/>
          <w:numId w:val="121"/>
        </w:numPr>
        <w:rPr>
          <w:rFonts w:ascii="Arial" w:cs="Arial" w:eastAsia="Arial" w:hAnsi="Arial"/>
          <w:sz w:val="19"/>
          <w:szCs w:val="19"/>
          <w:color w:val="auto"/>
        </w:rPr>
      </w:pPr>
      <w:r>
        <w:rPr>
          <w:rFonts w:ascii="Arial" w:cs="Arial" w:eastAsia="Arial" w:hAnsi="Arial"/>
          <w:sz w:val="19"/>
          <w:szCs w:val="19"/>
          <w:b w:val="1"/>
          <w:bCs w:val="1"/>
          <w:u w:val="single" w:color="auto"/>
          <w:color w:val="auto"/>
        </w:rPr>
        <w:t>Bonus</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be eligible to receive a cash incentive annual bonus with a target of forty percent (40%) of your base salary,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possibility of up to sixty percent (60%) of your base salary, based upon the achievement of both corporate and personal goals. Any annual bonus earned will be paid no later than March 15th of the year following the year in which such bonus was earned and will be contingent upon your continued employment through the applicable payment date. Please note that bonus programs, payouts and criterion are subject to change or adjustment as the business needs at the Company may require.</w:t>
      </w:r>
    </w:p>
    <w:p>
      <w:pPr>
        <w:spacing w:after="0" w:line="167" w:lineRule="exact"/>
        <w:rPr>
          <w:rFonts w:ascii="Arial" w:cs="Arial" w:eastAsia="Arial" w:hAnsi="Arial"/>
          <w:sz w:val="19"/>
          <w:szCs w:val="19"/>
          <w:color w:val="auto"/>
        </w:rPr>
      </w:pPr>
    </w:p>
    <w:p>
      <w:pPr>
        <w:ind w:firstLine="624"/>
        <w:spacing w:after="0" w:line="234" w:lineRule="auto"/>
        <w:tabs>
          <w:tab w:leader="none" w:pos="1232" w:val="left"/>
        </w:tabs>
        <w:numPr>
          <w:ilvl w:val="1"/>
          <w:numId w:val="121"/>
        </w:numPr>
        <w:rPr>
          <w:rFonts w:ascii="Arial" w:cs="Arial" w:eastAsia="Arial" w:hAnsi="Arial"/>
          <w:sz w:val="19"/>
          <w:szCs w:val="19"/>
          <w:color w:val="auto"/>
        </w:rPr>
      </w:pPr>
      <w:r>
        <w:rPr>
          <w:rFonts w:ascii="Arial" w:cs="Arial" w:eastAsia="Arial" w:hAnsi="Arial"/>
          <w:sz w:val="19"/>
          <w:szCs w:val="19"/>
          <w:b w:val="1"/>
          <w:bCs w:val="1"/>
          <w:u w:val="single" w:color="auto"/>
          <w:color w:val="auto"/>
        </w:rPr>
        <w:t>Equity Awards</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entering into this employment letter agreement, following the Effective Date,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will recommend to the Board of Directors that it grant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460"/>
        <w:spacing w:after="0"/>
        <w:rPr>
          <w:sz w:val="20"/>
          <w:szCs w:val="20"/>
          <w:color w:val="auto"/>
        </w:rPr>
      </w:pPr>
      <w:r>
        <w:rPr>
          <w:rFonts w:ascii="Arial" w:cs="Arial" w:eastAsia="Arial" w:hAnsi="Arial"/>
          <w:sz w:val="21"/>
          <w:szCs w:val="21"/>
          <w:b w:val="1"/>
          <w:bCs w:val="1"/>
          <w:color w:val="FFFFFF"/>
        </w:rPr>
        <w:t>3027 TOWNSGATE ROAD SUITE 300</w:t>
      </w:r>
    </w:p>
    <w:p>
      <w:pPr>
        <w:jc w:val="center"/>
        <w:ind w:right="1400"/>
        <w:spacing w:after="0" w:line="205" w:lineRule="auto"/>
        <w:rPr>
          <w:sz w:val="20"/>
          <w:szCs w:val="20"/>
          <w:color w:val="auto"/>
        </w:rPr>
      </w:pPr>
      <w:r>
        <w:rPr>
          <w:rFonts w:ascii="Arial" w:cs="Arial" w:eastAsia="Arial" w:hAnsi="Arial"/>
          <w:sz w:val="21"/>
          <w:szCs w:val="21"/>
          <w:b w:val="1"/>
          <w:bCs w:val="1"/>
          <w:color w:val="FFFFFF"/>
        </w:rPr>
        <w:t>WESTLAKE VILLAGE CA 91361</w:t>
      </w:r>
    </w:p>
    <w:p>
      <w:pPr>
        <w:jc w:val="center"/>
        <w:ind w:right="1460"/>
        <w:spacing w:after="0"/>
        <w:rPr>
          <w:sz w:val="20"/>
          <w:szCs w:val="20"/>
          <w:color w:val="auto"/>
        </w:rPr>
      </w:pPr>
      <w:r>
        <w:rPr>
          <w:rFonts w:ascii="Arial" w:cs="Arial" w:eastAsia="Arial" w:hAnsi="Arial"/>
          <w:sz w:val="21"/>
          <w:szCs w:val="21"/>
          <w:b w:val="1"/>
          <w:bCs w:val="1"/>
          <w:color w:val="FFFFFF"/>
        </w:rPr>
        <w:t>805-418-5006 WWW.ARCUTIS.COM</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firstLine="1244"/>
        <w:spacing w:after="0" w:line="238" w:lineRule="auto"/>
        <w:tabs>
          <w:tab w:leader="none" w:pos="1857" w:val="left"/>
        </w:tabs>
        <w:numPr>
          <w:ilvl w:val="0"/>
          <w:numId w:val="122"/>
        </w:numPr>
        <w:rPr>
          <w:rFonts w:ascii="Arial" w:cs="Arial" w:eastAsia="Arial" w:hAnsi="Arial"/>
          <w:sz w:val="17"/>
          <w:szCs w:val="17"/>
          <w:color w:val="auto"/>
        </w:rPr>
      </w:pPr>
      <w:r>
        <w:rPr>
          <w:rFonts w:ascii="Arial" w:cs="Arial" w:eastAsia="Arial" w:hAnsi="Arial"/>
          <w:sz w:val="17"/>
          <w:szCs w:val="17"/>
          <w:b w:val="1"/>
          <w:bCs w:val="1"/>
          <w:u w:val="single" w:color="auto"/>
          <w:color w:val="auto"/>
        </w:rPr>
        <w:t>Stock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An option to purchase one hundred eighty-five thousand (185,000) shares of the Company’s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“Stock Option”) at a per-share exercise price equal to the fair market value of a share of the Company’s common stock on the date of grant (the closing price of the Company’s common stock as reported on the Nasdaq Global Select Market on the date of grant). The shares subject to the Stock Option will vest and become exercisable at the rate of twenty-five percent (25%) on the first anniversary of the Effective Date, and an additional 2.0833% per month thereafter, so long as you remain employed by the Company through the applicable vesting date.</w:t>
      </w:r>
    </w:p>
    <w:p>
      <w:pPr>
        <w:spacing w:after="0" w:line="167" w:lineRule="exact"/>
        <w:rPr>
          <w:rFonts w:ascii="Arial" w:cs="Arial" w:eastAsia="Arial" w:hAnsi="Arial"/>
          <w:sz w:val="17"/>
          <w:szCs w:val="17"/>
          <w:color w:val="auto"/>
        </w:rPr>
      </w:pPr>
    </w:p>
    <w:p>
      <w:pPr>
        <w:ind w:firstLine="1244"/>
        <w:spacing w:after="0" w:line="234" w:lineRule="auto"/>
        <w:tabs>
          <w:tab w:leader="none" w:pos="1858" w:val="left"/>
        </w:tabs>
        <w:numPr>
          <w:ilvl w:val="0"/>
          <w:numId w:val="122"/>
        </w:numPr>
        <w:rPr>
          <w:rFonts w:ascii="Arial" w:cs="Arial" w:eastAsia="Arial" w:hAnsi="Arial"/>
          <w:sz w:val="19"/>
          <w:szCs w:val="19"/>
          <w:color w:val="auto"/>
        </w:rPr>
      </w:pPr>
      <w:r>
        <w:rPr>
          <w:rFonts w:ascii="Arial" w:cs="Arial" w:eastAsia="Arial" w:hAnsi="Arial"/>
          <w:sz w:val="19"/>
          <w:szCs w:val="19"/>
          <w:b w:val="1"/>
          <w:bCs w:val="1"/>
          <w:u w:val="single" w:color="auto"/>
          <w:color w:val="auto"/>
        </w:rPr>
        <w:t>Performance-Based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Thirty-nine thousand (39,000) Restricted Stock Units of the Company’s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(the “RSUs”). The RSUs will vest and become exercisable as follows:</w:t>
      </w:r>
    </w:p>
    <w:p>
      <w:pPr>
        <w:spacing w:after="0" w:line="174" w:lineRule="exact"/>
        <w:rPr>
          <w:rFonts w:ascii="Arial" w:cs="Arial" w:eastAsia="Arial" w:hAnsi="Arial"/>
          <w:sz w:val="19"/>
          <w:szCs w:val="19"/>
          <w:color w:val="auto"/>
        </w:rPr>
      </w:pPr>
    </w:p>
    <w:p>
      <w:pPr>
        <w:jc w:val="both"/>
        <w:ind w:firstLine="2019"/>
        <w:spacing w:after="0" w:line="211" w:lineRule="auto"/>
        <w:tabs>
          <w:tab w:leader="none" w:pos="2471" w:val="left"/>
        </w:tabs>
        <w:numPr>
          <w:ilvl w:val="1"/>
          <w:numId w:val="122"/>
        </w:numPr>
        <w:rPr>
          <w:rFonts w:ascii="Arial" w:cs="Arial" w:eastAsia="Arial" w:hAnsi="Arial"/>
          <w:sz w:val="19"/>
          <w:szCs w:val="19"/>
          <w:color w:val="auto"/>
        </w:rPr>
      </w:pPr>
      <w:r>
        <w:rPr>
          <w:rFonts w:ascii="Arial" w:cs="Arial" w:eastAsia="Arial" w:hAnsi="Arial"/>
          <w:sz w:val="19"/>
          <w:szCs w:val="19"/>
          <w:color w:val="auto"/>
        </w:rPr>
        <w:t>Upon approval by the Audit Committee of the commercial launch compliance program (expected within 30 days of the commercial launch date), nineteen thousand five hundred (19,500) of the RSUs will commence vesting at a rate of twenty-five percent (25%) annually, with the first 25% vesting on the date that the achievement of the performance criteria has been certified by the Compensation Committee, and the remaining shares vesting in equal installments on each subsequent one (1) year anniversary, so long as you remain employed by the Company through the applicable vesting date.</w:t>
      </w:r>
    </w:p>
    <w:p>
      <w:pPr>
        <w:spacing w:after="0" w:line="176" w:lineRule="exact"/>
        <w:rPr>
          <w:rFonts w:ascii="Arial" w:cs="Arial" w:eastAsia="Arial" w:hAnsi="Arial"/>
          <w:sz w:val="19"/>
          <w:szCs w:val="19"/>
          <w:color w:val="auto"/>
        </w:rPr>
      </w:pPr>
    </w:p>
    <w:p>
      <w:pPr>
        <w:jc w:val="both"/>
        <w:ind w:firstLine="2019"/>
        <w:spacing w:after="0"/>
        <w:tabs>
          <w:tab w:leader="none" w:pos="2471" w:val="left"/>
        </w:tabs>
        <w:numPr>
          <w:ilvl w:val="1"/>
          <w:numId w:val="122"/>
        </w:numPr>
        <w:rPr>
          <w:rFonts w:ascii="Arial" w:cs="Arial" w:eastAsia="Arial" w:hAnsi="Arial"/>
          <w:sz w:val="17"/>
          <w:szCs w:val="17"/>
          <w:color w:val="auto"/>
        </w:rPr>
      </w:pPr>
      <w:r>
        <w:rPr>
          <w:rFonts w:ascii="Arial" w:cs="Arial" w:eastAsia="Arial" w:hAnsi="Arial"/>
          <w:sz w:val="17"/>
          <w:szCs w:val="17"/>
          <w:color w:val="auto"/>
        </w:rPr>
        <w:t>Upon execution of the first key payor contract with a top plan (e.g., Zinc or Ascent), nineteen thousand five hundred (19,500) of the RSUs will commence vesting at a rate of twenty-five percent (25%) annually, with the first 25% vesting on the date that the achievement of the performance criteria has been certified by the Compensation Committee, and the remaining shares vesting in equal installments on each subsequent one (1) year anniversary, so long as you remain employed by the Company through the applicable vesting date.</w:t>
      </w:r>
    </w:p>
    <w:p>
      <w:pPr>
        <w:spacing w:after="0" w:line="174" w:lineRule="exact"/>
        <w:rPr>
          <w:sz w:val="20"/>
          <w:szCs w:val="20"/>
          <w:color w:val="auto"/>
        </w:rPr>
      </w:pPr>
    </w:p>
    <w:p>
      <w:pPr>
        <w:jc w:val="both"/>
        <w:ind w:firstLine="620"/>
        <w:spacing w:after="0" w:line="211" w:lineRule="auto"/>
        <w:rPr>
          <w:sz w:val="20"/>
          <w:szCs w:val="20"/>
          <w:color w:val="auto"/>
        </w:rPr>
      </w:pPr>
      <w:r>
        <w:rPr>
          <w:rFonts w:ascii="Arial" w:cs="Arial" w:eastAsia="Arial" w:hAnsi="Arial"/>
          <w:sz w:val="19"/>
          <w:szCs w:val="19"/>
          <w:color w:val="auto"/>
        </w:rPr>
        <w:t>The Stock Options and Restricted Stock Units will otherwise be subject to the terms and conditions of the Company’s 2022 Employment Inducement Plan (the “Plan”) and a stock option agreement and/or restricted stock agreement(s) to be entered into between you and the Company. You may be eligible to receive such future stock options or restricted stock unit grants as the Board of Directors of the Company shall deem appropriate; however, the grant of such options or restricted stock units by the Company is not a promise of compensation and is not intended to create any obligation on the part of the Company.</w:t>
      </w:r>
    </w:p>
    <w:p>
      <w:pPr>
        <w:spacing w:after="0" w:line="177" w:lineRule="exact"/>
        <w:rPr>
          <w:sz w:val="20"/>
          <w:szCs w:val="20"/>
          <w:color w:val="auto"/>
        </w:rPr>
      </w:pPr>
    </w:p>
    <w:p>
      <w:pPr>
        <w:jc w:val="both"/>
        <w:ind w:firstLine="620"/>
        <w:spacing w:after="0" w:line="277" w:lineRule="auto"/>
        <w:rPr>
          <w:sz w:val="20"/>
          <w:szCs w:val="20"/>
          <w:color w:val="auto"/>
        </w:rPr>
      </w:pPr>
      <w:r>
        <w:rPr>
          <w:rFonts w:ascii="Arial" w:cs="Arial" w:eastAsia="Arial" w:hAnsi="Arial"/>
          <w:sz w:val="17"/>
          <w:szCs w:val="17"/>
          <w:color w:val="auto"/>
        </w:rPr>
        <w:t>In addition, you will not be disqualified from receiving an additional “annual” equity grant in 2022. For context, Company employees are normally not eligible to receive an “annual” equity grant unless they have been employed at the Company on September 30 of the prior year.</w:t>
      </w:r>
    </w:p>
    <w:p>
      <w:pPr>
        <w:spacing w:after="0" w:line="137" w:lineRule="exact"/>
        <w:rPr>
          <w:sz w:val="20"/>
          <w:szCs w:val="20"/>
          <w:color w:val="auto"/>
        </w:rPr>
      </w:pPr>
    </w:p>
    <w:p>
      <w:pPr>
        <w:ind w:left="1240" w:hanging="616"/>
        <w:spacing w:after="0"/>
        <w:tabs>
          <w:tab w:leader="none" w:pos="1240" w:val="left"/>
        </w:tabs>
        <w:numPr>
          <w:ilvl w:val="0"/>
          <w:numId w:val="123"/>
        </w:numPr>
        <w:rPr>
          <w:rFonts w:ascii="Arial" w:cs="Arial" w:eastAsia="Arial" w:hAnsi="Arial"/>
          <w:sz w:val="17"/>
          <w:szCs w:val="17"/>
          <w:color w:val="auto"/>
        </w:rPr>
      </w:pPr>
      <w:r>
        <w:rPr>
          <w:rFonts w:ascii="Arial" w:cs="Arial" w:eastAsia="Arial" w:hAnsi="Arial"/>
          <w:sz w:val="17"/>
          <w:szCs w:val="17"/>
          <w:b w:val="1"/>
          <w:bCs w:val="1"/>
          <w:u w:val="single" w:color="auto"/>
          <w:color w:val="auto"/>
        </w:rPr>
        <w:t>Withholdings</w:t>
      </w:r>
      <w:r>
        <w:rPr>
          <w:rFonts w:ascii="Arial" w:cs="Arial" w:eastAsia="Arial" w:hAnsi="Arial"/>
          <w:sz w:val="17"/>
          <w:szCs w:val="17"/>
          <w:color w:val="auto"/>
        </w:rPr>
        <w:t>. All forms of compensation paid to you as an employee of the Company shall be less all applicable withholdings.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Masaru Matsuda Offer of Employment</w:t>
      </w:r>
    </w:p>
    <w:p>
      <w:pPr>
        <w:jc w:val="right"/>
        <w:spacing w:after="0" w:line="202" w:lineRule="auto"/>
        <w:rPr>
          <w:sz w:val="20"/>
          <w:szCs w:val="20"/>
          <w:color w:val="auto"/>
        </w:rPr>
      </w:pPr>
      <w:r>
        <w:rPr>
          <w:rFonts w:ascii="Arial" w:cs="Arial" w:eastAsia="Arial" w:hAnsi="Arial"/>
          <w:sz w:val="16"/>
          <w:szCs w:val="16"/>
          <w:color w:val="auto"/>
        </w:rPr>
        <w:t>Page 2 of 6</w:t>
      </w:r>
    </w:p>
    <w:p>
      <w:pPr>
        <w:jc w:val="right"/>
        <w:spacing w:after="0"/>
        <w:rPr>
          <w:sz w:val="20"/>
          <w:szCs w:val="20"/>
          <w:color w:val="auto"/>
        </w:rPr>
      </w:pPr>
      <w:r>
        <w:rPr>
          <w:rFonts w:ascii="Arial" w:cs="Arial" w:eastAsia="Arial" w:hAnsi="Arial"/>
          <w:sz w:val="16"/>
          <w:szCs w:val="16"/>
          <w:color w:val="auto"/>
        </w:rPr>
        <w:t>13 DEC 2021</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313"/>
        <w:spacing w:after="0" w:line="238" w:lineRule="auto"/>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Employee Benefits</w:t>
      </w:r>
      <w:r>
        <w:rPr>
          <w:rFonts w:ascii="Arial" w:cs="Arial" w:eastAsia="Arial" w:hAnsi="Arial"/>
          <w:sz w:val="17"/>
          <w:szCs w:val="17"/>
          <w:color w:val="auto"/>
        </w:rPr>
        <w:t>. You will be entitled to participate in employee benefit plans currently and hereafter maintained by the Company of</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applicability to other employees of the Company subject to the eligibility requirements of each such benefit plan. The Company, in its sole discretion, may amend, suspend or terminate its employee benefits at any time, with or without notice. In addition, you will be entitled to paid vacation in accordance with the Company’s vacation policy, as in effect from time to time. We also acknowledge that you have entered, or will enter, into the Severance and Change in Control Agreement with the Company (the “Severance &amp; Change in Control Agreement”).</w:t>
      </w:r>
    </w:p>
    <w:p>
      <w:pPr>
        <w:spacing w:after="0" w:line="167" w:lineRule="exact"/>
        <w:rPr>
          <w:rFonts w:ascii="Arial" w:cs="Arial" w:eastAsia="Arial" w:hAnsi="Arial"/>
          <w:sz w:val="17"/>
          <w:szCs w:val="17"/>
          <w:color w:val="auto"/>
        </w:rPr>
      </w:pPr>
    </w:p>
    <w:p>
      <w:pPr>
        <w:ind w:left="620" w:hanging="307"/>
        <w:spacing w:after="0"/>
        <w:tabs>
          <w:tab w:leader="none" w:pos="620" w:val="left"/>
        </w:tabs>
        <w:numPr>
          <w:ilvl w:val="0"/>
          <w:numId w:val="124"/>
        </w:numPr>
        <w:rPr>
          <w:rFonts w:ascii="Arial" w:cs="Arial" w:eastAsia="Arial" w:hAnsi="Arial"/>
          <w:sz w:val="19"/>
          <w:szCs w:val="19"/>
          <w:color w:val="auto"/>
        </w:rPr>
      </w:pPr>
      <w:r>
        <w:rPr>
          <w:rFonts w:ascii="Arial" w:cs="Arial" w:eastAsia="Arial" w:hAnsi="Arial"/>
          <w:sz w:val="19"/>
          <w:szCs w:val="19"/>
          <w:b w:val="1"/>
          <w:bCs w:val="1"/>
          <w:u w:val="single" w:color="auto"/>
          <w:color w:val="auto"/>
        </w:rPr>
        <w:t>Expenses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firstLine="624"/>
        <w:spacing w:after="0" w:line="220" w:lineRule="auto"/>
        <w:tabs>
          <w:tab w:leader="none" w:pos="1232" w:val="left"/>
        </w:tabs>
        <w:numPr>
          <w:ilvl w:val="1"/>
          <w:numId w:val="124"/>
        </w:numPr>
        <w:rPr>
          <w:rFonts w:ascii="Arial" w:cs="Arial" w:eastAsia="Arial" w:hAnsi="Arial"/>
          <w:sz w:val="19"/>
          <w:szCs w:val="19"/>
          <w:color w:val="auto"/>
        </w:rPr>
      </w:pPr>
      <w:r>
        <w:rPr>
          <w:rFonts w:ascii="Arial" w:cs="Arial" w:eastAsia="Arial" w:hAnsi="Arial"/>
          <w:sz w:val="19"/>
          <w:szCs w:val="19"/>
          <w:color w:val="auto"/>
        </w:rPr>
        <w:t>The Company will reimburse Employee for reasonable travel, entertainment or other expenses incurred by Employee in the furtherance of or in connection with the performance of Employee’s duties hereunder, in accordance with the Company’s expense reimbursement policy as in effect from time to time.</w:t>
      </w:r>
    </w:p>
    <w:p>
      <w:pPr>
        <w:spacing w:after="0" w:line="168" w:lineRule="exact"/>
        <w:rPr>
          <w:rFonts w:ascii="Arial" w:cs="Arial" w:eastAsia="Arial" w:hAnsi="Arial"/>
          <w:sz w:val="19"/>
          <w:szCs w:val="19"/>
          <w:color w:val="auto"/>
        </w:rPr>
      </w:pPr>
    </w:p>
    <w:p>
      <w:pPr>
        <w:jc w:val="both"/>
        <w:ind w:firstLine="313"/>
        <w:spacing w:after="0" w:line="231" w:lineRule="auto"/>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 Agreement</w:t>
      </w:r>
      <w:r>
        <w:rPr>
          <w:rFonts w:ascii="Arial" w:cs="Arial" w:eastAsia="Arial" w:hAnsi="Arial"/>
          <w:sz w:val="17"/>
          <w:szCs w:val="17"/>
          <w:color w:val="auto"/>
        </w:rPr>
        <w:t>. As an employee of the Company, you will have access to certain confidential information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you may, during the course of your employment, develop certain information or inventions that will be the property of the Company. To protect the interests of the Company, you will need to sign the Company’s standard “Employee Invention Assignment and Confidentiality Agreement” as a condition of your employment. We wish to impress upon you that we do not want you to, and we hereby direct you not to, bring with you any confidential or proprietary material of any former employer or to violate any other obligations you may have to any former employer. During the period that you render services to the Company, you agree to not engage in any employment, business or activity that is in any way competitive with the business or proposed business of the Company. You will disclose to the Company in writing any other gainful employment, business or activity that you are currently associated with or participate in that competes with the Company. You will not assist any other person or organization in competing with the Company or in preparing to engage in competition with the business or proposed business of the Company.</w:t>
      </w:r>
    </w:p>
    <w:p>
      <w:pPr>
        <w:spacing w:after="0" w:line="167" w:lineRule="exact"/>
        <w:rPr>
          <w:rFonts w:ascii="Arial" w:cs="Arial" w:eastAsia="Arial" w:hAnsi="Arial"/>
          <w:sz w:val="17"/>
          <w:szCs w:val="17"/>
          <w:color w:val="auto"/>
        </w:rPr>
      </w:pPr>
    </w:p>
    <w:p>
      <w:pPr>
        <w:jc w:val="both"/>
        <w:ind w:firstLine="313"/>
        <w:spacing w:after="0" w:line="217" w:lineRule="auto"/>
        <w:tabs>
          <w:tab w:leader="none" w:pos="620"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Conflicting Obligations</w:t>
      </w:r>
      <w:r>
        <w:rPr>
          <w:rFonts w:ascii="Arial" w:cs="Arial" w:eastAsia="Arial" w:hAnsi="Arial"/>
          <w:sz w:val="18"/>
          <w:szCs w:val="18"/>
          <w:color w:val="auto"/>
        </w:rPr>
        <w:t>. You understand and agree that by signing this letter agreement, you represent to the Company that your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will not breach any other agreement to which you are a party, including, without limitation, any agreement currently in place between your current or past employers,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170" w:lineRule="exact"/>
        <w:rPr>
          <w:rFonts w:ascii="Arial" w:cs="Arial" w:eastAsia="Arial" w:hAnsi="Arial"/>
          <w:sz w:val="18"/>
          <w:szCs w:val="18"/>
          <w:color w:val="auto"/>
        </w:rPr>
      </w:pPr>
    </w:p>
    <w:p>
      <w:pPr>
        <w:jc w:val="both"/>
        <w:ind w:firstLine="313"/>
        <w:spacing w:after="0" w:line="216" w:lineRule="auto"/>
        <w:tabs>
          <w:tab w:leader="none" w:pos="620" w:val="left"/>
        </w:tabs>
        <w:numPr>
          <w:ilvl w:val="0"/>
          <w:numId w:val="124"/>
        </w:numPr>
        <w:rPr>
          <w:rFonts w:ascii="Arial" w:cs="Arial" w:eastAsia="Arial" w:hAnsi="Arial"/>
          <w:sz w:val="19"/>
          <w:szCs w:val="19"/>
          <w:color w:val="auto"/>
        </w:rPr>
      </w:pPr>
      <w:r>
        <w:rPr>
          <w:rFonts w:ascii="Arial" w:cs="Arial" w:eastAsia="Arial" w:hAnsi="Arial"/>
          <w:sz w:val="19"/>
          <w:szCs w:val="19"/>
          <w:b w:val="1"/>
          <w:bCs w:val="1"/>
          <w:u w:val="single" w:color="auto"/>
          <w:color w:val="auto"/>
        </w:rPr>
        <w:t>Outside Activities</w:t>
      </w:r>
      <w:r>
        <w:rPr>
          <w:rFonts w:ascii="Arial" w:cs="Arial" w:eastAsia="Arial" w:hAnsi="Arial"/>
          <w:sz w:val="19"/>
          <w:szCs w:val="19"/>
          <w:color w:val="auto"/>
        </w:rPr>
        <w:t>. While you render services to the Company, you agree that you will not engage in any other employment, consulting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Masaru Matsuda Offer of Employment</w:t>
      </w:r>
    </w:p>
    <w:p>
      <w:pPr>
        <w:jc w:val="right"/>
        <w:spacing w:after="0" w:line="202" w:lineRule="auto"/>
        <w:rPr>
          <w:sz w:val="20"/>
          <w:szCs w:val="20"/>
          <w:color w:val="auto"/>
        </w:rPr>
      </w:pPr>
      <w:r>
        <w:rPr>
          <w:rFonts w:ascii="Arial" w:cs="Arial" w:eastAsia="Arial" w:hAnsi="Arial"/>
          <w:sz w:val="16"/>
          <w:szCs w:val="16"/>
          <w:color w:val="auto"/>
        </w:rPr>
        <w:t>Page 3 of 6</w:t>
      </w:r>
    </w:p>
    <w:p>
      <w:pPr>
        <w:jc w:val="right"/>
        <w:spacing w:after="0"/>
        <w:rPr>
          <w:sz w:val="20"/>
          <w:szCs w:val="20"/>
          <w:color w:val="auto"/>
        </w:rPr>
      </w:pPr>
      <w:r>
        <w:rPr>
          <w:rFonts w:ascii="Arial" w:cs="Arial" w:eastAsia="Arial" w:hAnsi="Arial"/>
          <w:sz w:val="16"/>
          <w:szCs w:val="16"/>
          <w:color w:val="auto"/>
        </w:rPr>
        <w:t>13 DEC 2021</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313"/>
        <w:spacing w:after="0" w:line="222" w:lineRule="auto"/>
        <w:tabs>
          <w:tab w:leader="none" w:pos="620" w:val="left"/>
        </w:tabs>
        <w:numPr>
          <w:ilvl w:val="0"/>
          <w:numId w:val="125"/>
        </w:numPr>
        <w:rPr>
          <w:rFonts w:ascii="Arial" w:cs="Arial" w:eastAsia="Arial" w:hAnsi="Arial"/>
          <w:sz w:val="19"/>
          <w:szCs w:val="19"/>
          <w:color w:val="auto"/>
        </w:rPr>
      </w:pPr>
      <w:r>
        <w:rPr>
          <w:rFonts w:ascii="Arial" w:cs="Arial" w:eastAsia="Arial" w:hAnsi="Arial"/>
          <w:sz w:val="19"/>
          <w:szCs w:val="19"/>
          <w:b w:val="1"/>
          <w:bCs w:val="1"/>
          <w:u w:val="single" w:color="auto"/>
          <w:color w:val="auto"/>
        </w:rPr>
        <w:t>General Obligations</w:t>
      </w:r>
      <w:r>
        <w:rPr>
          <w:rFonts w:ascii="Arial" w:cs="Arial" w:eastAsia="Arial" w:hAnsi="Arial"/>
          <w:sz w:val="19"/>
          <w:szCs w:val="19"/>
          <w:color w:val="auto"/>
        </w:rPr>
        <w:t>. As an employee, you will be expected to adhere to the Company’s standards of professionalism, loyalty, integrity,</w:t>
      </w:r>
      <w:r>
        <w:rPr>
          <w:rFonts w:ascii="Arial" w:cs="Arial" w:eastAsia="Arial" w:hAnsi="Arial"/>
          <w:sz w:val="19"/>
          <w:szCs w:val="19"/>
          <w:b w:val="1"/>
          <w:bCs w:val="1"/>
          <w:color w:val="auto"/>
        </w:rPr>
        <w:t xml:space="preserve"> </w:t>
      </w:r>
      <w:r>
        <w:rPr>
          <w:rFonts w:ascii="Arial" w:cs="Arial" w:eastAsia="Arial" w:hAnsi="Arial"/>
          <w:sz w:val="19"/>
          <w:szCs w:val="19"/>
          <w:color w:val="auto"/>
        </w:rPr>
        <w:t>honesty, reliability and respect for all. You will also be expected to comply with the Company’s policies and procedures. The Company is an equal opportunity employer.</w:t>
      </w:r>
    </w:p>
    <w:p>
      <w:pPr>
        <w:spacing w:after="0" w:line="168" w:lineRule="exact"/>
        <w:rPr>
          <w:rFonts w:ascii="Arial" w:cs="Arial" w:eastAsia="Arial" w:hAnsi="Arial"/>
          <w:sz w:val="19"/>
          <w:szCs w:val="19"/>
          <w:color w:val="auto"/>
        </w:rPr>
      </w:pPr>
    </w:p>
    <w:p>
      <w:pPr>
        <w:jc w:val="both"/>
        <w:ind w:firstLine="313"/>
        <w:spacing w:after="0" w:line="220" w:lineRule="auto"/>
        <w:tabs>
          <w:tab w:leader="none" w:pos="620"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Employment with the Company is for no specific period of time. Your employment with the Company will be on an</w:t>
      </w:r>
      <w:r>
        <w:rPr>
          <w:rFonts w:ascii="Arial" w:cs="Arial" w:eastAsia="Arial" w:hAnsi="Arial"/>
          <w:sz w:val="18"/>
          <w:szCs w:val="18"/>
          <w:b w:val="1"/>
          <w:bCs w:val="1"/>
          <w:color w:val="auto"/>
        </w:rPr>
        <w:t xml:space="preserve"> </w:t>
      </w:r>
      <w:r>
        <w:rPr>
          <w:rFonts w:ascii="Arial" w:cs="Arial" w:eastAsia="Arial" w:hAnsi="Arial"/>
          <w:sz w:val="18"/>
          <w:szCs w:val="18"/>
          <w:color w:val="auto"/>
        </w:rPr>
        <w:t>“at will” 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Further, your participation in ant stock option or benefit program is not to be regarded as assuring you of continuing employment for any particular period of time.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spacing w:after="0" w:line="170" w:lineRule="exact"/>
        <w:rPr>
          <w:rFonts w:ascii="Arial" w:cs="Arial" w:eastAsia="Arial" w:hAnsi="Arial"/>
          <w:sz w:val="18"/>
          <w:szCs w:val="18"/>
          <w:color w:val="auto"/>
        </w:rPr>
      </w:pPr>
    </w:p>
    <w:p>
      <w:pPr>
        <w:jc w:val="both"/>
        <w:ind w:firstLine="313"/>
        <w:spacing w:after="0" w:line="222" w:lineRule="auto"/>
        <w:tabs>
          <w:tab w:leader="none" w:pos="611" w:val="left"/>
        </w:tabs>
        <w:numPr>
          <w:ilvl w:val="0"/>
          <w:numId w:val="125"/>
        </w:numPr>
        <w:rPr>
          <w:rFonts w:ascii="Arial" w:cs="Arial" w:eastAsia="Arial" w:hAnsi="Arial"/>
          <w:sz w:val="19"/>
          <w:szCs w:val="19"/>
          <w:color w:val="auto"/>
        </w:rPr>
      </w:pPr>
      <w:r>
        <w:rPr>
          <w:rFonts w:ascii="Arial" w:cs="Arial" w:eastAsia="Arial" w:hAnsi="Arial"/>
          <w:sz w:val="19"/>
          <w:szCs w:val="19"/>
          <w:b w:val="1"/>
          <w:bCs w:val="1"/>
          <w:u w:val="single" w:color="auto"/>
          <w:color w:val="auto"/>
        </w:rPr>
        <w:t>Authorization to Work</w:t>
      </w:r>
      <w:r>
        <w:rPr>
          <w:rFonts w:ascii="Arial" w:cs="Arial" w:eastAsia="Arial" w:hAnsi="Arial"/>
          <w:sz w:val="19"/>
          <w:szCs w:val="19"/>
          <w:color w:val="auto"/>
        </w:rPr>
        <w:t>. Please note that because of employer regulations adopted in the Immigration Reform and Control Act of 1986,</w:t>
      </w:r>
      <w:r>
        <w:rPr>
          <w:rFonts w:ascii="Arial" w:cs="Arial" w:eastAsia="Arial" w:hAnsi="Arial"/>
          <w:sz w:val="19"/>
          <w:szCs w:val="19"/>
          <w:b w:val="1"/>
          <w:bCs w:val="1"/>
          <w:color w:val="auto"/>
        </w:rPr>
        <w:t xml:space="preserve"> </w:t>
      </w:r>
      <w:r>
        <w:rPr>
          <w:rFonts w:ascii="Arial" w:cs="Arial" w:eastAsia="Arial" w:hAnsi="Arial"/>
          <w:sz w:val="19"/>
          <w:szCs w:val="19"/>
          <w:color w:val="auto"/>
        </w:rPr>
        <w:t>within three (3) business days of starting your new position you will need to present documentation demonstrating that you have authorization to work in the United States.</w:t>
      </w:r>
    </w:p>
    <w:p>
      <w:pPr>
        <w:spacing w:after="0" w:line="168" w:lineRule="exact"/>
        <w:rPr>
          <w:rFonts w:ascii="Arial" w:cs="Arial" w:eastAsia="Arial" w:hAnsi="Arial"/>
          <w:sz w:val="19"/>
          <w:szCs w:val="19"/>
          <w:color w:val="auto"/>
        </w:rPr>
      </w:pPr>
    </w:p>
    <w:p>
      <w:pPr>
        <w:jc w:val="both"/>
        <w:ind w:firstLine="313"/>
        <w:spacing w:after="0" w:line="205" w:lineRule="auto"/>
        <w:tabs>
          <w:tab w:leader="none" w:pos="604" w:val="left"/>
        </w:tabs>
        <w:numPr>
          <w:ilvl w:val="0"/>
          <w:numId w:val="125"/>
        </w:numPr>
        <w:rPr>
          <w:rFonts w:ascii="Arial" w:cs="Arial" w:eastAsia="Arial" w:hAnsi="Arial"/>
          <w:sz w:val="19"/>
          <w:szCs w:val="19"/>
          <w:color w:val="auto"/>
        </w:rPr>
      </w:pPr>
      <w:r>
        <w:rPr>
          <w:rFonts w:ascii="Arial" w:cs="Arial" w:eastAsia="Arial" w:hAnsi="Arial"/>
          <w:sz w:val="19"/>
          <w:szCs w:val="19"/>
          <w:b w:val="1"/>
          <w:bCs w:val="1"/>
          <w:u w:val="single" w:color="auto"/>
          <w:color w:val="auto"/>
        </w:rPr>
        <w:t>Arbitration and Class Action Waiver</w:t>
      </w:r>
      <w:r>
        <w:rPr>
          <w:rFonts w:ascii="Arial" w:cs="Arial" w:eastAsia="Arial" w:hAnsi="Arial"/>
          <w:sz w:val="19"/>
          <w:szCs w:val="19"/>
          <w:color w:val="auto"/>
        </w:rPr>
        <w:t>. You and the Company agree to submit to mandatory binding arbitration any and all claims arising</w:t>
      </w:r>
      <w:r>
        <w:rPr>
          <w:rFonts w:ascii="Arial" w:cs="Arial" w:eastAsia="Arial" w:hAnsi="Arial"/>
          <w:sz w:val="19"/>
          <w:szCs w:val="19"/>
          <w:b w:val="1"/>
          <w:bCs w:val="1"/>
          <w:color w:val="auto"/>
        </w:rPr>
        <w:t xml:space="preserve"> </w:t>
      </w:r>
      <w:r>
        <w:rPr>
          <w:rFonts w:ascii="Arial" w:cs="Arial" w:eastAsia="Arial" w:hAnsi="Arial"/>
          <w:sz w:val="19"/>
          <w:szCs w:val="19"/>
          <w:color w:val="auto"/>
        </w:rPr>
        <w:t>out of or related to your employment with 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except that each party may, at its, his or her option, seek injunctive relief in court related to the improper use, disclosure or misappropriation of a party’s private, proprietary, confidential or trade secret information (collectively, “Arbitrable Claims”). Further, to the fullest extent permitted by law, you and the Company agree that no class or collective actions can be asserted in arbitration or otherwise. All claims, whether in arbitration or otherwise, must be brought solely in your or the Company’s individual capacity, and not as a plaintiff or class member in any purported class or collective proceeding. Nothing in this Arbitration and Class Action Waiver section, however, restricts your right, if any, to file in court a representative action under California Labor Code Sections 2698, et seq.</w:t>
      </w:r>
    </w:p>
    <w:p>
      <w:pPr>
        <w:spacing w:after="0" w:line="181" w:lineRule="exact"/>
        <w:rPr>
          <w:sz w:val="20"/>
          <w:szCs w:val="20"/>
          <w:color w:val="auto"/>
        </w:rPr>
      </w:pPr>
    </w:p>
    <w:p>
      <w:pPr>
        <w:jc w:val="both"/>
        <w:ind w:firstLine="620"/>
        <w:spacing w:after="0" w:line="232" w:lineRule="auto"/>
        <w:rPr>
          <w:sz w:val="20"/>
          <w:szCs w:val="20"/>
          <w:color w:val="auto"/>
        </w:rPr>
      </w:pPr>
      <w:r>
        <w:rPr>
          <w:rFonts w:ascii="Arial" w:cs="Arial" w:eastAsia="Arial" w:hAnsi="Arial"/>
          <w:sz w:val="18"/>
          <w:szCs w:val="18"/>
          <w:color w:val="auto"/>
        </w:rPr>
        <w:t>SUBJECT TO THE ABOVE PROVISO, THE PARTIES HEREBY WAIVE ANY RIGHTS THEY MAY HAVE TO TRIAL BY JURY IN REGARD TO ARBITRABLE CLAIMS. THE PARTIES FURTHER WAIVE ANY RIGHTS THEY MAY HAVE TO PURSUE OR PARTICIPATE IN A CLASS OR COLLECTIVE ACTION PERTAINING TO ANY ARBITRABLE CLAIMS BETWEEN YOU AND THE COMPANY.</w:t>
      </w:r>
    </w:p>
    <w:p>
      <w:pPr>
        <w:spacing w:after="0" w:line="175" w:lineRule="exact"/>
        <w:rPr>
          <w:sz w:val="20"/>
          <w:szCs w:val="20"/>
          <w:color w:val="auto"/>
        </w:rPr>
      </w:pPr>
    </w:p>
    <w:p>
      <w:pPr>
        <w:jc w:val="both"/>
        <w:ind w:firstLine="620"/>
        <w:spacing w:after="0" w:line="221" w:lineRule="auto"/>
        <w:rPr>
          <w:sz w:val="20"/>
          <w:szCs w:val="20"/>
          <w:color w:val="auto"/>
        </w:rPr>
      </w:pPr>
      <w:r>
        <w:rPr>
          <w:rFonts w:ascii="Arial" w:cs="Arial" w:eastAsia="Arial" w:hAnsi="Arial"/>
          <w:sz w:val="18"/>
          <w:szCs w:val="18"/>
          <w:color w:val="auto"/>
        </w:rPr>
        <w:t>This Agreement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The arbitration shall be conducted in Orange County, California through JAMS before a single neutral arbitrator, in accordance with the JAMS employment arbitration rules then in effect. The JAMS rules may be found and reviewed at http://www.jamsadr.com/rules-employment-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Masaru Matsuda Offer of Employment</w:t>
      </w:r>
    </w:p>
    <w:p>
      <w:pPr>
        <w:jc w:val="right"/>
        <w:spacing w:after="0" w:line="202" w:lineRule="auto"/>
        <w:rPr>
          <w:sz w:val="20"/>
          <w:szCs w:val="20"/>
          <w:color w:val="auto"/>
        </w:rPr>
      </w:pPr>
      <w:r>
        <w:rPr>
          <w:rFonts w:ascii="Arial" w:cs="Arial" w:eastAsia="Arial" w:hAnsi="Arial"/>
          <w:sz w:val="16"/>
          <w:szCs w:val="16"/>
          <w:color w:val="auto"/>
        </w:rPr>
        <w:t>Page 4 of 6</w:t>
      </w:r>
    </w:p>
    <w:p>
      <w:pPr>
        <w:jc w:val="right"/>
        <w:spacing w:after="0"/>
        <w:rPr>
          <w:sz w:val="20"/>
          <w:szCs w:val="20"/>
          <w:color w:val="auto"/>
        </w:rPr>
      </w:pPr>
      <w:r>
        <w:rPr>
          <w:rFonts w:ascii="Arial" w:cs="Arial" w:eastAsia="Arial" w:hAnsi="Arial"/>
          <w:sz w:val="16"/>
          <w:szCs w:val="16"/>
          <w:color w:val="auto"/>
        </w:rPr>
        <w:t>13 DEC 2021</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11" w:lineRule="auto"/>
        <w:rPr>
          <w:sz w:val="20"/>
          <w:szCs w:val="20"/>
          <w:color w:val="auto"/>
        </w:rPr>
      </w:pPr>
      <w:r>
        <w:rPr>
          <w:rFonts w:ascii="Arial" w:cs="Arial" w:eastAsia="Arial" w:hAnsi="Arial"/>
          <w:sz w:val="19"/>
          <w:szCs w:val="19"/>
          <w:color w:val="auto"/>
        </w:rPr>
        <w:t>arbitration. If you are unable to access these rules, please let me know and I will provide you with a hardcopy. The arbitrator shall issue a written decision that contains the essential findings and conclusions on which the decision is based. The arbitration provisions of this Agreement shall be governed by and enforceable pursuant to the Federal Arbitration Act. In all other respects for provisions not governed by the Federal Arbitration Act, this employment letter agreement shall be construed in accordance with the laws of the State of California, without reference to conflicts of law principles.</w:t>
      </w:r>
    </w:p>
    <w:p>
      <w:pPr>
        <w:spacing w:after="0" w:line="171" w:lineRule="exact"/>
        <w:rPr>
          <w:sz w:val="20"/>
          <w:szCs w:val="20"/>
          <w:color w:val="auto"/>
        </w:rPr>
      </w:pPr>
    </w:p>
    <w:p>
      <w:pPr>
        <w:jc w:val="both"/>
        <w:ind w:firstLine="313"/>
        <w:spacing w:after="0" w:line="235" w:lineRule="auto"/>
        <w:tabs>
          <w:tab w:leader="none" w:pos="611" w:val="left"/>
        </w:tabs>
        <w:numPr>
          <w:ilvl w:val="0"/>
          <w:numId w:val="126"/>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employment letter agreement, once accepted, together with the Severance &amp; Change in Control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Employee Invention Assignment and Confidentiality Agreement, constitute the entire agreement between you and the Company with respect to the subject matter hereof and supersedes all prior offers, negotiations and agreements, if any, whether written or oral, relating to such subject matter. You acknowledge that neither the Company nor its agents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w:t>
      </w:r>
    </w:p>
    <w:p>
      <w:pPr>
        <w:spacing w:after="0" w:line="169" w:lineRule="exact"/>
        <w:rPr>
          <w:rFonts w:ascii="Arial" w:cs="Arial" w:eastAsia="Arial" w:hAnsi="Arial"/>
          <w:sz w:val="17"/>
          <w:szCs w:val="17"/>
          <w:color w:val="auto"/>
        </w:rPr>
      </w:pPr>
    </w:p>
    <w:p>
      <w:pPr>
        <w:jc w:val="both"/>
        <w:ind w:firstLine="313"/>
        <w:spacing w:after="0" w:line="216" w:lineRule="auto"/>
        <w:tabs>
          <w:tab w:leader="none" w:pos="611" w:val="left"/>
        </w:tabs>
        <w:numPr>
          <w:ilvl w:val="0"/>
          <w:numId w:val="126"/>
        </w:numPr>
        <w:rPr>
          <w:rFonts w:ascii="Arial" w:cs="Arial" w:eastAsia="Arial" w:hAnsi="Arial"/>
          <w:sz w:val="19"/>
          <w:szCs w:val="19"/>
          <w:color w:val="auto"/>
        </w:rPr>
      </w:pPr>
      <w:r>
        <w:rPr>
          <w:rFonts w:ascii="Arial" w:cs="Arial" w:eastAsia="Arial" w:hAnsi="Arial"/>
          <w:sz w:val="19"/>
          <w:szCs w:val="19"/>
          <w:b w:val="1"/>
          <w:bCs w:val="1"/>
          <w:u w:val="single" w:color="auto"/>
          <w:color w:val="auto"/>
        </w:rPr>
        <w:t>Acceptance</w:t>
      </w:r>
      <w:r>
        <w:rPr>
          <w:rFonts w:ascii="Arial" w:cs="Arial" w:eastAsia="Arial" w:hAnsi="Arial"/>
          <w:sz w:val="19"/>
          <w:szCs w:val="19"/>
          <w:color w:val="auto"/>
        </w:rPr>
        <w:t>. This offer will remain open until Friday, December 17, 2021. If you decide to accept our offer, and I hope you will, please</w:t>
      </w:r>
      <w:r>
        <w:rPr>
          <w:rFonts w:ascii="Arial" w:cs="Arial" w:eastAsia="Arial" w:hAnsi="Arial"/>
          <w:sz w:val="19"/>
          <w:szCs w:val="19"/>
          <w:b w:val="1"/>
          <w:bCs w:val="1"/>
          <w:color w:val="auto"/>
        </w:rPr>
        <w:t xml:space="preserve"> </w:t>
      </w:r>
      <w:r>
        <w:rPr>
          <w:rFonts w:ascii="Arial" w:cs="Arial" w:eastAsia="Arial" w:hAnsi="Arial"/>
          <w:sz w:val="19"/>
          <w:szCs w:val="19"/>
          <w:color w:val="auto"/>
        </w:rPr>
        <w:t>sign the enclosed copy of this letter in the space indicated and return it to me. Your signature will acknowledge that you have read and understood and agreed to the terms and conditions of this offer letter and the attached documents, if any. Should you have anything else that you wish to discuss, please do not hesitate to call me.</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We look forward to the opportunity to welcome you to the Company.</w:t>
      </w:r>
    </w:p>
    <w:p>
      <w:pPr>
        <w:spacing w:after="0" w:line="195"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Masaru Matsuda Offer of Employment</w:t>
      </w:r>
    </w:p>
    <w:p>
      <w:pPr>
        <w:jc w:val="right"/>
        <w:spacing w:after="0" w:line="202" w:lineRule="auto"/>
        <w:rPr>
          <w:sz w:val="20"/>
          <w:szCs w:val="20"/>
          <w:color w:val="auto"/>
        </w:rPr>
      </w:pPr>
      <w:r>
        <w:rPr>
          <w:rFonts w:ascii="Arial" w:cs="Arial" w:eastAsia="Arial" w:hAnsi="Arial"/>
          <w:sz w:val="16"/>
          <w:szCs w:val="16"/>
          <w:color w:val="auto"/>
        </w:rPr>
        <w:t>Page 5 of 6</w:t>
      </w:r>
    </w:p>
    <w:p>
      <w:pPr>
        <w:jc w:val="right"/>
        <w:spacing w:after="0"/>
        <w:rPr>
          <w:sz w:val="20"/>
          <w:szCs w:val="20"/>
          <w:color w:val="auto"/>
        </w:rPr>
      </w:pPr>
      <w:r>
        <w:rPr>
          <w:rFonts w:ascii="Arial" w:cs="Arial" w:eastAsia="Arial" w:hAnsi="Arial"/>
          <w:sz w:val="16"/>
          <w:szCs w:val="16"/>
          <w:color w:val="auto"/>
        </w:rPr>
        <w:t>13 DEC 2021</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20" w:lineRule="auto"/>
        <w:rPr>
          <w:sz w:val="20"/>
          <w:szCs w:val="20"/>
          <w:color w:val="auto"/>
        </w:rPr>
      </w:pPr>
      <w:r>
        <w:rPr>
          <w:rFonts w:ascii="Arial" w:cs="Arial" w:eastAsia="Arial" w:hAnsi="Arial"/>
          <w:sz w:val="19"/>
          <w:szCs w:val="19"/>
          <w:color w:val="auto"/>
        </w:rPr>
        <w:t>This letter agreement supersedes and replaces any prior understandings or agreements, whether oral, written or implied, between you and the Company regarding the matters described in this letter. This letter will be governed by the laws of California, without regard to its conflict of laws provisions.</w:t>
      </w:r>
    </w:p>
    <w:p>
      <w:pPr>
        <w:spacing w:after="0" w:line="174"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ARCUTIS BIOTHERAPEUTICS, INC.</w:t>
      </w:r>
    </w:p>
    <w:p>
      <w:pPr>
        <w:spacing w:after="0" w:line="173" w:lineRule="exact"/>
        <w:rPr>
          <w:sz w:val="20"/>
          <w:szCs w:val="20"/>
          <w:color w:val="auto"/>
        </w:rPr>
      </w:pPr>
    </w:p>
    <w:p>
      <w:pPr>
        <w:ind w:left="3420"/>
        <w:spacing w:after="0"/>
        <w:tabs>
          <w:tab w:leader="none" w:pos="38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6"/>
          <w:szCs w:val="16"/>
          <w:color w:val="auto"/>
        </w:rPr>
        <w:t>/s/ Todd Franklin Watanabe</w:t>
      </w:r>
    </w:p>
    <w:p>
      <w:pPr>
        <w:ind w:left="3420"/>
        <w:spacing w:after="0"/>
        <w:tabs>
          <w:tab w:leader="none" w:pos="39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ACCEPTED AND AGREED:</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By: /s/ Mas Matsuda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Date: December 13, 2021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Employment Letter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Masaru Matsuda Offer of Employment</w:t>
      </w:r>
    </w:p>
    <w:p>
      <w:pPr>
        <w:jc w:val="right"/>
        <w:spacing w:after="0" w:line="202" w:lineRule="auto"/>
        <w:rPr>
          <w:sz w:val="20"/>
          <w:szCs w:val="20"/>
          <w:color w:val="auto"/>
        </w:rPr>
      </w:pPr>
      <w:r>
        <w:rPr>
          <w:rFonts w:ascii="Arial" w:cs="Arial" w:eastAsia="Arial" w:hAnsi="Arial"/>
          <w:sz w:val="16"/>
          <w:szCs w:val="16"/>
          <w:color w:val="auto"/>
        </w:rPr>
        <w:t>Page 6 of 6</w:t>
      </w:r>
    </w:p>
    <w:p>
      <w:pPr>
        <w:jc w:val="right"/>
        <w:spacing w:after="0"/>
        <w:rPr>
          <w:sz w:val="20"/>
          <w:szCs w:val="20"/>
          <w:color w:val="auto"/>
        </w:rPr>
      </w:pPr>
      <w:r>
        <w:rPr>
          <w:rFonts w:ascii="Arial" w:cs="Arial" w:eastAsia="Arial" w:hAnsi="Arial"/>
          <w:sz w:val="16"/>
          <w:szCs w:val="16"/>
          <w:color w:val="auto"/>
        </w:rPr>
        <w:t>13 DEC 2021</w:t>
      </w:r>
    </w:p>
    <w:p>
      <w:pPr>
        <w:sectPr>
          <w:pgSz w:w="11900" w:h="16838" w:orient="portrait"/>
          <w:cols w:equalWidth="0" w:num="1">
            <w:col w:w="11240"/>
          </w:cols>
          <w:pgMar w:left="320" w:top="1440" w:right="3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9"/>
          <w:szCs w:val="19"/>
          <w:b w:val="1"/>
          <w:bCs w:val="1"/>
          <w:color w:val="auto"/>
        </w:rPr>
        <w:t>Arcutis Biotherapeutics, Inc.</w:t>
      </w:r>
    </w:p>
    <w:p>
      <w:pPr>
        <w:jc w:val="center"/>
        <w:spacing w:after="0"/>
        <w:rPr>
          <w:sz w:val="20"/>
          <w:szCs w:val="20"/>
          <w:color w:val="auto"/>
        </w:rPr>
      </w:pPr>
      <w:r>
        <w:rPr>
          <w:rFonts w:ascii="Arial" w:cs="Arial" w:eastAsia="Arial" w:hAnsi="Arial"/>
          <w:sz w:val="19"/>
          <w:szCs w:val="19"/>
          <w:b w:val="1"/>
          <w:bCs w:val="1"/>
          <w:color w:val="auto"/>
        </w:rPr>
        <w:t>Severance &amp; Change in Control Agreement</w:t>
      </w:r>
    </w:p>
    <w:p>
      <w:pPr>
        <w:spacing w:after="0" w:line="354" w:lineRule="exact"/>
        <w:rPr>
          <w:sz w:val="20"/>
          <w:szCs w:val="20"/>
          <w:color w:val="auto"/>
        </w:rPr>
      </w:pPr>
    </w:p>
    <w:p>
      <w:pPr>
        <w:jc w:val="both"/>
        <w:ind w:firstLine="620"/>
        <w:spacing w:after="0" w:line="222" w:lineRule="auto"/>
        <w:rPr>
          <w:sz w:val="20"/>
          <w:szCs w:val="20"/>
          <w:color w:val="auto"/>
        </w:rPr>
      </w:pPr>
      <w:r>
        <w:rPr>
          <w:rFonts w:ascii="Arial" w:cs="Arial" w:eastAsia="Arial" w:hAnsi="Arial"/>
          <w:sz w:val="19"/>
          <w:szCs w:val="19"/>
          <w:color w:val="auto"/>
        </w:rPr>
        <w:t>This Severance &amp; Change in Control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by and between Masaru Matsuda (the “</w:t>
      </w:r>
      <w:r>
        <w:rPr>
          <w:rFonts w:ascii="Arial" w:cs="Arial" w:eastAsia="Arial" w:hAnsi="Arial"/>
          <w:sz w:val="19"/>
          <w:szCs w:val="19"/>
          <w:b w:val="1"/>
          <w:bCs w:val="1"/>
          <w:color w:val="auto"/>
        </w:rPr>
        <w:t>Executive</w:t>
      </w:r>
      <w:r>
        <w:rPr>
          <w:rFonts w:ascii="Arial" w:cs="Arial" w:eastAsia="Arial" w:hAnsi="Arial"/>
          <w:sz w:val="19"/>
          <w:szCs w:val="19"/>
          <w:color w:val="auto"/>
        </w:rPr>
        <w:t>”) and Arcutis Biotherapeutics, Inc., a Delaware company (the “</w:t>
      </w:r>
      <w:r>
        <w:rPr>
          <w:rFonts w:ascii="Arial" w:cs="Arial" w:eastAsia="Arial" w:hAnsi="Arial"/>
          <w:sz w:val="19"/>
          <w:szCs w:val="19"/>
          <w:b w:val="1"/>
          <w:bCs w:val="1"/>
          <w:color w:val="auto"/>
        </w:rPr>
        <w:t>Company</w:t>
      </w:r>
      <w:r>
        <w:rPr>
          <w:rFonts w:ascii="Arial" w:cs="Arial" w:eastAsia="Arial" w:hAnsi="Arial"/>
          <w:sz w:val="19"/>
          <w:szCs w:val="19"/>
          <w:color w:val="auto"/>
        </w:rPr>
        <w:t>”), and is effective as of the date that this Agreement is signed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56" w:lineRule="exact"/>
        <w:rPr>
          <w:sz w:val="20"/>
          <w:szCs w:val="20"/>
          <w:color w:val="auto"/>
        </w:rPr>
      </w:pPr>
    </w:p>
    <w:p>
      <w:pPr>
        <w:ind w:left="620" w:hanging="617"/>
        <w:spacing w:after="0"/>
        <w:tabs>
          <w:tab w:leader="none" w:pos="620" w:val="left"/>
        </w:tabs>
        <w:numPr>
          <w:ilvl w:val="0"/>
          <w:numId w:val="127"/>
        </w:numPr>
        <w:rPr>
          <w:rFonts w:ascii="Arial" w:cs="Arial" w:eastAsia="Arial" w:hAnsi="Arial"/>
          <w:sz w:val="21"/>
          <w:szCs w:val="21"/>
          <w:color w:val="010000"/>
        </w:rPr>
      </w:pPr>
      <w:r>
        <w:rPr>
          <w:rFonts w:ascii="Arial" w:cs="Arial" w:eastAsia="Arial" w:hAnsi="Arial"/>
          <w:sz w:val="19"/>
          <w:szCs w:val="19"/>
          <w:b w:val="1"/>
          <w:bCs w:val="1"/>
          <w:color w:val="auto"/>
        </w:rPr>
        <w:t>Term of Agreement.</w:t>
      </w:r>
    </w:p>
    <w:p>
      <w:pPr>
        <w:spacing w:after="0" w:line="165" w:lineRule="exact"/>
        <w:rPr>
          <w:sz w:val="20"/>
          <w:szCs w:val="20"/>
          <w:color w:val="auto"/>
        </w:rPr>
      </w:pPr>
    </w:p>
    <w:p>
      <w:pPr>
        <w:jc w:val="both"/>
        <w:ind w:firstLine="620"/>
        <w:spacing w:after="0" w:line="220" w:lineRule="auto"/>
        <w:rPr>
          <w:sz w:val="20"/>
          <w:szCs w:val="20"/>
          <w:color w:val="auto"/>
        </w:rPr>
      </w:pPr>
      <w:r>
        <w:rPr>
          <w:rFonts w:ascii="Arial" w:cs="Arial" w:eastAsia="Arial" w:hAnsi="Arial"/>
          <w:sz w:val="19"/>
          <w:szCs w:val="19"/>
          <w:color w:val="auto"/>
        </w:rPr>
        <w:t>This Agreement shall terminate on the earlier of (i) the date Executive’s employment with the Company terminates for a reason other than a Qualifying Termination, or (ii) the date the Company has met all of its obligations under this Agreement following a Qualifying Termination (the “</w:t>
      </w:r>
      <w:r>
        <w:rPr>
          <w:rFonts w:ascii="Arial" w:cs="Arial" w:eastAsia="Arial" w:hAnsi="Arial"/>
          <w:sz w:val="19"/>
          <w:szCs w:val="19"/>
          <w:b w:val="1"/>
          <w:bCs w:val="1"/>
          <w:color w:val="auto"/>
        </w:rPr>
        <w:t>Expiration Date</w:t>
      </w:r>
      <w:r>
        <w:rPr>
          <w:rFonts w:ascii="Arial" w:cs="Arial" w:eastAsia="Arial" w:hAnsi="Arial"/>
          <w:sz w:val="19"/>
          <w:szCs w:val="19"/>
          <w:color w:val="auto"/>
        </w:rPr>
        <w:t>”).</w:t>
      </w:r>
    </w:p>
    <w:p>
      <w:pPr>
        <w:spacing w:after="0" w:line="156" w:lineRule="exact"/>
        <w:rPr>
          <w:sz w:val="20"/>
          <w:szCs w:val="20"/>
          <w:color w:val="auto"/>
        </w:rPr>
      </w:pPr>
    </w:p>
    <w:p>
      <w:pPr>
        <w:ind w:left="620" w:hanging="617"/>
        <w:spacing w:after="0"/>
        <w:tabs>
          <w:tab w:leader="none" w:pos="620" w:val="left"/>
        </w:tabs>
        <w:numPr>
          <w:ilvl w:val="0"/>
          <w:numId w:val="128"/>
        </w:numPr>
        <w:rPr>
          <w:rFonts w:ascii="Arial" w:cs="Arial" w:eastAsia="Arial" w:hAnsi="Arial"/>
          <w:sz w:val="21"/>
          <w:szCs w:val="21"/>
          <w:color w:val="010000"/>
        </w:rPr>
      </w:pPr>
      <w:r>
        <w:rPr>
          <w:rFonts w:ascii="Arial" w:cs="Arial" w:eastAsia="Arial" w:hAnsi="Arial"/>
          <w:sz w:val="19"/>
          <w:szCs w:val="19"/>
          <w:b w:val="1"/>
          <w:bCs w:val="1"/>
          <w:color w:val="auto"/>
        </w:rPr>
        <w:t>Severance Benefit.</w:t>
      </w:r>
    </w:p>
    <w:p>
      <w:pPr>
        <w:spacing w:after="0" w:line="165" w:lineRule="exact"/>
        <w:rPr>
          <w:sz w:val="20"/>
          <w:szCs w:val="20"/>
          <w:color w:val="auto"/>
        </w:rPr>
      </w:pPr>
    </w:p>
    <w:p>
      <w:pPr>
        <w:jc w:val="both"/>
        <w:ind w:firstLine="620"/>
        <w:spacing w:after="0" w:line="230" w:lineRule="auto"/>
        <w:rPr>
          <w:sz w:val="20"/>
          <w:szCs w:val="20"/>
          <w:color w:val="auto"/>
        </w:rPr>
      </w:pPr>
      <w:r>
        <w:rPr>
          <w:rFonts w:ascii="Arial" w:cs="Arial" w:eastAsia="Arial" w:hAnsi="Arial"/>
          <w:sz w:val="17"/>
          <w:szCs w:val="17"/>
          <w:color w:val="auto"/>
        </w:rPr>
        <w:t>Executive’s receipt of any payments or benefits under Section 2 is subject to (I) Executive’s continued compliance with any confidential information agreement or restrictive covenant agreement by and between Executive and the Company, including, without limitation that certain Employee Invention Assignment and Confidentiality Agreement by and between Executive and the Company and any restrictive covenants contained in any employment agreement or offer letter agreement by and between Executive and the Company, and (II) Executive’s delivery to the Company of a general release (in a form prescribed by the Company) of all known and unknown claims that he or she may then have against the Company or persons affiliated with the Company (the “</w:t>
      </w:r>
      <w:r>
        <w:rPr>
          <w:rFonts w:ascii="Arial" w:cs="Arial" w:eastAsia="Arial" w:hAnsi="Arial"/>
          <w:sz w:val="17"/>
          <w:szCs w:val="17"/>
          <w:b w:val="1"/>
          <w:bCs w:val="1"/>
          <w:color w:val="auto"/>
        </w:rPr>
        <w:t>Release</w:t>
      </w:r>
      <w:r>
        <w:rPr>
          <w:rFonts w:ascii="Arial" w:cs="Arial" w:eastAsia="Arial" w:hAnsi="Arial"/>
          <w:sz w:val="17"/>
          <w:szCs w:val="17"/>
          <w:color w:val="auto"/>
        </w:rPr>
        <w:t>”), and satisfaction of all conditions to make the Release effective, within sixty (60) days (or such shorter period required by the Company) (the “</w:t>
      </w:r>
      <w:r>
        <w:rPr>
          <w:rFonts w:ascii="Arial" w:cs="Arial" w:eastAsia="Arial" w:hAnsi="Arial"/>
          <w:sz w:val="17"/>
          <w:szCs w:val="17"/>
          <w:b w:val="1"/>
          <w:bCs w:val="1"/>
          <w:color w:val="auto"/>
        </w:rPr>
        <w:t>Release Period</w:t>
      </w:r>
      <w:r>
        <w:rPr>
          <w:rFonts w:ascii="Arial" w:cs="Arial" w:eastAsia="Arial" w:hAnsi="Arial"/>
          <w:sz w:val="17"/>
          <w:szCs w:val="17"/>
          <w:color w:val="auto"/>
        </w:rPr>
        <w:t>”) following Executive’s Qualifying Termination, notwithstanding any other provision of this Agreement. In no event will any payment or benefits under Section 2 be paid or provided until the Release becomes effective and irrevocable or in the event Executive violates any agreement set forth in subsection (I) in the foregoing sentence.</w:t>
      </w:r>
    </w:p>
    <w:p>
      <w:pPr>
        <w:spacing w:after="0" w:line="143" w:lineRule="exact"/>
        <w:rPr>
          <w:sz w:val="20"/>
          <w:szCs w:val="20"/>
          <w:color w:val="auto"/>
        </w:rPr>
      </w:pPr>
    </w:p>
    <w:p>
      <w:pPr>
        <w:ind w:firstLine="624"/>
        <w:spacing w:after="0" w:line="234" w:lineRule="auto"/>
        <w:tabs>
          <w:tab w:leader="none" w:pos="1231" w:val="left"/>
        </w:tabs>
        <w:numPr>
          <w:ilvl w:val="0"/>
          <w:numId w:val="129"/>
        </w:numPr>
        <w:rPr>
          <w:rFonts w:ascii="Arial" w:cs="Arial" w:eastAsia="Arial" w:hAnsi="Arial"/>
          <w:sz w:val="19"/>
          <w:szCs w:val="19"/>
          <w:color w:val="010000"/>
        </w:rPr>
      </w:pPr>
      <w:r>
        <w:rPr>
          <w:rFonts w:ascii="Arial" w:cs="Arial" w:eastAsia="Arial" w:hAnsi="Arial"/>
          <w:sz w:val="19"/>
          <w:szCs w:val="19"/>
          <w:b w:val="1"/>
          <w:bCs w:val="1"/>
          <w:color w:val="auto"/>
        </w:rPr>
        <w:t xml:space="preserve">Qualifying Termination Outside of a Change in Control Period. </w:t>
      </w:r>
      <w:r>
        <w:rPr>
          <w:rFonts w:ascii="Arial" w:cs="Arial" w:eastAsia="Arial" w:hAnsi="Arial"/>
          <w:sz w:val="19"/>
          <w:szCs w:val="19"/>
          <w:color w:val="auto"/>
        </w:rPr>
        <w:t>If the Executive is subject to a Qualifying Termination outside</w:t>
      </w:r>
      <w:r>
        <w:rPr>
          <w:rFonts w:ascii="Arial" w:cs="Arial" w:eastAsia="Arial" w:hAnsi="Arial"/>
          <w:sz w:val="19"/>
          <w:szCs w:val="19"/>
          <w:b w:val="1"/>
          <w:bCs w:val="1"/>
          <w:color w:val="auto"/>
        </w:rPr>
        <w:t xml:space="preserve"> </w:t>
      </w:r>
      <w:r>
        <w:rPr>
          <w:rFonts w:ascii="Arial" w:cs="Arial" w:eastAsia="Arial" w:hAnsi="Arial"/>
          <w:sz w:val="19"/>
          <w:szCs w:val="19"/>
          <w:color w:val="auto"/>
        </w:rPr>
        <w:t>of a Change in Control Period, the Executive shall be entitled to the following:</w:t>
      </w:r>
    </w:p>
    <w:p>
      <w:pPr>
        <w:spacing w:after="0" w:line="161" w:lineRule="exact"/>
        <w:rPr>
          <w:rFonts w:ascii="Arial" w:cs="Arial" w:eastAsia="Arial" w:hAnsi="Arial"/>
          <w:sz w:val="19"/>
          <w:szCs w:val="19"/>
          <w:color w:val="010000"/>
        </w:rPr>
      </w:pPr>
    </w:p>
    <w:p>
      <w:pPr>
        <w:jc w:val="both"/>
        <w:ind w:firstLine="1244"/>
        <w:spacing w:after="0" w:line="208" w:lineRule="auto"/>
        <w:tabs>
          <w:tab w:leader="none" w:pos="1849" w:val="left"/>
        </w:tabs>
        <w:numPr>
          <w:ilvl w:val="1"/>
          <w:numId w:val="129"/>
        </w:numPr>
        <w:rPr>
          <w:rFonts w:ascii="Arial" w:cs="Arial" w:eastAsia="Arial" w:hAnsi="Arial"/>
          <w:sz w:val="21"/>
          <w:szCs w:val="21"/>
          <w:color w:val="010000"/>
        </w:rPr>
      </w:pPr>
      <w:r>
        <w:rPr>
          <w:rFonts w:ascii="Arial" w:cs="Arial" w:eastAsia="Arial" w:hAnsi="Arial"/>
          <w:sz w:val="19"/>
          <w:szCs w:val="19"/>
          <w:u w:val="single" w:color="auto"/>
          <w:color w:val="auto"/>
        </w:rPr>
        <w:t>Severance Payments</w:t>
      </w:r>
      <w:r>
        <w:rPr>
          <w:rFonts w:ascii="Arial" w:cs="Arial" w:eastAsia="Arial" w:hAnsi="Arial"/>
          <w:sz w:val="19"/>
          <w:szCs w:val="19"/>
          <w:color w:val="auto"/>
        </w:rPr>
        <w:t>. The Company shall pay Executive nine (9) months of Executive’s base salary at the rate in effect immediately prior to the Qualifying Termination (the “</w:t>
      </w:r>
      <w:r>
        <w:rPr>
          <w:rFonts w:ascii="Arial" w:cs="Arial" w:eastAsia="Arial" w:hAnsi="Arial"/>
          <w:sz w:val="19"/>
          <w:szCs w:val="19"/>
          <w:b w:val="1"/>
          <w:bCs w:val="1"/>
          <w:color w:val="auto"/>
        </w:rPr>
        <w:t>Severance</w:t>
      </w:r>
      <w:r>
        <w:rPr>
          <w:rFonts w:ascii="Arial" w:cs="Arial" w:eastAsia="Arial" w:hAnsi="Arial"/>
          <w:sz w:val="19"/>
          <w:szCs w:val="19"/>
          <w:color w:val="auto"/>
        </w:rPr>
        <w:t>”). The Severance shall be paid out in substantially equal installments in accordance with the Company’s payroll practice over the total number of months of Severance commencing the first payroll period more than 60 days after the Qualifying Termination, subject to the Release becoming effective prior to such time (with the first payment to include all amounts that otherwise would have been paid through such date). Solely for purposes of Section 409A of the Code, each installment payment is considered a separate payment.</w:t>
      </w:r>
    </w:p>
    <w:p>
      <w:pPr>
        <w:spacing w:after="0" w:line="161" w:lineRule="exact"/>
        <w:rPr>
          <w:rFonts w:ascii="Arial" w:cs="Arial" w:eastAsia="Arial" w:hAnsi="Arial"/>
          <w:sz w:val="21"/>
          <w:szCs w:val="21"/>
          <w:color w:val="010000"/>
        </w:rPr>
      </w:pPr>
    </w:p>
    <w:p>
      <w:pPr>
        <w:jc w:val="both"/>
        <w:ind w:firstLine="1244"/>
        <w:spacing w:after="0" w:line="216" w:lineRule="auto"/>
        <w:tabs>
          <w:tab w:leader="none" w:pos="1855" w:val="left"/>
        </w:tabs>
        <w:numPr>
          <w:ilvl w:val="1"/>
          <w:numId w:val="129"/>
        </w:numPr>
        <w:rPr>
          <w:rFonts w:ascii="Arial" w:cs="Arial" w:eastAsia="Arial" w:hAnsi="Arial"/>
          <w:sz w:val="20"/>
          <w:szCs w:val="20"/>
          <w:color w:val="010000"/>
        </w:rPr>
      </w:pPr>
      <w:r>
        <w:rPr>
          <w:rFonts w:ascii="Arial" w:cs="Arial" w:eastAsia="Arial" w:hAnsi="Arial"/>
          <w:sz w:val="18"/>
          <w:szCs w:val="18"/>
          <w:u w:val="single" w:color="auto"/>
          <w:color w:val="auto"/>
        </w:rPr>
        <w:t>Health Care Benefit</w:t>
      </w:r>
      <w:r>
        <w:rPr>
          <w:rFonts w:ascii="Arial" w:cs="Arial" w:eastAsia="Arial" w:hAnsi="Arial"/>
          <w:sz w:val="18"/>
          <w:szCs w:val="18"/>
          <w:color w:val="auto"/>
        </w:rPr>
        <w:t>. If the Executive elects to continue his or her health insurance coverage under the Consolidated Omnibus Budget Reconciliation Act (“</w:t>
      </w:r>
      <w:r>
        <w:rPr>
          <w:rFonts w:ascii="Arial" w:cs="Arial" w:eastAsia="Arial" w:hAnsi="Arial"/>
          <w:sz w:val="18"/>
          <w:szCs w:val="18"/>
          <w:b w:val="1"/>
          <w:bCs w:val="1"/>
          <w:color w:val="auto"/>
        </w:rPr>
        <w:t>COBRA</w:t>
      </w:r>
      <w:r>
        <w:rPr>
          <w:rFonts w:ascii="Arial" w:cs="Arial" w:eastAsia="Arial" w:hAnsi="Arial"/>
          <w:sz w:val="18"/>
          <w:szCs w:val="18"/>
          <w:color w:val="auto"/>
        </w:rPr>
        <w:t xml:space="preserve">”) following the termination of Executive’s employment, then the Company shall pay, or reimburse, the Executive’s monthly premium for Executive and his or her covered dependents under COBRA until the earliest of (A) nine (9) months, (B) the date when the Executive receives similar coverage with a new employer or (C) the expiration of the Executive’s continuation coverage under COBRA; provided that on the first date such amounts become payable as described above, the Company shall pay to Executive a lump sum cash payment equal to the monthly premiums that would have been paid on behalf of Executive had such payments commenced on the date of the Qualifying Termination. Notwithstanding the foregoing, the Company may elect that, in lieu of paying or reimbursing the premiums, the Company shall instead provide Executive with a monthly cash payment equal to the amount the Company would have otherwise paid pursuant to this </w:t>
      </w:r>
      <w:r>
        <w:rPr>
          <w:rFonts w:ascii="Arial" w:cs="Arial" w:eastAsia="Arial" w:hAnsi="Arial"/>
          <w:sz w:val="18"/>
          <w:szCs w:val="18"/>
          <w:u w:val="single" w:color="auto"/>
          <w:color w:val="auto"/>
        </w:rPr>
        <w:t>Section 2(a)(ii)</w:t>
      </w:r>
      <w:r>
        <w:rPr>
          <w:rFonts w:ascii="Arial" w:cs="Arial" w:eastAsia="Arial" w:hAnsi="Arial"/>
          <w:sz w:val="18"/>
          <w:szCs w:val="18"/>
          <w:color w:val="auto"/>
        </w:rPr>
        <w:t>, less applicable tax withholdings.</w:t>
      </w:r>
    </w:p>
    <w:p>
      <w:pPr>
        <w:sectPr>
          <w:pgSz w:w="11900" w:h="16838" w:orient="portrait"/>
          <w:cols w:equalWidth="0" w:num="1">
            <w:col w:w="11240"/>
          </w:cols>
          <w:pgMar w:left="320" w:top="1329" w:right="339" w:bottom="1440" w:gutter="0" w:footer="0" w:header="0"/>
        </w:sectPr>
      </w:pPr>
    </w:p>
    <w:bookmarkStart w:id="189" w:name="page190"/>
    <w:bookmarkEnd w:id="189"/>
    <w:p>
      <w:pPr>
        <w:ind w:left="-624" w:firstLine="624"/>
        <w:spacing w:after="0" w:line="234" w:lineRule="auto"/>
        <w:tabs>
          <w:tab w:leader="none" w:pos="605" w:val="left"/>
        </w:tabs>
        <w:numPr>
          <w:ilvl w:val="0"/>
          <w:numId w:val="130"/>
        </w:numPr>
        <w:rPr>
          <w:rFonts w:ascii="Arial" w:cs="Arial" w:eastAsia="Arial" w:hAnsi="Arial"/>
          <w:sz w:val="19"/>
          <w:szCs w:val="19"/>
          <w:color w:val="010000"/>
        </w:rPr>
      </w:pPr>
      <w:r>
        <w:rPr>
          <w:rFonts w:ascii="Arial" w:cs="Arial" w:eastAsia="Arial" w:hAnsi="Arial"/>
          <w:sz w:val="19"/>
          <w:szCs w:val="19"/>
          <w:b w:val="1"/>
          <w:bCs w:val="1"/>
          <w:color w:val="auto"/>
        </w:rPr>
        <w:t xml:space="preserve">Qualifying Termination During a Change in Control Period. </w:t>
      </w:r>
      <w:r>
        <w:rPr>
          <w:rFonts w:ascii="Arial" w:cs="Arial" w:eastAsia="Arial" w:hAnsi="Arial"/>
          <w:sz w:val="19"/>
          <w:szCs w:val="19"/>
          <w:color w:val="auto"/>
        </w:rPr>
        <w:t>If Executive is subject to a Qualifying Termination during a</w:t>
      </w:r>
      <w:r>
        <w:rPr>
          <w:rFonts w:ascii="Arial" w:cs="Arial" w:eastAsia="Arial" w:hAnsi="Arial"/>
          <w:sz w:val="19"/>
          <w:szCs w:val="19"/>
          <w:b w:val="1"/>
          <w:bCs w:val="1"/>
          <w:color w:val="auto"/>
        </w:rPr>
        <w:t xml:space="preserve"> </w:t>
      </w:r>
      <w:r>
        <w:rPr>
          <w:rFonts w:ascii="Arial" w:cs="Arial" w:eastAsia="Arial" w:hAnsi="Arial"/>
          <w:sz w:val="19"/>
          <w:szCs w:val="19"/>
          <w:color w:val="auto"/>
        </w:rPr>
        <w:t>Change in Control Period, Executive shall be entitled to the following:</w:t>
      </w:r>
    </w:p>
    <w:p>
      <w:pPr>
        <w:spacing w:after="0" w:line="161" w:lineRule="exact"/>
        <w:rPr>
          <w:rFonts w:ascii="Arial" w:cs="Arial" w:eastAsia="Arial" w:hAnsi="Arial"/>
          <w:sz w:val="19"/>
          <w:szCs w:val="19"/>
          <w:color w:val="010000"/>
        </w:rPr>
      </w:pPr>
    </w:p>
    <w:p>
      <w:pPr>
        <w:jc w:val="both"/>
        <w:ind w:left="-624" w:firstLine="1244"/>
        <w:spacing w:after="0" w:line="218" w:lineRule="auto"/>
        <w:tabs>
          <w:tab w:leader="none" w:pos="1225" w:val="left"/>
        </w:tabs>
        <w:numPr>
          <w:ilvl w:val="1"/>
          <w:numId w:val="130"/>
        </w:numPr>
        <w:rPr>
          <w:rFonts w:ascii="Arial" w:cs="Arial" w:eastAsia="Arial" w:hAnsi="Arial"/>
          <w:sz w:val="20"/>
          <w:szCs w:val="20"/>
          <w:color w:val="010000"/>
        </w:rPr>
      </w:pPr>
      <w:r>
        <w:rPr>
          <w:rFonts w:ascii="Arial" w:cs="Arial" w:eastAsia="Arial" w:hAnsi="Arial"/>
          <w:sz w:val="18"/>
          <w:szCs w:val="18"/>
          <w:u w:val="single" w:color="auto"/>
          <w:color w:val="auto"/>
        </w:rPr>
        <w:t>Severance Payments</w:t>
      </w:r>
      <w:r>
        <w:rPr>
          <w:rFonts w:ascii="Arial" w:cs="Arial" w:eastAsia="Arial" w:hAnsi="Arial"/>
          <w:sz w:val="18"/>
          <w:szCs w:val="18"/>
          <w:color w:val="auto"/>
        </w:rPr>
        <w:t>. The Company shall pay Executive twelve (12) months of Executive’s base salary at the rate in effect immediately prior to the Qualifying Termination or the Change in Control, whichever is greater, and 1.0 times Executive’s annual bonus for the then-current fiscal year based on 100% of target performance of any applicable performance objectives (together, the “</w:t>
      </w:r>
      <w:r>
        <w:rPr>
          <w:rFonts w:ascii="Arial" w:cs="Arial" w:eastAsia="Arial" w:hAnsi="Arial"/>
          <w:sz w:val="18"/>
          <w:szCs w:val="18"/>
          <w:b w:val="1"/>
          <w:bCs w:val="1"/>
          <w:color w:val="auto"/>
        </w:rPr>
        <w:t>CIC Severance</w:t>
      </w:r>
      <w:r>
        <w:rPr>
          <w:rFonts w:ascii="Arial" w:cs="Arial" w:eastAsia="Arial" w:hAnsi="Arial"/>
          <w:sz w:val="18"/>
          <w:szCs w:val="18"/>
          <w:color w:val="auto"/>
        </w:rPr>
        <w:t>”). The CIC Severance shall be paid out in substantially equal installments in accordance with the Company’s payroll practice over the total number of months of CIC Severance commencing the first payroll period more than 60 days after the Qualifying Termination, subject to the Release becoming effective prior to such time (with the first payment to include all amounts that otherwise would have been paid through such date). Solely for purposes of Section 409A of the Code, each installment payment is considered a separate payment.</w:t>
      </w:r>
    </w:p>
    <w:p>
      <w:pPr>
        <w:spacing w:after="0" w:line="161" w:lineRule="exact"/>
        <w:rPr>
          <w:rFonts w:ascii="Arial" w:cs="Arial" w:eastAsia="Arial" w:hAnsi="Arial"/>
          <w:sz w:val="20"/>
          <w:szCs w:val="20"/>
          <w:color w:val="010000"/>
        </w:rPr>
      </w:pPr>
    </w:p>
    <w:p>
      <w:pPr>
        <w:jc w:val="both"/>
        <w:ind w:left="-624" w:firstLine="1244"/>
        <w:spacing w:after="0" w:line="229" w:lineRule="auto"/>
        <w:tabs>
          <w:tab w:leader="none" w:pos="1231" w:val="left"/>
        </w:tabs>
        <w:numPr>
          <w:ilvl w:val="1"/>
          <w:numId w:val="130"/>
        </w:numPr>
        <w:rPr>
          <w:rFonts w:ascii="Arial" w:cs="Arial" w:eastAsia="Arial" w:hAnsi="Arial"/>
          <w:sz w:val="19"/>
          <w:szCs w:val="19"/>
          <w:color w:val="010000"/>
        </w:rPr>
      </w:pPr>
      <w:r>
        <w:rPr>
          <w:rFonts w:ascii="Arial" w:cs="Arial" w:eastAsia="Arial" w:hAnsi="Arial"/>
          <w:sz w:val="17"/>
          <w:szCs w:val="17"/>
          <w:u w:val="single" w:color="auto"/>
          <w:color w:val="auto"/>
        </w:rPr>
        <w:t>Health Care Benefit</w:t>
      </w:r>
      <w:r>
        <w:rPr>
          <w:rFonts w:ascii="Arial" w:cs="Arial" w:eastAsia="Arial" w:hAnsi="Arial"/>
          <w:sz w:val="17"/>
          <w:szCs w:val="17"/>
          <w:color w:val="auto"/>
        </w:rPr>
        <w:t xml:space="preserve">. If the Executive elects to continue his or her health insurance coverage under COBRA following the termination of Executive’s employment, then the Company shall pay, or reimburse, the Executive’s monthly premium for Executive and his or her covered dependents under COBRA until the earliest of (A) twelve (12) months, (B) the date when the Executive receives similar coverage with a new employer or (C) the expiration of the Executive’s continuation coverage under COBRA; provided that on the first date such amounts become payable as described above, the Company shall pay to Executive a lump sum cash payment equal to the monthly premiums that would have been paid on behalf of Executive had such payments commenced on the date of the Qualifying Termination. Notwithstanding the foregoing, the Company may elect that, in lieu of paying or reimbursing the premiums, the Company shall instead provide Executive with a monthly cash payment equal to the amount the Company would have otherwise paid pursuant to this </w:t>
      </w:r>
      <w:r>
        <w:rPr>
          <w:rFonts w:ascii="Arial" w:cs="Arial" w:eastAsia="Arial" w:hAnsi="Arial"/>
          <w:sz w:val="17"/>
          <w:szCs w:val="17"/>
          <w:u w:val="single" w:color="auto"/>
          <w:color w:val="auto"/>
        </w:rPr>
        <w:t>Section 2(b)(ii)</w:t>
      </w:r>
      <w:r>
        <w:rPr>
          <w:rFonts w:ascii="Arial" w:cs="Arial" w:eastAsia="Arial" w:hAnsi="Arial"/>
          <w:sz w:val="17"/>
          <w:szCs w:val="17"/>
          <w:color w:val="auto"/>
        </w:rPr>
        <w:t>, less applicable tax withholdings.</w:t>
      </w:r>
    </w:p>
    <w:p>
      <w:pPr>
        <w:spacing w:after="0" w:line="165" w:lineRule="exact"/>
        <w:rPr>
          <w:rFonts w:ascii="Arial" w:cs="Arial" w:eastAsia="Arial" w:hAnsi="Arial"/>
          <w:sz w:val="19"/>
          <w:szCs w:val="19"/>
          <w:color w:val="010000"/>
        </w:rPr>
      </w:pPr>
    </w:p>
    <w:p>
      <w:pPr>
        <w:jc w:val="both"/>
        <w:ind w:left="-624" w:firstLine="1244"/>
        <w:spacing w:after="0" w:line="226" w:lineRule="auto"/>
        <w:tabs>
          <w:tab w:leader="none" w:pos="1237" w:val="left"/>
        </w:tabs>
        <w:numPr>
          <w:ilvl w:val="1"/>
          <w:numId w:val="130"/>
        </w:numPr>
        <w:rPr>
          <w:rFonts w:ascii="Arial" w:cs="Arial" w:eastAsia="Arial" w:hAnsi="Arial"/>
          <w:sz w:val="19"/>
          <w:szCs w:val="19"/>
          <w:color w:val="010000"/>
        </w:rPr>
      </w:pPr>
      <w:r>
        <w:rPr>
          <w:rFonts w:ascii="Arial" w:cs="Arial" w:eastAsia="Arial" w:hAnsi="Arial"/>
          <w:sz w:val="17"/>
          <w:szCs w:val="17"/>
          <w:u w:val="single" w:color="auto"/>
          <w:color w:val="auto"/>
        </w:rPr>
        <w:t>Equity</w:t>
      </w:r>
      <w:r>
        <w:rPr>
          <w:rFonts w:ascii="Arial" w:cs="Arial" w:eastAsia="Arial" w:hAnsi="Arial"/>
          <w:sz w:val="17"/>
          <w:szCs w:val="17"/>
          <w:color w:val="auto"/>
        </w:rPr>
        <w:t>. Each of Executive’s then-outstanding unvested Equity Awards, other than Performance Awards (defined below), shall accelerate and become vested and exercisable or settleable with respect to 100% of the then-unvested shares subject to the Equity Awards. With respect to awards that would otherwise vest only upon satisfaction of performance criteria (“</w:t>
      </w:r>
      <w:r>
        <w:rPr>
          <w:rFonts w:ascii="Arial" w:cs="Arial" w:eastAsia="Arial" w:hAnsi="Arial"/>
          <w:sz w:val="17"/>
          <w:szCs w:val="17"/>
          <w:b w:val="1"/>
          <w:bCs w:val="1"/>
          <w:color w:val="auto"/>
        </w:rPr>
        <w:t>Performance Awards</w:t>
      </w:r>
      <w:r>
        <w:rPr>
          <w:rFonts w:ascii="Arial" w:cs="Arial" w:eastAsia="Arial" w:hAnsi="Arial"/>
          <w:sz w:val="17"/>
          <w:szCs w:val="17"/>
          <w:color w:val="auto"/>
        </w:rPr>
        <w:t>”), the grant agreement for the Performance Award may provide for alternative treatment upon a Qualifying Termination and, absent any such treatment in such grant agreement, the vesting acceleration provided for herein shall be deemed to have been met based on the achievement of the Performance Award at the greater of “at target” or, if determinable, actual performance. The accelerated vesting described above shall be effective as of the later of (x) the fifth (5th) business day following expiration of the Release Period, and (y) the closing of the Change in Control; provided, that if (1) the Company terminates Executive’s employment for any reason other than Cause before a Change in Control, or (2) Executive voluntarily resigns his or her employment for Good Reason before a Change in Control, then any unvested Equity Awards that would otherwise forfeit upon such termination shall remain outstanding and eligible to vest for three (3) months following such termination (provided that in no event will the Equity Awards remain outstanding beyond the expiration of the Equity Award’s maximum term) to permit the acceleration described above. For the avoidance of doubt, upon such termination before a Change in Control, any unvested Equity Awards will not vest in the ordinary course and will only be eligible to vest in the event that a Change in Control is completed within such three (3) month period. In the event that a Change in Control is not completed during such three (3) month period, any unvested portion of the Equity Awards will be automatically and permanently forfeited without having vested effective three (3) months following such termination.</w:t>
      </w:r>
    </w:p>
    <w:p>
      <w:pPr>
        <w:spacing w:after="0" w:line="157" w:lineRule="exact"/>
        <w:rPr>
          <w:rFonts w:ascii="Arial" w:cs="Arial" w:eastAsia="Arial" w:hAnsi="Arial"/>
          <w:sz w:val="19"/>
          <w:szCs w:val="19"/>
          <w:color w:val="010000"/>
        </w:rPr>
      </w:pPr>
    </w:p>
    <w:p>
      <w:pPr>
        <w:jc w:val="both"/>
        <w:ind w:left="-624" w:firstLine="1244"/>
        <w:spacing w:after="0" w:line="231" w:lineRule="auto"/>
        <w:tabs>
          <w:tab w:leader="none" w:pos="1225" w:val="left"/>
        </w:tabs>
        <w:numPr>
          <w:ilvl w:val="1"/>
          <w:numId w:val="130"/>
        </w:numPr>
        <w:rPr>
          <w:rFonts w:ascii="Arial" w:cs="Arial" w:eastAsia="Arial" w:hAnsi="Arial"/>
          <w:sz w:val="20"/>
          <w:szCs w:val="20"/>
          <w:color w:val="010000"/>
        </w:rPr>
      </w:pPr>
      <w:r>
        <w:rPr>
          <w:rFonts w:ascii="Arial" w:cs="Arial" w:eastAsia="Arial" w:hAnsi="Arial"/>
          <w:sz w:val="18"/>
          <w:szCs w:val="18"/>
          <w:b w:val="1"/>
          <w:bCs w:val="1"/>
          <w:color w:val="auto"/>
        </w:rPr>
        <w:t xml:space="preserve">Non-Assumption of Equity Awards. </w:t>
      </w:r>
      <w:r>
        <w:rPr>
          <w:rFonts w:ascii="Arial" w:cs="Arial" w:eastAsia="Arial" w:hAnsi="Arial"/>
          <w:sz w:val="18"/>
          <w:szCs w:val="18"/>
          <w:color w:val="auto"/>
        </w:rPr>
        <w:t>Notwithstanding anything to the contrary, if, in connection with a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the successor or acquiring corporation (if any) of the Company refuses to assume, convert, replace, or substitute Executive’s unvested Equity Awards, then notwithstanding any other provision in this Agreement, or any Equity Award Agreement to the contrary,</w:t>
      </w:r>
    </w:p>
    <w:p>
      <w:pPr>
        <w:sectPr>
          <w:pgSz w:w="11900" w:h="16838" w:orient="portrait"/>
          <w:cols w:equalWidth="0" w:num="1">
            <w:col w:w="10616"/>
          </w:cols>
          <w:pgMar w:left="944" w:top="1344" w:right="339" w:bottom="1440" w:gutter="0" w:footer="0" w:header="0"/>
        </w:sectPr>
      </w:pPr>
    </w:p>
    <w:bookmarkStart w:id="190" w:name="page191"/>
    <w:bookmarkEnd w:id="190"/>
    <w:p>
      <w:pPr>
        <w:jc w:val="both"/>
        <w:spacing w:after="0" w:line="208" w:lineRule="auto"/>
        <w:rPr>
          <w:sz w:val="20"/>
          <w:szCs w:val="20"/>
          <w:color w:val="auto"/>
        </w:rPr>
      </w:pPr>
      <w:r>
        <w:rPr>
          <w:rFonts w:ascii="Arial" w:cs="Arial" w:eastAsia="Arial" w:hAnsi="Arial"/>
          <w:sz w:val="19"/>
          <w:szCs w:val="19"/>
          <w:color w:val="auto"/>
        </w:rPr>
        <w:t>each of Executive’s then-outstanding and unvested Equity Awards, other than Performance Awards, that are not assumed, converted, replaced, or substituted in such Change in Control shall accelerate and become vested and exercisable as to 100% of the then-unvested shares subject to the Equity Awards effective immediately prior to the Change in Control and terminate to the extent not exercised (as applicable) upon the Change in Control. With respect to Performance Awards, the vesting for such Performance Awards will accelerate as set forth in the terms of the applicable performance-based Equity Award agreement; and, absent any such treatment in such grant agreement, the vesting acceleration provided for herein shall be deemed to have been met based on the achievement of the Performance Award at the greater of “at target” or, if determinable, actual performance.</w:t>
      </w:r>
    </w:p>
    <w:p>
      <w:pPr>
        <w:spacing w:after="0" w:line="142" w:lineRule="exact"/>
        <w:rPr>
          <w:sz w:val="20"/>
          <w:szCs w:val="20"/>
          <w:color w:val="auto"/>
        </w:rPr>
      </w:pPr>
    </w:p>
    <w:p>
      <w:pPr>
        <w:jc w:val="both"/>
        <w:ind w:firstLine="624"/>
        <w:spacing w:after="0" w:line="232" w:lineRule="auto"/>
        <w:tabs>
          <w:tab w:leader="none" w:pos="1231" w:val="left"/>
        </w:tabs>
        <w:numPr>
          <w:ilvl w:val="1"/>
          <w:numId w:val="131"/>
        </w:numPr>
        <w:rPr>
          <w:rFonts w:ascii="Arial" w:cs="Arial" w:eastAsia="Arial" w:hAnsi="Arial"/>
          <w:sz w:val="17"/>
          <w:szCs w:val="17"/>
          <w:color w:val="010000"/>
        </w:rPr>
      </w:pPr>
      <w:r>
        <w:rPr>
          <w:rFonts w:ascii="Arial" w:cs="Arial" w:eastAsia="Arial" w:hAnsi="Arial"/>
          <w:sz w:val="17"/>
          <w:szCs w:val="17"/>
          <w:b w:val="1"/>
          <w:bCs w:val="1"/>
          <w:color w:val="auto"/>
        </w:rPr>
        <w:t xml:space="preserve">Accrued Compensation and Benefits. </w:t>
      </w:r>
      <w:r>
        <w:rPr>
          <w:rFonts w:ascii="Arial" w:cs="Arial" w:eastAsia="Arial" w:hAnsi="Arial"/>
          <w:sz w:val="17"/>
          <w:szCs w:val="17"/>
          <w:color w:val="auto"/>
        </w:rPr>
        <w:t>Notwithstanding anything to the contrary in Section 2 above, in connection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employment, the Company shall pay Executive’s earned but unpaid base salary and other vested but unpaid cash entitlements, including the amount of any bonus earned and payable from a prior year which remains unpaid by the Company as of the date of the termination of employment determined in accordance with customary practice or as required by applicable law and unreimbursed documented business expenses incurred by Executive through and including the date of termination (collectively “</w:t>
      </w:r>
      <w:r>
        <w:rPr>
          <w:rFonts w:ascii="Arial" w:cs="Arial" w:eastAsia="Arial" w:hAnsi="Arial"/>
          <w:sz w:val="17"/>
          <w:szCs w:val="17"/>
          <w:b w:val="1"/>
          <w:bCs w:val="1"/>
          <w:color w:val="auto"/>
        </w:rPr>
        <w:t>Accrued Compensation and Expenses</w:t>
      </w:r>
      <w:r>
        <w:rPr>
          <w:rFonts w:ascii="Arial" w:cs="Arial" w:eastAsia="Arial" w:hAnsi="Arial"/>
          <w:sz w:val="17"/>
          <w:szCs w:val="17"/>
          <w:color w:val="auto"/>
        </w:rPr>
        <w:t>”). Any Accrued Compensation and Expenses to which Executive is entitled shall be paid to Executive in cash as soon as administratively practicable, in accordance with the Company’s standard payroll schedule and procedures, after the termination, and, in any event, no later than two and one-half (2-1/2) months after the end of the taxable year of Executive in which the termination occurs or at such earlier time as may be required by applicable law.</w:t>
      </w:r>
    </w:p>
    <w:p>
      <w:pPr>
        <w:spacing w:after="0" w:line="155" w:lineRule="exact"/>
        <w:rPr>
          <w:rFonts w:ascii="Arial" w:cs="Arial" w:eastAsia="Arial" w:hAnsi="Arial"/>
          <w:sz w:val="17"/>
          <w:szCs w:val="17"/>
          <w:color w:val="010000"/>
        </w:rPr>
      </w:pPr>
    </w:p>
    <w:p>
      <w:pPr>
        <w:jc w:val="both"/>
        <w:ind w:firstLine="3"/>
        <w:spacing w:after="0" w:line="214" w:lineRule="auto"/>
        <w:tabs>
          <w:tab w:leader="none" w:pos="620" w:val="left"/>
        </w:tabs>
        <w:numPr>
          <w:ilvl w:val="0"/>
          <w:numId w:val="132"/>
        </w:numPr>
        <w:rPr>
          <w:rFonts w:ascii="Arial" w:cs="Arial" w:eastAsia="Arial" w:hAnsi="Arial"/>
          <w:sz w:val="21"/>
          <w:szCs w:val="21"/>
          <w:color w:val="010000"/>
        </w:rPr>
      </w:pPr>
      <w:r>
        <w:rPr>
          <w:rFonts w:ascii="Arial" w:cs="Arial" w:eastAsia="Arial" w:hAnsi="Arial"/>
          <w:sz w:val="19"/>
          <w:szCs w:val="19"/>
          <w:b w:val="1"/>
          <w:bCs w:val="1"/>
          <w:color w:val="auto"/>
        </w:rPr>
        <w:t xml:space="preserve">Company Policies. </w:t>
      </w:r>
      <w:r>
        <w:rPr>
          <w:rFonts w:ascii="Arial" w:cs="Arial" w:eastAsia="Arial" w:hAnsi="Arial"/>
          <w:sz w:val="19"/>
          <w:szCs w:val="19"/>
          <w:color w:val="auto"/>
        </w:rPr>
        <w:t>Executive will be bound by and comply fully with that certain Employee Invention Assignment and 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by and between the Company and Executive and the Company’s insider trading policy, code of conduct, and any other policies and programs adopted by the Company regulating the behavior of its employees, as such policies and programs may be amended from time to time to the extent the same are not inconsistent with this Agreement.</w:t>
      </w:r>
    </w:p>
    <w:p>
      <w:pPr>
        <w:spacing w:after="0" w:line="156" w:lineRule="exact"/>
        <w:rPr>
          <w:rFonts w:ascii="Arial" w:cs="Arial" w:eastAsia="Arial" w:hAnsi="Arial"/>
          <w:sz w:val="21"/>
          <w:szCs w:val="21"/>
          <w:color w:val="010000"/>
        </w:rPr>
      </w:pPr>
    </w:p>
    <w:p>
      <w:pPr>
        <w:ind w:left="620" w:hanging="617"/>
        <w:spacing w:after="0"/>
        <w:tabs>
          <w:tab w:leader="none" w:pos="620" w:val="left"/>
        </w:tabs>
        <w:numPr>
          <w:ilvl w:val="0"/>
          <w:numId w:val="132"/>
        </w:numPr>
        <w:rPr>
          <w:rFonts w:ascii="Arial" w:cs="Arial" w:eastAsia="Arial" w:hAnsi="Arial"/>
          <w:sz w:val="21"/>
          <w:szCs w:val="21"/>
          <w:color w:val="010000"/>
        </w:rPr>
      </w:pPr>
      <w:r>
        <w:rPr>
          <w:rFonts w:ascii="Arial" w:cs="Arial" w:eastAsia="Arial" w:hAnsi="Arial"/>
          <w:sz w:val="19"/>
          <w:szCs w:val="19"/>
          <w:b w:val="1"/>
          <w:bCs w:val="1"/>
          <w:color w:val="auto"/>
        </w:rPr>
        <w:t>Definitions.</w:t>
      </w:r>
    </w:p>
    <w:p>
      <w:pPr>
        <w:spacing w:after="0" w:line="159" w:lineRule="exact"/>
        <w:rPr>
          <w:rFonts w:ascii="Arial" w:cs="Arial" w:eastAsia="Arial" w:hAnsi="Arial"/>
          <w:sz w:val="21"/>
          <w:szCs w:val="21"/>
          <w:color w:val="010000"/>
        </w:rPr>
      </w:pPr>
    </w:p>
    <w:p>
      <w:pPr>
        <w:ind w:left="1240" w:hanging="616"/>
        <w:spacing w:after="0"/>
        <w:tabs>
          <w:tab w:leader="none" w:pos="1240" w:val="left"/>
        </w:tabs>
        <w:numPr>
          <w:ilvl w:val="1"/>
          <w:numId w:val="13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Company’s Board of Directors.</w:t>
      </w:r>
    </w:p>
    <w:p>
      <w:pPr>
        <w:spacing w:after="0" w:line="169" w:lineRule="exact"/>
        <w:rPr>
          <w:rFonts w:ascii="Arial" w:cs="Arial" w:eastAsia="Arial" w:hAnsi="Arial"/>
          <w:sz w:val="19"/>
          <w:szCs w:val="19"/>
          <w:color w:val="010000"/>
        </w:rPr>
      </w:pPr>
    </w:p>
    <w:p>
      <w:pPr>
        <w:jc w:val="both"/>
        <w:ind w:firstLine="624"/>
        <w:spacing w:after="0" w:line="228" w:lineRule="auto"/>
        <w:tabs>
          <w:tab w:leader="none" w:pos="1228" w:val="left"/>
        </w:tabs>
        <w:numPr>
          <w:ilvl w:val="1"/>
          <w:numId w:val="132"/>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xml:space="preserve">” means the occurrence of any of the following events, as determined by the Company and/or the Board in its and/or their sole and absolute discretion: (i) Executive engaging in any act of fraud, embezzlement or material act of dishonesty or misrepresentation with respect to the Company; (ii) Executive’s violation of any federal or state law or regulation applicable to the business of the Company or its affiliates; (iii) Executive’s material breach of any confidentiality agreement or assignment agreement between Executive and the Company (or any affiliate of the Company); (iv) Executive’s conviction of or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involving moral turpitude; (v) Executive’s unauthorized use or disclosure of confidential information or trade secrets of the Company (or any parent, subsidiary or affiliate); (vi) any intentional misconduct by Executive adversely affecting the business or affairs of the Company (or any parent, subsidiary or affiliate) in any material manner; (vii) Executive has committed any breach of fiduciary or statutory duty that results in (or would reasonably be expected to result in) material harm to the Company; (viii) Executive has breached any material term or condition of this Agreement or any other material agreement with or material policy of the Company; (ix) Executive’s willful and repeated failure to perform in any material respect Executive’s duties hereunder after fifteen (15) days’ notice and an opportunity to cure such failure and a reasonable opportunity to present to the Board Executive’s position regarding any dispute relating to the existence of such failure (other than on account of disability); or (x) Executive’s failure to attempt in good faith to implement a clear and reasonable directive from the CEO or CFO (or the Board).</w:t>
      </w:r>
    </w:p>
    <w:p>
      <w:pPr>
        <w:spacing w:after="0" w:line="150" w:lineRule="exact"/>
        <w:rPr>
          <w:sz w:val="20"/>
          <w:szCs w:val="20"/>
          <w:color w:val="auto"/>
        </w:rPr>
      </w:pPr>
    </w:p>
    <w:p>
      <w:pPr>
        <w:jc w:val="both"/>
        <w:spacing w:after="0" w:line="215" w:lineRule="auto"/>
        <w:rPr>
          <w:sz w:val="20"/>
          <w:szCs w:val="20"/>
          <w:color w:val="auto"/>
        </w:rPr>
      </w:pP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the action or conduct described in clause (viii) above will constitute “Cause” only if such action or conduct continues after</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has provided Executive with written notice thereof and ten (10) business days to cure the same if such action or conduct is curable. The determination as to the existence of grounds for Executive’s termination for Cause shall be made in good faith by the Company or the Board and shall be final and binding on Executive.</w:t>
      </w:r>
    </w:p>
    <w:p>
      <w:pPr>
        <w:sectPr>
          <w:pgSz w:w="11900" w:h="16838" w:orient="portrait"/>
          <w:cols w:equalWidth="0" w:num="1">
            <w:col w:w="11240"/>
          </w:cols>
          <w:pgMar w:left="320" w:top="1350" w:right="339" w:bottom="1440" w:gutter="0" w:footer="0" w:header="0"/>
        </w:sectPr>
      </w:pPr>
    </w:p>
    <w:bookmarkStart w:id="191" w:name="page192"/>
    <w:bookmarkEnd w:id="191"/>
    <w:p>
      <w:pPr>
        <w:ind w:left="1240" w:hanging="616"/>
        <w:spacing w:after="0"/>
        <w:tabs>
          <w:tab w:leader="none" w:pos="1240" w:val="left"/>
        </w:tabs>
        <w:numPr>
          <w:ilvl w:val="1"/>
          <w:numId w:val="13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w:t>
      </w:r>
    </w:p>
    <w:p>
      <w:pPr>
        <w:spacing w:after="0" w:line="169" w:lineRule="exact"/>
        <w:rPr>
          <w:rFonts w:ascii="Arial" w:cs="Arial" w:eastAsia="Arial" w:hAnsi="Arial"/>
          <w:sz w:val="19"/>
          <w:szCs w:val="19"/>
          <w:color w:val="010000"/>
        </w:rPr>
      </w:pPr>
    </w:p>
    <w:p>
      <w:pPr>
        <w:jc w:val="both"/>
        <w:ind w:firstLine="624"/>
        <w:spacing w:after="0" w:line="232" w:lineRule="auto"/>
        <w:tabs>
          <w:tab w:leader="none" w:pos="1228" w:val="left"/>
        </w:tabs>
        <w:numPr>
          <w:ilvl w:val="1"/>
          <w:numId w:val="13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 outstanding voting securities;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42" w:lineRule="exact"/>
        <w:rPr>
          <w:rFonts w:ascii="Arial" w:cs="Arial" w:eastAsia="Arial" w:hAnsi="Arial"/>
          <w:sz w:val="17"/>
          <w:szCs w:val="17"/>
          <w:color w:val="010000"/>
        </w:rPr>
      </w:pPr>
    </w:p>
    <w:p>
      <w:pPr>
        <w:ind w:firstLine="624"/>
        <w:spacing w:after="0" w:line="234" w:lineRule="auto"/>
        <w:tabs>
          <w:tab w:leader="none" w:pos="1231" w:val="left"/>
        </w:tabs>
        <w:numPr>
          <w:ilvl w:val="1"/>
          <w:numId w:val="13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Change in Control Period</w:t>
      </w:r>
      <w:r>
        <w:rPr>
          <w:rFonts w:ascii="Arial" w:cs="Arial" w:eastAsia="Arial" w:hAnsi="Arial"/>
          <w:sz w:val="19"/>
          <w:szCs w:val="19"/>
          <w:color w:val="auto"/>
        </w:rPr>
        <w:t>” means the period (i) within eighteen (18) months following the closing of a Change in Control, or (ii) within three (3) months preceding the closing of a Change in Control.</w:t>
      </w:r>
    </w:p>
    <w:p>
      <w:pPr>
        <w:spacing w:after="0" w:line="142" w:lineRule="exact"/>
        <w:rPr>
          <w:rFonts w:ascii="Arial" w:cs="Arial" w:eastAsia="Arial" w:hAnsi="Arial"/>
          <w:sz w:val="19"/>
          <w:szCs w:val="19"/>
          <w:color w:val="010000"/>
        </w:rPr>
      </w:pPr>
    </w:p>
    <w:p>
      <w:pPr>
        <w:ind w:firstLine="624"/>
        <w:spacing w:after="0" w:line="234" w:lineRule="auto"/>
        <w:tabs>
          <w:tab w:leader="none" w:pos="1236" w:val="left"/>
        </w:tabs>
        <w:numPr>
          <w:ilvl w:val="1"/>
          <w:numId w:val="13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Equity Awards</w:t>
      </w:r>
      <w:r>
        <w:rPr>
          <w:rFonts w:ascii="Arial" w:cs="Arial" w:eastAsia="Arial" w:hAnsi="Arial"/>
          <w:sz w:val="19"/>
          <w:szCs w:val="19"/>
          <w:color w:val="auto"/>
        </w:rPr>
        <w:t>” means all awards for the Company common stock granted to Executive, including but not limited to options, stock bonus awards, restricted stock, restricted stock units, and stock appreciation rights.</w:t>
      </w:r>
    </w:p>
    <w:p>
      <w:pPr>
        <w:spacing w:after="0" w:line="142" w:lineRule="exact"/>
        <w:rPr>
          <w:rFonts w:ascii="Arial" w:cs="Arial" w:eastAsia="Arial" w:hAnsi="Arial"/>
          <w:sz w:val="19"/>
          <w:szCs w:val="19"/>
          <w:color w:val="010000"/>
        </w:rPr>
      </w:pPr>
    </w:p>
    <w:p>
      <w:pPr>
        <w:ind w:left="1240" w:hanging="616"/>
        <w:spacing w:after="0"/>
        <w:tabs>
          <w:tab w:leader="none" w:pos="1240" w:val="left"/>
        </w:tabs>
        <w:numPr>
          <w:ilvl w:val="1"/>
          <w:numId w:val="13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means the Securities Exchange Act of 1934, as amended.</w:t>
      </w:r>
    </w:p>
    <w:p>
      <w:pPr>
        <w:spacing w:after="0" w:line="169" w:lineRule="exact"/>
        <w:rPr>
          <w:rFonts w:ascii="Arial" w:cs="Arial" w:eastAsia="Arial" w:hAnsi="Arial"/>
          <w:sz w:val="19"/>
          <w:szCs w:val="19"/>
          <w:color w:val="010000"/>
        </w:rPr>
      </w:pPr>
    </w:p>
    <w:p>
      <w:pPr>
        <w:ind w:left="1240" w:hanging="616"/>
        <w:spacing w:after="0"/>
        <w:tabs>
          <w:tab w:leader="none" w:pos="1240" w:val="left"/>
        </w:tabs>
        <w:numPr>
          <w:ilvl w:val="1"/>
          <w:numId w:val="13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color w:val="auto"/>
        </w:rPr>
        <w:t>Good Reason</w:t>
      </w:r>
      <w:r>
        <w:rPr>
          <w:rFonts w:ascii="Arial" w:cs="Arial" w:eastAsia="Arial" w:hAnsi="Arial"/>
          <w:sz w:val="17"/>
          <w:szCs w:val="17"/>
          <w:color w:val="auto"/>
        </w:rPr>
        <w:t>” means the occurrence of any of the following events or conditions, without Executive’s express written consent:</w:t>
      </w:r>
    </w:p>
    <w:p>
      <w:pPr>
        <w:spacing w:after="0" w:line="7" w:lineRule="exact"/>
        <w:rPr>
          <w:rFonts w:ascii="Arial" w:cs="Arial" w:eastAsia="Arial" w:hAnsi="Arial"/>
          <w:sz w:val="17"/>
          <w:szCs w:val="17"/>
          <w:color w:val="010000"/>
        </w:rPr>
      </w:pPr>
    </w:p>
    <w:p>
      <w:pPr>
        <w:jc w:val="both"/>
        <w:ind w:firstLine="3"/>
        <w:spacing w:after="0" w:line="210" w:lineRule="auto"/>
        <w:tabs>
          <w:tab w:leader="none" w:pos="22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 material diminution of Executive’s base salary or target annual performance bonus; (ii) a material diminution in Executive’s authority, duties or responsibilities; or (iii) any requirement by the Company that Executive’s principal place of employment be relocated to a location more than fifty (50) miles from Executive’s principal place of employment prior to such change, which relocation materially increases Executive’s commuting distance.</w:t>
      </w:r>
    </w:p>
    <w:p>
      <w:pPr>
        <w:spacing w:after="0" w:line="40" w:lineRule="exact"/>
        <w:rPr>
          <w:sz w:val="20"/>
          <w:szCs w:val="20"/>
          <w:color w:val="auto"/>
        </w:rPr>
      </w:pPr>
    </w:p>
    <w:p>
      <w:pPr>
        <w:jc w:val="both"/>
        <w:spacing w:after="0" w:line="209" w:lineRule="auto"/>
        <w:rPr>
          <w:sz w:val="20"/>
          <w:szCs w:val="20"/>
          <w:color w:val="auto"/>
        </w:rPr>
      </w:pPr>
      <w:r>
        <w:rPr>
          <w:rFonts w:ascii="Arial" w:cs="Arial" w:eastAsia="Arial" w:hAnsi="Arial"/>
          <w:sz w:val="19"/>
          <w:szCs w:val="19"/>
          <w:color w:val="auto"/>
        </w:rPr>
        <w:t>A termination of employment for Good Reason shall be effectuated by giving the Company written notice (“</w:t>
      </w:r>
      <w:r>
        <w:rPr>
          <w:rFonts w:ascii="Arial" w:cs="Arial" w:eastAsia="Arial" w:hAnsi="Arial"/>
          <w:sz w:val="19"/>
          <w:szCs w:val="19"/>
          <w:b w:val="1"/>
          <w:bCs w:val="1"/>
          <w:color w:val="auto"/>
        </w:rPr>
        <w:t>Notice of Termination for Good</w:t>
      </w:r>
      <w:r>
        <w:rPr>
          <w:rFonts w:ascii="Arial" w:cs="Arial" w:eastAsia="Arial" w:hAnsi="Arial"/>
          <w:sz w:val="19"/>
          <w:szCs w:val="19"/>
          <w:color w:val="auto"/>
        </w:rPr>
        <w:t xml:space="preserve"> </w:t>
      </w:r>
      <w:r>
        <w:rPr>
          <w:rFonts w:ascii="Arial" w:cs="Arial" w:eastAsia="Arial" w:hAnsi="Arial"/>
          <w:sz w:val="19"/>
          <w:szCs w:val="19"/>
          <w:b w:val="1"/>
          <w:bCs w:val="1"/>
          <w:color w:val="auto"/>
        </w:rPr>
        <w:t>Reason</w:t>
      </w:r>
      <w:r>
        <w:rPr>
          <w:rFonts w:ascii="Arial" w:cs="Arial" w:eastAsia="Arial" w:hAnsi="Arial"/>
          <w:sz w:val="19"/>
          <w:szCs w:val="19"/>
          <w:color w:val="auto"/>
        </w:rPr>
        <w:t>”), setting forth in reasonable detail, the specific conduct of the Company that constitutes Good Reason and the specific provision(s)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on which Executive is relying. Notice of Termination for Good Reason must be provided within ninety (90) days of the condition first arising. The Company will have an opportunity to cure such conduct constituting Good Reason within thirty (30) days of receiving such Notice of Termination for Good Reason. If the Company does not cure such conduct within such thirty (30) day period, a termination of employment for Good Reason shall be effective on the thirty-first (31st) day following the date when the Notice of Termination for Good Reason is received by the Company.</w:t>
      </w:r>
    </w:p>
    <w:p>
      <w:pPr>
        <w:spacing w:after="0" w:line="141" w:lineRule="exact"/>
        <w:rPr>
          <w:sz w:val="20"/>
          <w:szCs w:val="20"/>
          <w:color w:val="auto"/>
        </w:rPr>
      </w:pPr>
    </w:p>
    <w:p>
      <w:pPr>
        <w:ind w:firstLine="624"/>
        <w:spacing w:after="0" w:line="234" w:lineRule="auto"/>
        <w:tabs>
          <w:tab w:leader="none" w:pos="1238" w:val="left"/>
        </w:tabs>
        <w:numPr>
          <w:ilvl w:val="2"/>
          <w:numId w:val="135"/>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Qualifying Termination</w:t>
      </w:r>
      <w:r>
        <w:rPr>
          <w:rFonts w:ascii="Arial" w:cs="Arial" w:eastAsia="Arial" w:hAnsi="Arial"/>
          <w:sz w:val="19"/>
          <w:szCs w:val="19"/>
          <w:color w:val="auto"/>
        </w:rPr>
        <w:t>” means a Separation resulting from (x) the Company terminating Executive’s employment for any reason other than Cause or (y) Executive voluntarily resigning his or her employment for Good Reason.</w:t>
      </w:r>
    </w:p>
    <w:p>
      <w:pPr>
        <w:spacing w:after="0" w:line="142" w:lineRule="exact"/>
        <w:rPr>
          <w:rFonts w:ascii="Arial" w:cs="Arial" w:eastAsia="Arial" w:hAnsi="Arial"/>
          <w:sz w:val="19"/>
          <w:szCs w:val="19"/>
          <w:color w:val="010000"/>
        </w:rPr>
      </w:pPr>
    </w:p>
    <w:p>
      <w:pPr>
        <w:ind w:firstLine="546"/>
        <w:spacing w:after="0" w:line="234" w:lineRule="auto"/>
        <w:tabs>
          <w:tab w:leader="none" w:pos="1298" w:val="left"/>
        </w:tabs>
        <w:numPr>
          <w:ilvl w:val="1"/>
          <w:numId w:val="136"/>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Separation</w:t>
      </w:r>
      <w:r>
        <w:rPr>
          <w:rFonts w:ascii="Arial" w:cs="Arial" w:eastAsia="Arial" w:hAnsi="Arial"/>
          <w:sz w:val="19"/>
          <w:szCs w:val="19"/>
          <w:color w:val="auto"/>
        </w:rPr>
        <w:t>” means a “separation from service,” as defined in the regulations under Section 409A of the Code, if required by Section 409A of the Code.</w:t>
      </w:r>
    </w:p>
    <w:p>
      <w:pPr>
        <w:spacing w:after="0" w:line="155" w:lineRule="exact"/>
        <w:rPr>
          <w:rFonts w:ascii="Arial" w:cs="Arial" w:eastAsia="Arial" w:hAnsi="Arial"/>
          <w:sz w:val="19"/>
          <w:szCs w:val="19"/>
          <w:color w:val="010000"/>
        </w:rPr>
      </w:pPr>
    </w:p>
    <w:p>
      <w:pPr>
        <w:ind w:left="620" w:hanging="617"/>
        <w:spacing w:after="0"/>
        <w:tabs>
          <w:tab w:leader="none" w:pos="620" w:val="left"/>
        </w:tabs>
        <w:numPr>
          <w:ilvl w:val="0"/>
          <w:numId w:val="137"/>
        </w:numPr>
        <w:rPr>
          <w:rFonts w:ascii="Arial" w:cs="Arial" w:eastAsia="Arial" w:hAnsi="Arial"/>
          <w:sz w:val="21"/>
          <w:szCs w:val="21"/>
          <w:color w:val="010000"/>
        </w:rPr>
      </w:pPr>
      <w:r>
        <w:rPr>
          <w:rFonts w:ascii="Arial" w:cs="Arial" w:eastAsia="Arial" w:hAnsi="Arial"/>
          <w:sz w:val="19"/>
          <w:szCs w:val="19"/>
          <w:b w:val="1"/>
          <w:bCs w:val="1"/>
          <w:color w:val="auto"/>
        </w:rPr>
        <w:t>Successors.</w:t>
      </w:r>
    </w:p>
    <w:p>
      <w:pPr>
        <w:spacing w:after="0" w:line="159" w:lineRule="exact"/>
        <w:rPr>
          <w:rFonts w:ascii="Arial" w:cs="Arial" w:eastAsia="Arial" w:hAnsi="Arial"/>
          <w:sz w:val="21"/>
          <w:szCs w:val="21"/>
          <w:color w:val="010000"/>
        </w:rPr>
      </w:pPr>
    </w:p>
    <w:p>
      <w:pPr>
        <w:jc w:val="both"/>
        <w:ind w:firstLine="624"/>
        <w:spacing w:after="0" w:line="225" w:lineRule="auto"/>
        <w:tabs>
          <w:tab w:leader="none" w:pos="1231" w:val="left"/>
        </w:tabs>
        <w:numPr>
          <w:ilvl w:val="2"/>
          <w:numId w:val="137"/>
        </w:numPr>
        <w:rPr>
          <w:rFonts w:ascii="Arial" w:cs="Arial" w:eastAsia="Arial" w:hAnsi="Arial"/>
          <w:sz w:val="18"/>
          <w:szCs w:val="18"/>
          <w:color w:val="010000"/>
        </w:rPr>
      </w:pPr>
      <w:r>
        <w:rPr>
          <w:rFonts w:ascii="Arial" w:cs="Arial" w:eastAsia="Arial" w:hAnsi="Arial"/>
          <w:sz w:val="18"/>
          <w:szCs w:val="18"/>
          <w:b w:val="1"/>
          <w:bCs w:val="1"/>
          <w:color w:val="auto"/>
        </w:rPr>
        <w:t>Company’s Successors</w:t>
      </w:r>
      <w:r>
        <w:rPr>
          <w:rFonts w:ascii="Arial" w:cs="Arial" w:eastAsia="Arial" w:hAnsi="Arial"/>
          <w:sz w:val="18"/>
          <w:szCs w:val="18"/>
          <w:color w:val="auto"/>
        </w:rPr>
        <w:t>. The Company shall require any successor (whether direct or indirect and whether by purchase,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liquidation, or otherwise) to all or substantially all of the Company’s business and/or assets to assume this Agreement and to agree expressly to perform this Agreement in the same manner and to the same extent as the Company would be required to perform it in the absence of a succession. For all purposes under this Agreement, the term “</w:t>
      </w:r>
      <w:r>
        <w:rPr>
          <w:rFonts w:ascii="Arial" w:cs="Arial" w:eastAsia="Arial" w:hAnsi="Arial"/>
          <w:sz w:val="18"/>
          <w:szCs w:val="18"/>
          <w:b w:val="1"/>
          <w:bCs w:val="1"/>
          <w:color w:val="auto"/>
        </w:rPr>
        <w:t>Company</w:t>
      </w:r>
      <w:r>
        <w:rPr>
          <w:rFonts w:ascii="Arial" w:cs="Arial" w:eastAsia="Arial" w:hAnsi="Arial"/>
          <w:sz w:val="18"/>
          <w:szCs w:val="18"/>
          <w:color w:val="auto"/>
        </w:rPr>
        <w:t>” shall include any successor to the Company’s business and/or assets or which becomes bound by this Agreement by operation of law.</w:t>
      </w:r>
    </w:p>
    <w:p>
      <w:pPr>
        <w:sectPr>
          <w:pgSz w:w="11900" w:h="16838" w:orient="portrait"/>
          <w:cols w:equalWidth="0" w:num="1">
            <w:col w:w="11240"/>
          </w:cols>
          <w:pgMar w:left="320" w:top="1344" w:right="339" w:bottom="1440" w:gutter="0" w:footer="0" w:header="0"/>
        </w:sectPr>
      </w:pPr>
    </w:p>
    <w:bookmarkStart w:id="192" w:name="page193"/>
    <w:bookmarkEnd w:id="192"/>
    <w:p>
      <w:pPr>
        <w:ind w:left="-3" w:firstLine="624"/>
        <w:spacing w:after="0" w:line="285" w:lineRule="auto"/>
        <w:tabs>
          <w:tab w:leader="none" w:pos="1225" w:val="left"/>
        </w:tabs>
        <w:numPr>
          <w:ilvl w:val="1"/>
          <w:numId w:val="138"/>
        </w:numPr>
        <w:rPr>
          <w:rFonts w:ascii="Arial" w:cs="Arial" w:eastAsia="Arial" w:hAnsi="Arial"/>
          <w:sz w:val="17"/>
          <w:szCs w:val="17"/>
          <w:color w:val="010000"/>
        </w:rPr>
      </w:pPr>
      <w:r>
        <w:rPr>
          <w:rFonts w:ascii="Arial" w:cs="Arial" w:eastAsia="Arial" w:hAnsi="Arial"/>
          <w:sz w:val="17"/>
          <w:szCs w:val="17"/>
          <w:b w:val="1"/>
          <w:bCs w:val="1"/>
          <w:color w:val="auto"/>
        </w:rPr>
        <w:t>Executive’s Successors</w:t>
      </w:r>
      <w:r>
        <w:rPr>
          <w:rFonts w:ascii="Arial" w:cs="Arial" w:eastAsia="Arial" w:hAnsi="Arial"/>
          <w:sz w:val="17"/>
          <w:szCs w:val="17"/>
          <w:color w:val="auto"/>
        </w:rPr>
        <w:t>. This Agreement and all rights of Executive hereunder shall inure to the benefit of, and be enforceable by,</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personal or legal representatives, executors, administrators, successors, heirs, distributees, devisees, and legatees.</w:t>
      </w:r>
    </w:p>
    <w:p>
      <w:pPr>
        <w:spacing w:after="0" w:line="117" w:lineRule="exact"/>
        <w:rPr>
          <w:rFonts w:ascii="Arial" w:cs="Arial" w:eastAsia="Arial" w:hAnsi="Arial"/>
          <w:sz w:val="17"/>
          <w:szCs w:val="17"/>
          <w:color w:val="010000"/>
        </w:rPr>
      </w:pPr>
    </w:p>
    <w:p>
      <w:pPr>
        <w:ind w:left="617" w:hanging="617"/>
        <w:spacing w:after="0"/>
        <w:tabs>
          <w:tab w:leader="none" w:pos="617" w:val="left"/>
        </w:tabs>
        <w:numPr>
          <w:ilvl w:val="0"/>
          <w:numId w:val="139"/>
        </w:numPr>
        <w:rPr>
          <w:rFonts w:ascii="Arial" w:cs="Arial" w:eastAsia="Arial" w:hAnsi="Arial"/>
          <w:sz w:val="21"/>
          <w:szCs w:val="21"/>
          <w:color w:val="010000"/>
        </w:rPr>
      </w:pPr>
      <w:r>
        <w:rPr>
          <w:rFonts w:ascii="Arial" w:cs="Arial" w:eastAsia="Arial" w:hAnsi="Arial"/>
          <w:sz w:val="19"/>
          <w:szCs w:val="19"/>
          <w:b w:val="1"/>
          <w:bCs w:val="1"/>
          <w:color w:val="auto"/>
        </w:rPr>
        <w:t>Golden Parachute Taxes.</w:t>
      </w:r>
    </w:p>
    <w:p>
      <w:pPr>
        <w:spacing w:after="0" w:line="159" w:lineRule="exact"/>
        <w:rPr>
          <w:rFonts w:ascii="Arial" w:cs="Arial" w:eastAsia="Arial" w:hAnsi="Arial"/>
          <w:sz w:val="21"/>
          <w:szCs w:val="21"/>
          <w:color w:val="010000"/>
        </w:rPr>
      </w:pPr>
    </w:p>
    <w:p>
      <w:pPr>
        <w:jc w:val="both"/>
        <w:ind w:left="-3" w:firstLine="624"/>
        <w:spacing w:after="0" w:line="225" w:lineRule="auto"/>
        <w:tabs>
          <w:tab w:leader="none" w:pos="1227" w:val="left"/>
        </w:tabs>
        <w:numPr>
          <w:ilvl w:val="1"/>
          <w:numId w:val="139"/>
        </w:numPr>
        <w:rPr>
          <w:rFonts w:ascii="Arial" w:cs="Arial" w:eastAsia="Arial" w:hAnsi="Arial"/>
          <w:sz w:val="17"/>
          <w:szCs w:val="17"/>
          <w:color w:val="010000"/>
        </w:rPr>
      </w:pPr>
      <w:r>
        <w:rPr>
          <w:rFonts w:ascii="Arial" w:cs="Arial" w:eastAsia="Arial" w:hAnsi="Arial"/>
          <w:sz w:val="17"/>
          <w:szCs w:val="17"/>
          <w:b w:val="1"/>
          <w:bCs w:val="1"/>
          <w:color w:val="auto"/>
        </w:rPr>
        <w:t>Best After-Tax Result</w:t>
      </w:r>
      <w:r>
        <w:rPr>
          <w:rFonts w:ascii="Arial" w:cs="Arial" w:eastAsia="Arial" w:hAnsi="Arial"/>
          <w:sz w:val="17"/>
          <w:szCs w:val="17"/>
          <w:color w:val="auto"/>
        </w:rPr>
        <w:t>. In the event that any payment or benefit received or to be received by Executive pursuant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otherwise (“</w:t>
      </w:r>
      <w:r>
        <w:rPr>
          <w:rFonts w:ascii="Arial" w:cs="Arial" w:eastAsia="Arial" w:hAnsi="Arial"/>
          <w:sz w:val="17"/>
          <w:szCs w:val="17"/>
          <w:b w:val="1"/>
          <w:bCs w:val="1"/>
          <w:color w:val="auto"/>
        </w:rPr>
        <w:t>Payments</w:t>
      </w:r>
      <w:r>
        <w:rPr>
          <w:rFonts w:ascii="Arial" w:cs="Arial" w:eastAsia="Arial" w:hAnsi="Arial"/>
          <w:sz w:val="17"/>
          <w:szCs w:val="17"/>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7"/>
          <w:szCs w:val="17"/>
          <w:b w:val="1"/>
          <w:bCs w:val="1"/>
          <w:color w:val="auto"/>
        </w:rPr>
        <w:t>Excise Tax</w:t>
      </w:r>
      <w:r>
        <w:rPr>
          <w:rFonts w:ascii="Arial" w:cs="Arial" w:eastAsia="Arial" w:hAnsi="Arial"/>
          <w:sz w:val="17"/>
          <w:szCs w:val="17"/>
          <w:color w:val="auto"/>
        </w:rPr>
        <w:t>”), then, subject to the provisions of Section 6(b) hereof, such Payments shall be either (x) provided in full pursuant to the terms of this Agreement or any other applicable agreement, or (y) provided as to such lesser extent which would result in no portion of such Payments being subject to the Excise Tax (“</w:t>
      </w:r>
      <w:r>
        <w:rPr>
          <w:rFonts w:ascii="Arial" w:cs="Arial" w:eastAsia="Arial" w:hAnsi="Arial"/>
          <w:sz w:val="17"/>
          <w:szCs w:val="17"/>
          <w:b w:val="1"/>
          <w:bCs w:val="1"/>
          <w:color w:val="auto"/>
        </w:rPr>
        <w:t>Reduced Amount</w:t>
      </w:r>
      <w:r>
        <w:rPr>
          <w:rFonts w:ascii="Arial" w:cs="Arial" w:eastAsia="Arial" w:hAnsi="Arial"/>
          <w:sz w:val="17"/>
          <w:szCs w:val="17"/>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7"/>
          <w:szCs w:val="17"/>
          <w:b w:val="1"/>
          <w:bCs w:val="1"/>
          <w:color w:val="auto"/>
        </w:rPr>
        <w:t>Independent Tax Counsel</w:t>
      </w:r>
      <w:r>
        <w:rPr>
          <w:rFonts w:ascii="Arial" w:cs="Arial" w:eastAsia="Arial" w:hAnsi="Arial"/>
          <w:sz w:val="17"/>
          <w:szCs w:val="17"/>
          <w:color w:val="auto"/>
        </w:rPr>
        <w:t>”), whose determination shall be conclusive and binding upon Executive and the Company for all purposes. For purposes of making the calculations required under this Section 6(a), Independent Tax Counsel may make reasonable assumptions and approximations concerning applicable taxes and may rely on reasonable, good faith interpretations concerning the application of Sections 280G and 4999 of the Code; provided that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6(a)(ii)(B)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7"/>
          <w:szCs w:val="17"/>
          <w:b w:val="1"/>
          <w:bCs w:val="1"/>
          <w:color w:val="auto"/>
        </w:rPr>
        <w:t>IRS</w:t>
      </w:r>
      <w:r>
        <w:rPr>
          <w:rFonts w:ascii="Arial" w:cs="Arial" w:eastAsia="Arial" w:hAnsi="Arial"/>
          <w:sz w:val="17"/>
          <w:szCs w:val="17"/>
          <w:color w:val="auto"/>
        </w:rPr>
        <w:t>”) determines that any Payment is subject to the Excise Tax, then Section 6(b) hereof shall apply, and the enforcement of Section 6(b) shall be the exclusive remedy to the Company.</w:t>
      </w:r>
    </w:p>
    <w:p>
      <w:pPr>
        <w:spacing w:after="0" w:line="150" w:lineRule="exact"/>
        <w:rPr>
          <w:rFonts w:ascii="Arial" w:cs="Arial" w:eastAsia="Arial" w:hAnsi="Arial"/>
          <w:sz w:val="17"/>
          <w:szCs w:val="17"/>
          <w:color w:val="010000"/>
        </w:rPr>
      </w:pPr>
    </w:p>
    <w:p>
      <w:pPr>
        <w:jc w:val="both"/>
        <w:ind w:left="-3" w:firstLine="624"/>
        <w:spacing w:after="0" w:line="231" w:lineRule="auto"/>
        <w:tabs>
          <w:tab w:leader="none" w:pos="1225" w:val="left"/>
        </w:tabs>
        <w:numPr>
          <w:ilvl w:val="1"/>
          <w:numId w:val="139"/>
        </w:numPr>
        <w:rPr>
          <w:rFonts w:ascii="Arial" w:cs="Arial" w:eastAsia="Arial" w:hAnsi="Arial"/>
          <w:sz w:val="17"/>
          <w:szCs w:val="17"/>
          <w:color w:val="010000"/>
        </w:rPr>
      </w:pPr>
      <w:r>
        <w:rPr>
          <w:rFonts w:ascii="Arial" w:cs="Arial" w:eastAsia="Arial" w:hAnsi="Arial"/>
          <w:sz w:val="17"/>
          <w:szCs w:val="17"/>
          <w:b w:val="1"/>
          <w:bCs w:val="1"/>
          <w:color w:val="auto"/>
        </w:rPr>
        <w:t>Adjustments</w:t>
      </w:r>
      <w:r>
        <w:rPr>
          <w:rFonts w:ascii="Arial" w:cs="Arial" w:eastAsia="Arial" w:hAnsi="Arial"/>
          <w:sz w:val="17"/>
          <w:szCs w:val="17"/>
          <w:color w:val="auto"/>
        </w:rPr>
        <w:t>. If, notwithstanding any reduction described in Section 6(a) hereof (or in the absence of any such reduction), the IRS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determines that Executive is liable for the Excise Tax as a result of the receipt of one or more Payments, then Executive shall be obligated to surrender or pay back to the Company, within one hundred twenty (120) days after a final IRS determination, an amount of such payments or benefits equal to the “</w:t>
      </w:r>
      <w:r>
        <w:rPr>
          <w:rFonts w:ascii="Arial" w:cs="Arial" w:eastAsia="Arial" w:hAnsi="Arial"/>
          <w:sz w:val="17"/>
          <w:szCs w:val="17"/>
          <w:b w:val="1"/>
          <w:bCs w:val="1"/>
          <w:color w:val="auto"/>
        </w:rPr>
        <w:t>Repayment Amount</w:t>
      </w:r>
      <w:r>
        <w:rPr>
          <w:rFonts w:ascii="Arial" w:cs="Arial" w:eastAsia="Arial" w:hAnsi="Arial"/>
          <w:sz w:val="17"/>
          <w:szCs w:val="17"/>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by Executive from the Payments. If the Excise Tax is not eliminated pursuant to this Section 6(b), Executive shall pay the Excise Tax.</w:t>
      </w:r>
    </w:p>
    <w:p>
      <w:pPr>
        <w:sectPr>
          <w:pgSz w:w="11900" w:h="16838" w:orient="portrait"/>
          <w:cols w:equalWidth="0" w:num="1">
            <w:col w:w="11237"/>
          </w:cols>
          <w:pgMar w:left="323" w:top="1344" w:right="339" w:bottom="1440" w:gutter="0" w:footer="0" w:header="0"/>
        </w:sectPr>
      </w:pPr>
    </w:p>
    <w:bookmarkStart w:id="193" w:name="page194"/>
    <w:bookmarkEnd w:id="193"/>
    <w:p>
      <w:pPr>
        <w:ind w:left="620" w:hanging="617"/>
        <w:spacing w:after="0"/>
        <w:tabs>
          <w:tab w:leader="none" w:pos="620" w:val="left"/>
        </w:tabs>
        <w:numPr>
          <w:ilvl w:val="0"/>
          <w:numId w:val="140"/>
        </w:numPr>
        <w:rPr>
          <w:rFonts w:ascii="Arial" w:cs="Arial" w:eastAsia="Arial" w:hAnsi="Arial"/>
          <w:sz w:val="21"/>
          <w:szCs w:val="21"/>
          <w:color w:val="010000"/>
        </w:rPr>
      </w:pPr>
      <w:r>
        <w:rPr>
          <w:rFonts w:ascii="Arial" w:cs="Arial" w:eastAsia="Arial" w:hAnsi="Arial"/>
          <w:sz w:val="19"/>
          <w:szCs w:val="19"/>
          <w:b w:val="1"/>
          <w:bCs w:val="1"/>
          <w:color w:val="auto"/>
        </w:rPr>
        <w:t>Miscellaneous Provisions.</w:t>
      </w:r>
    </w:p>
    <w:p>
      <w:pPr>
        <w:spacing w:after="0" w:line="159" w:lineRule="exact"/>
        <w:rPr>
          <w:rFonts w:ascii="Arial" w:cs="Arial" w:eastAsia="Arial" w:hAnsi="Arial"/>
          <w:sz w:val="21"/>
          <w:szCs w:val="21"/>
          <w:color w:val="010000"/>
        </w:rPr>
      </w:pPr>
    </w:p>
    <w:p>
      <w:pPr>
        <w:jc w:val="both"/>
        <w:ind w:firstLine="624"/>
        <w:spacing w:after="0" w:line="230" w:lineRule="auto"/>
        <w:tabs>
          <w:tab w:leader="none" w:pos="1231" w:val="left"/>
        </w:tabs>
        <w:numPr>
          <w:ilvl w:val="1"/>
          <w:numId w:val="140"/>
        </w:numPr>
        <w:rPr>
          <w:rFonts w:ascii="Arial" w:cs="Arial" w:eastAsia="Arial" w:hAnsi="Arial"/>
          <w:sz w:val="17"/>
          <w:szCs w:val="17"/>
          <w:color w:val="010000"/>
        </w:rPr>
      </w:pPr>
      <w:r>
        <w:rPr>
          <w:rFonts w:ascii="Arial" w:cs="Arial" w:eastAsia="Arial" w:hAnsi="Arial"/>
          <w:sz w:val="17"/>
          <w:szCs w:val="17"/>
          <w:b w:val="1"/>
          <w:bCs w:val="1"/>
          <w:color w:val="auto"/>
        </w:rPr>
        <w:t>Section 409A</w:t>
      </w:r>
      <w:r>
        <w:rPr>
          <w:rFonts w:ascii="Arial" w:cs="Arial" w:eastAsia="Arial" w:hAnsi="Arial"/>
          <w:sz w:val="17"/>
          <w:szCs w:val="17"/>
          <w:color w:val="auto"/>
        </w:rPr>
        <w:t>. To the extent (i) any payments to which Executive becomes entitled under this Agreement, or any agreement or plan</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referenced 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(x) the expiration of the six (6)-month period measured from the date of Executive’s “separation from service” (as such term is at the time defined in regulations under Section 409A of the Code) with the Company; or (y) the date of Executive’s death following such separation from service;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w:t>
      </w:r>
    </w:p>
    <w:p>
      <w:pPr>
        <w:spacing w:after="0" w:line="148"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w:t>
      </w:r>
    </w:p>
    <w:p>
      <w:pPr>
        <w:spacing w:after="0" w:line="149" w:lineRule="exact"/>
        <w:rPr>
          <w:sz w:val="20"/>
          <w:szCs w:val="20"/>
          <w:color w:val="auto"/>
        </w:rPr>
      </w:pPr>
    </w:p>
    <w:p>
      <w:pPr>
        <w:jc w:val="both"/>
        <w:spacing w:after="0" w:line="208" w:lineRule="auto"/>
        <w:rPr>
          <w:sz w:val="20"/>
          <w:szCs w:val="20"/>
          <w:color w:val="auto"/>
        </w:rPr>
      </w:pPr>
      <w:r>
        <w:rPr>
          <w:rFonts w:ascii="Arial" w:cs="Arial" w:eastAsia="Arial" w:hAnsi="Arial"/>
          <w:sz w:val="19"/>
          <w:szCs w:val="19"/>
          <w:color w:val="auto"/>
        </w:rPr>
        <w:t>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 2(b)(2) of the regulations under Section 409A.</w:t>
      </w:r>
    </w:p>
    <w:p>
      <w:pPr>
        <w:spacing w:after="0" w:line="142" w:lineRule="exact"/>
        <w:rPr>
          <w:sz w:val="20"/>
          <w:szCs w:val="20"/>
          <w:color w:val="auto"/>
        </w:rPr>
      </w:pPr>
    </w:p>
    <w:p>
      <w:pPr>
        <w:jc w:val="both"/>
        <w:ind w:firstLine="624"/>
        <w:spacing w:after="0" w:line="207" w:lineRule="auto"/>
        <w:tabs>
          <w:tab w:leader="none" w:pos="1228" w:val="left"/>
        </w:tabs>
        <w:numPr>
          <w:ilvl w:val="0"/>
          <w:numId w:val="141"/>
        </w:numPr>
        <w:rPr>
          <w:rFonts w:ascii="Arial" w:cs="Arial" w:eastAsia="Arial" w:hAnsi="Arial"/>
          <w:sz w:val="19"/>
          <w:szCs w:val="19"/>
          <w:color w:val="010000"/>
        </w:rPr>
      </w:pPr>
      <w:r>
        <w:rPr>
          <w:rFonts w:ascii="Arial" w:cs="Arial" w:eastAsia="Arial" w:hAnsi="Arial"/>
          <w:sz w:val="19"/>
          <w:szCs w:val="19"/>
          <w:b w:val="1"/>
          <w:bCs w:val="1"/>
          <w:color w:val="auto"/>
        </w:rPr>
        <w:t>Other Severance and Acceleration Arrangements</w:t>
      </w:r>
      <w:r>
        <w:rPr>
          <w:rFonts w:ascii="Arial" w:cs="Arial" w:eastAsia="Arial" w:hAnsi="Arial"/>
          <w:sz w:val="19"/>
          <w:szCs w:val="19"/>
          <w:color w:val="auto"/>
        </w:rPr>
        <w:t>. Except as otherwise specified herein, this Agreement represents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between Executive and the Company with respect to any and all severance arrangements, vesting acceleration arrangements, and post-termination stock option exercise period arrangements, and supersedes and replaces any and all prior verbal or written discussions, negotiations, and/or agreements between Executive and the Company relating to the subject matter hereof as may be set forth under, but not limited to, any and all prior agreements governing any Equity Award, any change in control and severance agreements, employment agreement, offer letter, or programs and plans which were previously offered by the Company to Executive, and Executive hereby waives Executive’s rights to any and all such other severance arrangements, vesting acceleration arrangements, and post-termination stock option exercise period arrangements, as applicable.</w:t>
      </w:r>
    </w:p>
    <w:p>
      <w:pPr>
        <w:spacing w:after="0" w:line="146" w:lineRule="exact"/>
        <w:rPr>
          <w:rFonts w:ascii="Arial" w:cs="Arial" w:eastAsia="Arial" w:hAnsi="Arial"/>
          <w:sz w:val="19"/>
          <w:szCs w:val="19"/>
          <w:color w:val="010000"/>
        </w:rPr>
      </w:pPr>
    </w:p>
    <w:p>
      <w:pPr>
        <w:jc w:val="both"/>
        <w:ind w:firstLine="624"/>
        <w:spacing w:after="0" w:line="232" w:lineRule="auto"/>
        <w:tabs>
          <w:tab w:leader="none" w:pos="1231" w:val="left"/>
        </w:tabs>
        <w:numPr>
          <w:ilvl w:val="0"/>
          <w:numId w:val="141"/>
        </w:numPr>
        <w:rPr>
          <w:rFonts w:ascii="Arial" w:cs="Arial" w:eastAsia="Arial" w:hAnsi="Arial"/>
          <w:sz w:val="17"/>
          <w:szCs w:val="17"/>
          <w:color w:val="010000"/>
        </w:rPr>
      </w:pPr>
      <w:r>
        <w:rPr>
          <w:rFonts w:ascii="Arial" w:cs="Arial" w:eastAsia="Arial" w:hAnsi="Arial"/>
          <w:sz w:val="17"/>
          <w:szCs w:val="17"/>
          <w:b w:val="1"/>
          <w:bCs w:val="1"/>
          <w:color w:val="auto"/>
        </w:rPr>
        <w:t>Dispute Resolution</w:t>
      </w:r>
      <w:r>
        <w:rPr>
          <w:rFonts w:ascii="Arial" w:cs="Arial" w:eastAsia="Arial" w:hAnsi="Arial"/>
          <w:sz w:val="17"/>
          <w:szCs w:val="17"/>
          <w:color w:val="auto"/>
        </w:rPr>
        <w:t>. To ensure rapid and economical resolution of any and all disputes that might arise in connection with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Los Angeles County, CA, and conducted by JAMs under its then-existing employment rules and procedures. The JAMS rules may be found and reviewed at </w:t>
      </w:r>
      <w:r>
        <w:rPr>
          <w:rFonts w:ascii="Arial" w:cs="Arial" w:eastAsia="Arial" w:hAnsi="Arial"/>
          <w:sz w:val="17"/>
          <w:szCs w:val="17"/>
          <w:u w:val="single" w:color="auto"/>
          <w:color w:val="0563C1"/>
        </w:rPr>
        <w:t>http://www.jamsadr.com/rules-employment-arbitration</w:t>
      </w:r>
      <w:r>
        <w:rPr>
          <w:rFonts w:ascii="Arial" w:cs="Arial" w:eastAsia="Arial" w:hAnsi="Arial"/>
          <w:sz w:val="17"/>
          <w:szCs w:val="17"/>
          <w:color w:val="auto"/>
        </w:rPr>
        <w:t>. The arbitrator shall issue a written decision that contains the essential findings and conclusions on which the decision is based. The arbitration provisions of this Agreement shall be governed by and enforceable pursuant to the Federal Arbitration Act. In all other respects for provisions not governed by the Federal Arbitration Act, this Agreement shall be construed in accordance with the laws of the State of California, without reference to</w:t>
      </w:r>
    </w:p>
    <w:p>
      <w:pPr>
        <w:sectPr>
          <w:pgSz w:w="11900" w:h="16838" w:orient="portrait"/>
          <w:cols w:equalWidth="0" w:num="1">
            <w:col w:w="11240"/>
          </w:cols>
          <w:pgMar w:left="320" w:top="1357" w:right="339" w:bottom="1440" w:gutter="0" w:footer="0" w:header="0"/>
        </w:sectPr>
      </w:pPr>
    </w:p>
    <w:bookmarkStart w:id="194" w:name="page195"/>
    <w:bookmarkEnd w:id="194"/>
    <w:p>
      <w:pPr>
        <w:jc w:val="both"/>
        <w:spacing w:after="0" w:line="220" w:lineRule="auto"/>
        <w:rPr>
          <w:sz w:val="20"/>
          <w:szCs w:val="20"/>
          <w:color w:val="auto"/>
        </w:rPr>
      </w:pPr>
      <w:r>
        <w:rPr>
          <w:rFonts w:ascii="Arial" w:cs="Arial" w:eastAsia="Arial" w:hAnsi="Arial"/>
          <w:sz w:val="19"/>
          <w:szCs w:val="19"/>
          <w:color w:val="auto"/>
        </w:rPr>
        <w:t>conflicts of law principles.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w:t>
      </w:r>
    </w:p>
    <w:p>
      <w:pPr>
        <w:spacing w:after="0" w:line="143" w:lineRule="exact"/>
        <w:rPr>
          <w:sz w:val="20"/>
          <w:szCs w:val="20"/>
          <w:color w:val="auto"/>
        </w:rPr>
      </w:pPr>
    </w:p>
    <w:p>
      <w:pPr>
        <w:jc w:val="both"/>
        <w:ind w:firstLine="624"/>
        <w:spacing w:after="0" w:line="225" w:lineRule="auto"/>
        <w:tabs>
          <w:tab w:leader="none" w:pos="1228" w:val="left"/>
        </w:tabs>
        <w:numPr>
          <w:ilvl w:val="0"/>
          <w:numId w:val="142"/>
        </w:numPr>
        <w:rPr>
          <w:rFonts w:ascii="Arial" w:cs="Arial" w:eastAsia="Arial" w:hAnsi="Arial"/>
          <w:sz w:val="18"/>
          <w:szCs w:val="18"/>
          <w:color w:val="010000"/>
        </w:rPr>
      </w:pPr>
      <w:r>
        <w:rPr>
          <w:rFonts w:ascii="Arial" w:cs="Arial" w:eastAsia="Arial" w:hAnsi="Arial"/>
          <w:sz w:val="18"/>
          <w:szCs w:val="18"/>
          <w:b w:val="1"/>
          <w:bCs w:val="1"/>
          <w:color w:val="auto"/>
        </w:rPr>
        <w:t>Notice</w:t>
      </w:r>
      <w:r>
        <w:rPr>
          <w:rFonts w:ascii="Arial" w:cs="Arial" w:eastAsia="Arial" w:hAnsi="Arial"/>
          <w:sz w:val="18"/>
          <w:szCs w:val="18"/>
          <w:color w:val="auto"/>
        </w:rPr>
        <w:t>. Notices and all other communications contemplated by this Agreement shall be in writing and shall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duly given when personally delivered or when mailed by U.S. registered or certified mail, return receipt requested and postage prepaid or deposited with an overnight courier, with shipping charges prepaid. In the case of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140" w:lineRule="exact"/>
        <w:rPr>
          <w:rFonts w:ascii="Arial" w:cs="Arial" w:eastAsia="Arial" w:hAnsi="Arial"/>
          <w:sz w:val="18"/>
          <w:szCs w:val="18"/>
          <w:color w:val="010000"/>
        </w:rPr>
      </w:pPr>
    </w:p>
    <w:p>
      <w:pPr>
        <w:jc w:val="both"/>
        <w:ind w:firstLine="624"/>
        <w:spacing w:after="0" w:line="210" w:lineRule="auto"/>
        <w:tabs>
          <w:tab w:leader="none" w:pos="1231" w:val="left"/>
        </w:tabs>
        <w:numPr>
          <w:ilvl w:val="0"/>
          <w:numId w:val="142"/>
        </w:numPr>
        <w:rPr>
          <w:rFonts w:ascii="Arial" w:cs="Arial" w:eastAsia="Arial" w:hAnsi="Arial"/>
          <w:sz w:val="19"/>
          <w:szCs w:val="19"/>
          <w:color w:val="010000"/>
        </w:rPr>
      </w:pPr>
      <w:r>
        <w:rPr>
          <w:rFonts w:ascii="Arial" w:cs="Arial" w:eastAsia="Arial" w:hAnsi="Arial"/>
          <w:sz w:val="19"/>
          <w:szCs w:val="19"/>
          <w:b w:val="1"/>
          <w:bCs w:val="1"/>
          <w:color w:val="auto"/>
        </w:rPr>
        <w:t>Amendment; Waiver</w:t>
      </w:r>
      <w:r>
        <w:rPr>
          <w:rFonts w:ascii="Arial" w:cs="Arial" w:eastAsia="Arial" w:hAnsi="Arial"/>
          <w:sz w:val="19"/>
          <w:szCs w:val="19"/>
          <w:color w:val="auto"/>
        </w:rPr>
        <w:t>. This Agreement may not be amended or waived except by a writing signed by Executive and by a duly</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representative of the Company other than Executive. No provision of this Agreement shall be modified, waived, superseded or discharged unless the modification, waiver or discharge is agreed to in writing and signed by Executive and by an authorized officer of the Company (other than Executive) and, to the extent it supersedes this Agreement, that this Agreement is referred to by date.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45" w:lineRule="exact"/>
        <w:rPr>
          <w:rFonts w:ascii="Arial" w:cs="Arial" w:eastAsia="Arial" w:hAnsi="Arial"/>
          <w:sz w:val="19"/>
          <w:szCs w:val="19"/>
          <w:color w:val="010000"/>
        </w:rPr>
      </w:pPr>
    </w:p>
    <w:p>
      <w:pPr>
        <w:ind w:firstLine="624"/>
        <w:spacing w:after="0" w:line="234" w:lineRule="auto"/>
        <w:tabs>
          <w:tab w:leader="none" w:pos="1236" w:val="left"/>
        </w:tabs>
        <w:numPr>
          <w:ilvl w:val="0"/>
          <w:numId w:val="142"/>
        </w:numPr>
        <w:rPr>
          <w:rFonts w:ascii="Arial" w:cs="Arial" w:eastAsia="Arial" w:hAnsi="Arial"/>
          <w:sz w:val="19"/>
          <w:szCs w:val="19"/>
          <w:color w:val="010000"/>
        </w:rPr>
      </w:pPr>
      <w:r>
        <w:rPr>
          <w:rFonts w:ascii="Arial" w:cs="Arial" w:eastAsia="Arial" w:hAnsi="Arial"/>
          <w:sz w:val="19"/>
          <w:szCs w:val="19"/>
          <w:b w:val="1"/>
          <w:bCs w:val="1"/>
          <w:color w:val="auto"/>
        </w:rPr>
        <w:t>Withholding Taxes</w:t>
      </w:r>
      <w:r>
        <w:rPr>
          <w:rFonts w:ascii="Arial" w:cs="Arial" w:eastAsia="Arial" w:hAnsi="Arial"/>
          <w:sz w:val="19"/>
          <w:szCs w:val="19"/>
          <w:color w:val="auto"/>
        </w:rPr>
        <w:t>. All payments made under this Agreement shall be subject to reduction to reflect taxes or other charges</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be withheld by law.</w:t>
      </w:r>
    </w:p>
    <w:p>
      <w:pPr>
        <w:spacing w:after="0" w:line="142" w:lineRule="exact"/>
        <w:rPr>
          <w:rFonts w:ascii="Arial" w:cs="Arial" w:eastAsia="Arial" w:hAnsi="Arial"/>
          <w:sz w:val="19"/>
          <w:szCs w:val="19"/>
          <w:color w:val="010000"/>
        </w:rPr>
      </w:pPr>
    </w:p>
    <w:p>
      <w:pPr>
        <w:ind w:firstLine="624"/>
        <w:spacing w:after="0" w:line="234" w:lineRule="auto"/>
        <w:tabs>
          <w:tab w:leader="none" w:pos="1228" w:val="left"/>
        </w:tabs>
        <w:numPr>
          <w:ilvl w:val="0"/>
          <w:numId w:val="142"/>
        </w:numPr>
        <w:rPr>
          <w:rFonts w:ascii="Arial" w:cs="Arial" w:eastAsia="Arial" w:hAnsi="Arial"/>
          <w:sz w:val="19"/>
          <w:szCs w:val="19"/>
          <w:color w:val="010000"/>
        </w:rPr>
      </w:pPr>
      <w:r>
        <w:rPr>
          <w:rFonts w:ascii="Arial" w:cs="Arial" w:eastAsia="Arial" w:hAnsi="Arial"/>
          <w:sz w:val="19"/>
          <w:szCs w:val="19"/>
          <w:b w:val="1"/>
          <w:bCs w:val="1"/>
          <w:color w:val="auto"/>
        </w:rPr>
        <w:t>Severability</w:t>
      </w:r>
      <w:r>
        <w:rPr>
          <w:rFonts w:ascii="Arial" w:cs="Arial" w:eastAsia="Arial" w:hAnsi="Arial"/>
          <w:sz w:val="19"/>
          <w:szCs w:val="19"/>
          <w:color w:val="auto"/>
        </w:rPr>
        <w:t>. The invalidity or unenforceability of any provision or provisions of this Agreement shall not affect the validity or</w:t>
      </w:r>
      <w:r>
        <w:rPr>
          <w:rFonts w:ascii="Arial" w:cs="Arial" w:eastAsia="Arial" w:hAnsi="Arial"/>
          <w:sz w:val="19"/>
          <w:szCs w:val="19"/>
          <w:b w:val="1"/>
          <w:bCs w:val="1"/>
          <w:color w:val="auto"/>
        </w:rPr>
        <w:t xml:space="preserve"> </w:t>
      </w:r>
      <w:r>
        <w:rPr>
          <w:rFonts w:ascii="Arial" w:cs="Arial" w:eastAsia="Arial" w:hAnsi="Arial"/>
          <w:sz w:val="19"/>
          <w:szCs w:val="19"/>
          <w:color w:val="auto"/>
        </w:rPr>
        <w:t>enforceability of any other provision hereof, which shall remain in full force and effect.</w:t>
      </w:r>
    </w:p>
    <w:p>
      <w:pPr>
        <w:spacing w:after="0" w:line="142" w:lineRule="exact"/>
        <w:rPr>
          <w:rFonts w:ascii="Arial" w:cs="Arial" w:eastAsia="Arial" w:hAnsi="Arial"/>
          <w:sz w:val="19"/>
          <w:szCs w:val="19"/>
          <w:color w:val="010000"/>
        </w:rPr>
      </w:pPr>
    </w:p>
    <w:p>
      <w:pPr>
        <w:jc w:val="both"/>
        <w:ind w:firstLine="624"/>
        <w:spacing w:after="0" w:line="253" w:lineRule="auto"/>
        <w:tabs>
          <w:tab w:leader="none" w:pos="1228" w:val="left"/>
        </w:tabs>
        <w:numPr>
          <w:ilvl w:val="0"/>
          <w:numId w:val="142"/>
        </w:numPr>
        <w:rPr>
          <w:rFonts w:ascii="Arial" w:cs="Arial" w:eastAsia="Arial" w:hAnsi="Arial"/>
          <w:sz w:val="17"/>
          <w:szCs w:val="17"/>
          <w:color w:val="010000"/>
        </w:rPr>
      </w:pPr>
      <w:r>
        <w:rPr>
          <w:rFonts w:ascii="Arial" w:cs="Arial" w:eastAsia="Arial" w:hAnsi="Arial"/>
          <w:sz w:val="17"/>
          <w:szCs w:val="17"/>
          <w:b w:val="1"/>
          <w:bCs w:val="1"/>
          <w:color w:val="auto"/>
        </w:rPr>
        <w:t>No Retention Rights</w:t>
      </w:r>
      <w:r>
        <w:rPr>
          <w:rFonts w:ascii="Arial" w:cs="Arial" w:eastAsia="Arial" w:hAnsi="Arial"/>
          <w:sz w:val="17"/>
          <w:szCs w:val="17"/>
          <w:color w:val="auto"/>
        </w:rPr>
        <w:t>. Nothing in this Agreement shall confer upon Executive any right to continue in service for any period of</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 duration or interfere with or otherwise restrict in any way the rights of the Company or any subsidiary of the Company or of Executive, which rights are hereby expressly reserved by each, to terminate his or her service at any time and for any reason, with or without Cause.</w:t>
      </w:r>
    </w:p>
    <w:p>
      <w:pPr>
        <w:spacing w:after="0" w:line="131" w:lineRule="exact"/>
        <w:rPr>
          <w:rFonts w:ascii="Arial" w:cs="Arial" w:eastAsia="Arial" w:hAnsi="Arial"/>
          <w:sz w:val="17"/>
          <w:szCs w:val="17"/>
          <w:color w:val="010000"/>
        </w:rPr>
      </w:pPr>
    </w:p>
    <w:p>
      <w:pPr>
        <w:ind w:firstLine="624"/>
        <w:spacing w:after="0" w:line="234" w:lineRule="auto"/>
        <w:tabs>
          <w:tab w:leader="none" w:pos="1238" w:val="left"/>
        </w:tabs>
        <w:numPr>
          <w:ilvl w:val="0"/>
          <w:numId w:val="142"/>
        </w:numPr>
        <w:rPr>
          <w:rFonts w:ascii="Arial" w:cs="Arial" w:eastAsia="Arial" w:hAnsi="Arial"/>
          <w:sz w:val="19"/>
          <w:szCs w:val="19"/>
          <w:color w:val="010000"/>
        </w:rPr>
      </w:pPr>
      <w:r>
        <w:rPr>
          <w:rFonts w:ascii="Arial" w:cs="Arial" w:eastAsia="Arial" w:hAnsi="Arial"/>
          <w:sz w:val="19"/>
          <w:szCs w:val="19"/>
          <w:b w:val="1"/>
          <w:bCs w:val="1"/>
          <w:color w:val="auto"/>
        </w:rPr>
        <w:t>Choice of Law</w:t>
      </w:r>
      <w:r>
        <w:rPr>
          <w:rFonts w:ascii="Arial" w:cs="Arial" w:eastAsia="Arial" w:hAnsi="Arial"/>
          <w:sz w:val="19"/>
          <w:szCs w:val="19"/>
          <w:color w:val="auto"/>
        </w:rPr>
        <w:t>. The validity, interpretation, construction and performance of this Agreement shall be governed by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California (other than their choice-of-law provisions).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 Page Follows]</w:t>
      </w:r>
    </w:p>
    <w:p>
      <w:pPr>
        <w:sectPr>
          <w:pgSz w:w="11900" w:h="16838" w:orient="portrait"/>
          <w:cols w:equalWidth="0" w:num="1">
            <w:col w:w="11240"/>
          </w:cols>
          <w:pgMar w:left="320" w:top="1350" w:right="339" w:bottom="1440" w:gutter="0" w:footer="0" w:header="0"/>
        </w:sectPr>
      </w:pPr>
    </w:p>
    <w:bookmarkStart w:id="195" w:name="page196"/>
    <w:bookmarkEnd w:id="195"/>
    <w:p>
      <w:pPr>
        <w:spacing w:after="0" w:line="234"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each of the parties has executed this</w:t>
      </w:r>
      <w:r>
        <w:rPr>
          <w:rFonts w:ascii="Arial" w:cs="Arial" w:eastAsia="Arial" w:hAnsi="Arial"/>
          <w:sz w:val="19"/>
          <w:szCs w:val="19"/>
          <w:b w:val="1"/>
          <w:bCs w:val="1"/>
          <w:color w:val="auto"/>
        </w:rPr>
        <w:t xml:space="preserve"> Severance &amp; Change in Control Agreement, </w:t>
      </w:r>
      <w:r>
        <w:rPr>
          <w:rFonts w:ascii="Arial" w:cs="Arial" w:eastAsia="Arial" w:hAnsi="Arial"/>
          <w:sz w:val="19"/>
          <w:szCs w:val="19"/>
          <w:color w:val="auto"/>
        </w:rPr>
        <w:t>as of the day and year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has been signed by both parties.</w:t>
      </w:r>
    </w:p>
    <w:p>
      <w:pPr>
        <w:spacing w:after="0" w:line="200" w:lineRule="exact"/>
        <w:rPr>
          <w:sz w:val="20"/>
          <w:szCs w:val="20"/>
          <w:color w:val="auto"/>
        </w:rPr>
      </w:pPr>
    </w:p>
    <w:p>
      <w:pPr>
        <w:ind w:left="5760"/>
        <w:spacing w:after="0"/>
        <w:rPr>
          <w:sz w:val="20"/>
          <w:szCs w:val="20"/>
          <w:color w:val="auto"/>
        </w:rPr>
      </w:pPr>
      <w:r>
        <w:rPr>
          <w:rFonts w:ascii="Arial" w:cs="Arial" w:eastAsia="Arial" w:hAnsi="Arial"/>
          <w:sz w:val="19"/>
          <w:szCs w:val="19"/>
          <w:color w:val="auto"/>
        </w:rPr>
        <w:t>ARCUTIS BIOTHERAPEUTICS, INC.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9"/>
          <w:szCs w:val="19"/>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74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/s/ Masaru Matsuda</w:t>
            </w:r>
          </w:p>
        </w:tc>
        <w:tc>
          <w:tcPr>
            <w:tcW w:w="7500" w:type="dxa"/>
            <w:vAlign w:val="bottom"/>
            <w:tcBorders>
              <w:top w:val="single" w:sz="8" w:color="auto"/>
            </w:tcBorders>
          </w:tcPr>
          <w:p>
            <w:pPr>
              <w:ind w:left="2020"/>
              <w:spacing w:after="0"/>
              <w:rPr>
                <w:sz w:val="20"/>
                <w:szCs w:val="20"/>
                <w:color w:val="auto"/>
              </w:rPr>
            </w:pPr>
            <w:r>
              <w:rPr>
                <w:rFonts w:ascii="Arial" w:cs="Arial" w:eastAsia="Arial" w:hAnsi="Arial"/>
                <w:sz w:val="19"/>
                <w:szCs w:val="19"/>
                <w:color w:val="auto"/>
              </w:rPr>
              <w:t>By: /s/ Frank Watanabe</w:t>
            </w:r>
          </w:p>
        </w:tc>
      </w:tr>
      <w:tr>
        <w:trPr>
          <w:trHeight w:val="185"/>
        </w:trPr>
        <w:tc>
          <w:tcPr>
            <w:tcW w:w="3740" w:type="dxa"/>
            <w:vAlign w:val="bottom"/>
          </w:tcPr>
          <w:p>
            <w:pPr>
              <w:ind w:left="60"/>
              <w:spacing w:after="0" w:line="184" w:lineRule="exact"/>
              <w:rPr>
                <w:sz w:val="20"/>
                <w:szCs w:val="20"/>
                <w:color w:val="auto"/>
              </w:rPr>
            </w:pPr>
            <w:r>
              <w:rPr>
                <w:rFonts w:ascii="Arial" w:cs="Arial" w:eastAsia="Arial" w:hAnsi="Arial"/>
                <w:sz w:val="19"/>
                <w:szCs w:val="19"/>
                <w:color w:val="auto"/>
              </w:rPr>
              <w:t>Date: January 3, 2022</w:t>
            </w:r>
          </w:p>
        </w:tc>
        <w:tc>
          <w:tcPr>
            <w:tcW w:w="7500" w:type="dxa"/>
            <w:vAlign w:val="bottom"/>
          </w:tcPr>
          <w:p>
            <w:pPr>
              <w:ind w:left="2020"/>
              <w:spacing w:after="0" w:line="184" w:lineRule="exact"/>
              <w:rPr>
                <w:sz w:val="20"/>
                <w:szCs w:val="20"/>
                <w:color w:val="auto"/>
              </w:rPr>
            </w:pPr>
            <w:r>
              <w:rPr>
                <w:rFonts w:ascii="Arial" w:cs="Arial" w:eastAsia="Arial" w:hAnsi="Arial"/>
                <w:sz w:val="19"/>
                <w:szCs w:val="19"/>
                <w:color w:val="auto"/>
              </w:rPr>
              <w:t>Title: President and Chief Executive Officer</w:t>
            </w:r>
          </w:p>
        </w:tc>
      </w:tr>
      <w:tr>
        <w:trPr>
          <w:trHeight w:val="241"/>
        </w:trPr>
        <w:tc>
          <w:tcPr>
            <w:tcW w:w="3740" w:type="dxa"/>
            <w:vAlign w:val="bottom"/>
          </w:tcPr>
          <w:p>
            <w:pPr>
              <w:spacing w:after="0"/>
              <w:rPr>
                <w:sz w:val="20"/>
                <w:szCs w:val="20"/>
                <w:color w:val="auto"/>
              </w:rPr>
            </w:pPr>
          </w:p>
        </w:tc>
        <w:tc>
          <w:tcPr>
            <w:tcW w:w="7500" w:type="dxa"/>
            <w:vAlign w:val="bottom"/>
          </w:tcPr>
          <w:p>
            <w:pPr>
              <w:ind w:left="2020"/>
              <w:spacing w:after="0"/>
              <w:rPr>
                <w:sz w:val="20"/>
                <w:szCs w:val="20"/>
                <w:color w:val="auto"/>
              </w:rPr>
            </w:pPr>
            <w:r>
              <w:rPr>
                <w:rFonts w:ascii="Arial" w:cs="Arial" w:eastAsia="Arial" w:hAnsi="Arial"/>
                <w:sz w:val="19"/>
                <w:szCs w:val="19"/>
                <w:color w:val="auto"/>
              </w:rPr>
              <w:t>Date: January 2,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 Page to the Severance &amp; Change in Control Agreement]</w:t>
      </w:r>
    </w:p>
    <w:p>
      <w:pPr>
        <w:sectPr>
          <w:pgSz w:w="11900" w:h="16838" w:orient="portrait"/>
          <w:cols w:equalWidth="0" w:num="1">
            <w:col w:w="11240"/>
          </w:cols>
          <w:pgMar w:left="320" w:top="1344"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LOAN AND SECURITY AGREEMENT</w:t>
      </w:r>
    </w:p>
    <w:p>
      <w:pPr>
        <w:spacing w:after="0" w:line="156" w:lineRule="exact"/>
        <w:rPr>
          <w:sz w:val="20"/>
          <w:szCs w:val="20"/>
          <w:color w:val="auto"/>
        </w:rPr>
      </w:pPr>
    </w:p>
    <w:p>
      <w:pPr>
        <w:jc w:val="both"/>
        <w:ind w:firstLine="620"/>
        <w:spacing w:after="0" w:line="220"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(as the same may be amended, restated, modified, or supplemented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December 22, 2021 (the “</w:t>
      </w:r>
      <w:r>
        <w:rPr>
          <w:rFonts w:ascii="Arial" w:cs="Arial" w:eastAsia="Arial" w:hAnsi="Arial"/>
          <w:sz w:val="18"/>
          <w:szCs w:val="18"/>
          <w:b w:val="1"/>
          <w:bCs w:val="1"/>
          <w:color w:val="auto"/>
        </w:rPr>
        <w:t>Effective Date</w:t>
      </w:r>
      <w:r>
        <w:rPr>
          <w:rFonts w:ascii="Arial" w:cs="Arial" w:eastAsia="Arial" w:hAnsi="Arial"/>
          <w:sz w:val="18"/>
          <w:szCs w:val="18"/>
          <w:color w:val="auto"/>
        </w:rPr>
        <w:t>”) among SLR Investment Corp., a Maryland corporation with an office located at 500 Park Avenue, 3rd Floor, New York, NY 10022 (“</w:t>
      </w:r>
      <w:r>
        <w:rPr>
          <w:rFonts w:ascii="Arial" w:cs="Arial" w:eastAsia="Arial" w:hAnsi="Arial"/>
          <w:sz w:val="18"/>
          <w:szCs w:val="18"/>
          <w:b w:val="1"/>
          <w:bCs w:val="1"/>
          <w:color w:val="auto"/>
        </w:rPr>
        <w:t>SLR</w:t>
      </w:r>
      <w:r>
        <w:rPr>
          <w:rFonts w:ascii="Arial" w:cs="Arial" w:eastAsia="Arial" w:hAnsi="Arial"/>
          <w:sz w:val="18"/>
          <w:szCs w:val="18"/>
          <w:color w:val="auto"/>
        </w:rPr>
        <w:t>”), as collateral agent (in such capacity, together with its successors and assigns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 xml:space="preserve">”), and the lenders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hereof or otherwise a party hereto from time to time including SLR in its capacity as a Lender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ARCUTIS BIOTHERAPEUTICS, INC., a Delaware corporation with offices located at 3027 Townsgate Road, Suite 300, Westlake Village, CA 91361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the Lenders shall lend to Borrower and Borrower shall repay the Lenders. The parties agree as follows:</w:t>
      </w:r>
    </w:p>
    <w:p>
      <w:pPr>
        <w:spacing w:after="0" w:line="119" w:lineRule="exact"/>
        <w:rPr>
          <w:sz w:val="20"/>
          <w:szCs w:val="20"/>
          <w:color w:val="auto"/>
        </w:rPr>
      </w:pPr>
    </w:p>
    <w:p>
      <w:pPr>
        <w:ind w:left="620" w:hanging="617"/>
        <w:spacing w:after="0"/>
        <w:tabs>
          <w:tab w:leader="none" w:pos="620" w:val="left"/>
        </w:tabs>
        <w:numPr>
          <w:ilvl w:val="0"/>
          <w:numId w:val="143"/>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 AND OTHER TERMS</w:t>
      </w:r>
    </w:p>
    <w:p>
      <w:pPr>
        <w:spacing w:after="0" w:line="156" w:lineRule="exact"/>
        <w:rPr>
          <w:sz w:val="20"/>
          <w:szCs w:val="20"/>
          <w:color w:val="auto"/>
        </w:rPr>
      </w:pPr>
    </w:p>
    <w:p>
      <w:pPr>
        <w:jc w:val="both"/>
        <w:ind w:firstLine="595"/>
        <w:spacing w:after="0" w:line="210" w:lineRule="auto"/>
        <w:rPr>
          <w:sz w:val="20"/>
          <w:szCs w:val="20"/>
          <w:color w:val="auto"/>
        </w:rPr>
      </w:pPr>
      <w:r>
        <w:rPr>
          <w:rFonts w:ascii="Arial" w:cs="Arial" w:eastAsia="Arial" w:hAnsi="Arial"/>
          <w:sz w:val="19"/>
          <w:szCs w:val="19"/>
          <w:b w:val="1"/>
          <w:bCs w:val="1"/>
          <w:color w:val="auto"/>
        </w:rPr>
        <w:t xml:space="preserve">1.1 Terms. </w:t>
      </w:r>
      <w:r>
        <w:rPr>
          <w:rFonts w:ascii="Arial" w:cs="Arial" w:eastAsia="Arial" w:hAnsi="Arial"/>
          <w:sz w:val="19"/>
          <w:szCs w:val="19"/>
          <w:color w:val="auto"/>
        </w:rPr>
        <w:t>Capitalized terms used herein shall have the meanings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1.4</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defined therein. All other</w:t>
      </w:r>
      <w:r>
        <w:rPr>
          <w:rFonts w:ascii="Arial" w:cs="Arial" w:eastAsia="Arial" w:hAnsi="Arial"/>
          <w:sz w:val="19"/>
          <w:szCs w:val="19"/>
          <w:b w:val="1"/>
          <w:bCs w:val="1"/>
          <w:color w:val="auto"/>
        </w:rPr>
        <w:t xml:space="preserve"> </w:t>
      </w:r>
      <w:r>
        <w:rPr>
          <w:rFonts w:ascii="Arial" w:cs="Arial" w:eastAsia="Arial" w:hAnsi="Arial"/>
          <w:sz w:val="19"/>
          <w:szCs w:val="19"/>
          <w:color w:val="auto"/>
        </w:rPr>
        <w:t>capitalized terms used but not 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 For the avoidance of doubt, and without limitation of the foregoing, Permitted Convertible Indebtedness shall at all times be valued at the full stated principal amount thereof and shall not include any reduction or appreciation in value of the shares deliverable upon conversion thereof.</w:t>
      </w:r>
    </w:p>
    <w:p>
      <w:pPr>
        <w:spacing w:after="0" w:line="132" w:lineRule="exact"/>
        <w:rPr>
          <w:sz w:val="20"/>
          <w:szCs w:val="20"/>
          <w:color w:val="auto"/>
        </w:rPr>
      </w:pPr>
    </w:p>
    <w:p>
      <w:pPr>
        <w:ind w:left="600"/>
        <w:spacing w:after="0"/>
        <w:tabs>
          <w:tab w:leader="none" w:pos="122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6"/>
          <w:szCs w:val="16"/>
          <w:b w:val="1"/>
          <w:bCs w:val="1"/>
          <w:color w:val="auto"/>
        </w:rPr>
        <w:t xml:space="preserve">Section References. </w:t>
      </w:r>
      <w:r>
        <w:rPr>
          <w:rFonts w:ascii="Arial" w:cs="Arial" w:eastAsia="Arial" w:hAnsi="Arial"/>
          <w:sz w:val="16"/>
          <w:szCs w:val="16"/>
          <w:color w:val="auto"/>
        </w:rPr>
        <w:t>Any section, subsection, schedule or exhibit references are to this Agreement unless otherwise specified.</w:t>
      </w:r>
    </w:p>
    <w:p>
      <w:pPr>
        <w:spacing w:after="0" w:line="143" w:lineRule="exact"/>
        <w:rPr>
          <w:sz w:val="20"/>
          <w:szCs w:val="20"/>
          <w:color w:val="auto"/>
        </w:rPr>
      </w:pPr>
    </w:p>
    <w:p>
      <w:pPr>
        <w:jc w:val="both"/>
        <w:ind w:firstLine="595"/>
        <w:spacing w:after="0" w:line="231" w:lineRule="auto"/>
        <w:rPr>
          <w:sz w:val="20"/>
          <w:szCs w:val="20"/>
          <w:color w:val="auto"/>
        </w:rPr>
      </w:pPr>
      <w:r>
        <w:rPr>
          <w:rFonts w:ascii="Arial" w:cs="Arial" w:eastAsia="Arial" w:hAnsi="Arial"/>
          <w:sz w:val="17"/>
          <w:szCs w:val="17"/>
          <w:b w:val="1"/>
          <w:bCs w:val="1"/>
          <w:color w:val="auto"/>
        </w:rPr>
        <w:t>1.3 Divisions</w:t>
      </w:r>
      <w:r>
        <w:rPr>
          <w:rFonts w:ascii="Arial" w:cs="Arial" w:eastAsia="Arial" w:hAnsi="Arial"/>
          <w:sz w:val="17"/>
          <w:szCs w:val="17"/>
          <w:color w:val="auto"/>
        </w:rPr>
        <w:t>. For all purposes under the Loan Documents, in connection with any division or plan of division under Delaware law (or</w:t>
      </w:r>
      <w:r>
        <w:rPr>
          <w:rFonts w:ascii="Arial" w:cs="Arial" w:eastAsia="Arial" w:hAnsi="Arial"/>
          <w:sz w:val="17"/>
          <w:szCs w:val="17"/>
          <w:b w:val="1"/>
          <w:bCs w:val="1"/>
          <w:color w:val="auto"/>
        </w:rPr>
        <w:t xml:space="preserve"> </w:t>
      </w:r>
      <w:r>
        <w:rPr>
          <w:rFonts w:ascii="Arial" w:cs="Arial" w:eastAsia="Arial" w:hAnsi="Arial"/>
          <w:sz w:val="17"/>
          <w:szCs w:val="17"/>
          <w:color w:val="auto"/>
        </w:rPr>
        <w:t>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w:t>
      </w:r>
    </w:p>
    <w:p>
      <w:pPr>
        <w:ind w:firstLine="3"/>
        <w:spacing w:after="0" w:line="222" w:lineRule="auto"/>
        <w:tabs>
          <w:tab w:leader="none" w:pos="269"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if any new Person comes into existence, such new Person shall be deemed to have been organized on the first date of its existence by the holders of its equity interests at such time.</w:t>
      </w:r>
    </w:p>
    <w:p>
      <w:pPr>
        <w:sectPr>
          <w:pgSz w:w="11900" w:h="16838" w:orient="portrait"/>
          <w:cols w:equalWidth="0" w:num="1">
            <w:col w:w="11240"/>
          </w:cols>
          <w:pgMar w:left="320" w:top="114" w:right="339" w:bottom="1440" w:gutter="0" w:footer="0" w:header="0"/>
        </w:sectPr>
      </w:pPr>
    </w:p>
    <w:bookmarkStart w:id="197" w:name="page198"/>
    <w:bookmarkEnd w:id="197"/>
    <w:p>
      <w:pPr>
        <w:ind w:left="420"/>
        <w:spacing w:after="0"/>
        <w:tabs>
          <w:tab w:leader="none" w:pos="1040" w:val="left"/>
        </w:tabs>
        <w:rPr>
          <w:sz w:val="20"/>
          <w:szCs w:val="20"/>
          <w:color w:val="auto"/>
        </w:rPr>
      </w:pPr>
      <w:r>
        <w:rPr>
          <w:rFonts w:ascii="Arial" w:cs="Arial" w:eastAsia="Arial" w:hAnsi="Arial"/>
          <w:sz w:val="19"/>
          <w:szCs w:val="19"/>
          <w:b w:val="1"/>
          <w:bCs w:val="1"/>
          <w:color w:val="auto"/>
        </w:rPr>
        <w:t>1.4</w:t>
      </w:r>
      <w:r>
        <w:rPr>
          <w:sz w:val="20"/>
          <w:szCs w:val="20"/>
          <w:color w:val="auto"/>
        </w:rPr>
        <w:tab/>
      </w:r>
      <w:r>
        <w:rPr>
          <w:rFonts w:ascii="Arial" w:cs="Arial" w:eastAsia="Arial" w:hAnsi="Arial"/>
          <w:sz w:val="17"/>
          <w:szCs w:val="17"/>
          <w:b w:val="1"/>
          <w:bCs w:val="1"/>
          <w:color w:val="auto"/>
        </w:rPr>
        <w:t xml:space="preserve">Definitions. </w:t>
      </w:r>
      <w:r>
        <w:rPr>
          <w:rFonts w:ascii="Arial" w:cs="Arial" w:eastAsia="Arial" w:hAnsi="Arial"/>
          <w:sz w:val="17"/>
          <w:szCs w:val="17"/>
          <w:color w:val="auto"/>
        </w:rPr>
        <w:t>The following terms are defined in the Sections or subsections referenced opposite such terms:</w:t>
      </w:r>
    </w:p>
    <w:p>
      <w:pPr>
        <w:sectPr>
          <w:pgSz w:w="11900" w:h="16838" w:orient="portrait"/>
          <w:cols w:equalWidth="0" w:num="1">
            <w:col w:w="9959"/>
          </w:cols>
          <w:pgMar w:left="500" w:top="1345" w:right="1440" w:bottom="1440" w:gutter="0" w:footer="0" w:header="0"/>
        </w:sectPr>
      </w:pPr>
    </w:p>
    <w:p>
      <w:pPr>
        <w:spacing w:after="0" w:line="198" w:lineRule="exact"/>
        <w:rPr>
          <w:sz w:val="20"/>
          <w:szCs w:val="20"/>
          <w:color w:val="auto"/>
        </w:rPr>
      </w:pPr>
    </w:p>
    <w:tbl>
      <w:tblPr>
        <w:tblLayout w:type="fixed"/>
        <w:tblInd w:w="910" w:type="dxa"/>
        <w:tblCellMar>
          <w:top w:w="0" w:type="dxa"/>
          <w:left w:w="0" w:type="dxa"/>
          <w:bottom w:w="0" w:type="dxa"/>
          <w:right w:w="0" w:type="dxa"/>
        </w:tblCellMar>
      </w:tblPr>
      <w:tr>
        <w:trPr>
          <w:trHeight w:val="245"/>
        </w:trPr>
        <w:tc>
          <w:tcPr>
            <w:tcW w:w="43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w:t>
            </w:r>
          </w:p>
        </w:tc>
        <w:tc>
          <w:tcPr>
            <w:tcW w:w="36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Preamble</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Lender</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12.1</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Preamble</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7.2</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Claims</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12.2</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 Agent</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Preamble</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 Agent Report”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Exhibit B, Section 5</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Communications</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10</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Connection Income Taxes</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Exhibit C, Section 1</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Data Protection Laws</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5.11(a)</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Data Protection Requirements</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5.11(a)</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 Rate</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2.3(b)</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Preamble</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Event of Default</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8</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Taxes</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Exhibit C, Section 1</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Exhibit C, Section 1</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Indemnified Person</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12.2</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Indemnified Taxes</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Exhibit C, Section 1</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w:t>
            </w:r>
            <w:r>
              <w:rPr>
                <w:rFonts w:ascii="Arial" w:cs="Arial" w:eastAsia="Arial" w:hAnsi="Arial"/>
                <w:sz w:val="19"/>
                <w:szCs w:val="19"/>
                <w:color w:val="auto"/>
              </w:rPr>
              <w:t>” and “</w:t>
            </w:r>
            <w:r>
              <w:rPr>
                <w:rFonts w:ascii="Arial" w:cs="Arial" w:eastAsia="Arial" w:hAnsi="Arial"/>
                <w:sz w:val="19"/>
                <w:szCs w:val="19"/>
                <w:b w:val="1"/>
                <w:bCs w:val="1"/>
                <w:color w:val="auto"/>
              </w:rPr>
              <w:t>Lenders</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Preamble</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 Transfer</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12.1</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New Subsidiary</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6.10</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Non-Funding Lender</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Exhibit B, Section 10(c)(ii)</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Open-Source Licenses</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5.2(f)</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Connection Taxes</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Exhibit C, Section 1</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Lender</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Exhibit B, Section 10(c)(ii)</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Taxes</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Exhibit C, Section 1</w:t>
            </w:r>
          </w:p>
        </w:tc>
      </w:tr>
      <w:tr>
        <w:trPr>
          <w:trHeight w:val="174"/>
        </w:trPr>
        <w:tc>
          <w:tcPr>
            <w:tcW w:w="4300" w:type="dxa"/>
            <w:vAlign w:val="bottom"/>
            <w:tcBorders>
              <w:left w:val="single" w:sz="8" w:color="auto"/>
              <w:right w:val="single" w:sz="8" w:color="auto"/>
            </w:tcBorders>
          </w:tcPr>
          <w:p>
            <w:pPr>
              <w:ind w:left="80"/>
              <w:spacing w:after="0" w:line="173" w:lineRule="exact"/>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Perfection Certificate</w:t>
            </w:r>
            <w:r>
              <w:rPr>
                <w:rFonts w:ascii="Arial" w:cs="Arial" w:eastAsia="Arial" w:hAnsi="Arial"/>
                <w:sz w:val="19"/>
                <w:szCs w:val="19"/>
                <w:color w:val="auto"/>
              </w:rPr>
              <w:t>” and “</w:t>
            </w:r>
            <w:r>
              <w:rPr>
                <w:rFonts w:ascii="Arial" w:cs="Arial" w:eastAsia="Arial" w:hAnsi="Arial"/>
                <w:sz w:val="19"/>
                <w:szCs w:val="19"/>
                <w:b w:val="1"/>
                <w:bCs w:val="1"/>
                <w:color w:val="auto"/>
              </w:rPr>
              <w:t>Perfection</w:t>
            </w:r>
          </w:p>
        </w:tc>
        <w:tc>
          <w:tcPr>
            <w:tcW w:w="364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9"/>
                <w:szCs w:val="19"/>
                <w:color w:val="auto"/>
              </w:rPr>
              <w:t>Section 5.1</w:t>
            </w:r>
          </w:p>
        </w:tc>
      </w:tr>
      <w:tr>
        <w:trPr>
          <w:trHeight w:val="233"/>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Certificates</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spacing w:after="0"/>
              <w:rPr>
                <w:sz w:val="20"/>
                <w:szCs w:val="20"/>
                <w:color w:val="auto"/>
              </w:rPr>
            </w:pP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Participant Register</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12.1</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Recipient</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Exhibit C, Section 1</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Register</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12.1</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SLR</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Preamble</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Date</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Exhibit B, Section 8</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Loan</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2.2(a)(iv)</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A Term Loan</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2.2(a)(i)</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B Term Loan</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2.2(a)(iii)</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B-1 Term Loan</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2.2(a)(ii)</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B-2 Term Loan</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2.2(a)(iii)</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C Term Loan</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2.2(a)(iv)</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Section 7.1</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 Tax Compliance Certificate</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Exhibit C, Section 7(b)(ii)(C)</w:t>
            </w:r>
          </w:p>
        </w:tc>
      </w:tr>
      <w:tr>
        <w:trPr>
          <w:trHeight w:val="22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Withholding Agent</w:t>
            </w:r>
            <w:r>
              <w:rPr>
                <w:rFonts w:ascii="Arial" w:cs="Arial" w:eastAsia="Arial" w:hAnsi="Arial"/>
                <w:sz w:val="19"/>
                <w:szCs w:val="19"/>
                <w:color w:val="auto"/>
              </w:rPr>
              <w:t>”</w:t>
            </w:r>
          </w:p>
        </w:tc>
        <w:tc>
          <w:tcPr>
            <w:tcW w:w="3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Exhibit C, Section 1</w:t>
            </w:r>
          </w:p>
        </w:tc>
      </w:tr>
    </w:tbl>
    <w:p>
      <w:pPr>
        <w:spacing w:after="0" w:line="200" w:lineRule="exact"/>
        <w:rPr>
          <w:sz w:val="20"/>
          <w:szCs w:val="20"/>
          <w:color w:val="auto"/>
        </w:rPr>
      </w:pPr>
    </w:p>
    <w:p>
      <w:pPr>
        <w:sectPr>
          <w:pgSz w:w="11900" w:h="16838" w:orient="portrait"/>
          <w:cols w:equalWidth="0" w:num="1">
            <w:col w:w="9959"/>
          </w:cols>
          <w:pgMar w:left="500" w:top="134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959"/>
          </w:cols>
          <w:pgMar w:left="500" w:top="1345" w:right="1440" w:bottom="1440" w:gutter="0" w:footer="0" w:header="0"/>
          <w:type w:val="continuous"/>
        </w:sectPr>
      </w:pPr>
    </w:p>
    <w:bookmarkStart w:id="198" w:name="page199"/>
    <w:bookmarkEnd w:id="198"/>
    <w:p>
      <w:pPr>
        <w:ind w:left="620"/>
        <w:spacing w:after="0"/>
        <w:rPr>
          <w:sz w:val="20"/>
          <w:szCs w:val="20"/>
          <w:color w:val="auto"/>
        </w:rPr>
      </w:pPr>
      <w:r>
        <w:rPr>
          <w:rFonts w:ascii="Arial" w:cs="Arial" w:eastAsia="Arial" w:hAnsi="Arial"/>
          <w:sz w:val="19"/>
          <w:szCs w:val="19"/>
          <w:color w:val="auto"/>
        </w:rPr>
        <w:t>In addition to the terms defined elsewhere in this Agreement, the following terms have the following meanings:</w:t>
      </w:r>
    </w:p>
    <w:p>
      <w:pPr>
        <w:spacing w:after="0" w:line="150"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Account</w:t>
      </w:r>
      <w:r>
        <w:rPr>
          <w:rFonts w:ascii="Arial" w:cs="Arial" w:eastAsia="Arial" w:hAnsi="Arial"/>
          <w:sz w:val="19"/>
          <w:szCs w:val="19"/>
          <w:color w:val="auto"/>
        </w:rPr>
        <w:t>” is any “account” as defined in the Code with such additions to such term as may hereafter be made under the Code, and includes, without limitation, all accounts receivable and other sums owing to Borrower.</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 Debtor</w:t>
      </w:r>
      <w:r>
        <w:rPr>
          <w:rFonts w:ascii="Arial" w:cs="Arial" w:eastAsia="Arial" w:hAnsi="Arial"/>
          <w:sz w:val="17"/>
          <w:szCs w:val="17"/>
          <w:color w:val="auto"/>
        </w:rPr>
        <w:t>” is any “account debtor” as defined in the Code with such additions to such term as may hereafter be made under the</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Code.</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ACH Letter</w:t>
      </w:r>
      <w:r>
        <w:rPr>
          <w:rFonts w:ascii="Arial" w:cs="Arial" w:eastAsia="Arial" w:hAnsi="Arial"/>
          <w:sz w:val="19"/>
          <w:szCs w:val="19"/>
          <w:color w:val="auto"/>
        </w:rPr>
        <w:t xml:space="preserve">” is ACH debit authorization in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hereto.</w:t>
      </w:r>
    </w:p>
    <w:p>
      <w:pPr>
        <w:spacing w:after="0" w:line="156" w:lineRule="exact"/>
        <w:rPr>
          <w:sz w:val="20"/>
          <w:szCs w:val="20"/>
          <w:color w:val="auto"/>
        </w:rPr>
      </w:pPr>
    </w:p>
    <w:p>
      <w:pPr>
        <w:jc w:val="both"/>
        <w:ind w:firstLine="611"/>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17" w:lineRule="exact"/>
        <w:rPr>
          <w:sz w:val="20"/>
          <w:szCs w:val="20"/>
          <w:color w:val="auto"/>
        </w:rPr>
      </w:pPr>
    </w:p>
    <w:p>
      <w:pPr>
        <w:jc w:val="both"/>
        <w:ind w:firstLine="611"/>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Anti-Terrorism Laws</w:t>
      </w:r>
      <w:r>
        <w:rPr>
          <w:rFonts w:ascii="Arial" w:cs="Arial" w:eastAsia="Arial" w:hAnsi="Arial"/>
          <w:sz w:val="19"/>
          <w:szCs w:val="19"/>
          <w:color w:val="auto"/>
        </w:rPr>
        <w:t>” are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30" w:lineRule="exact"/>
        <w:rPr>
          <w:sz w:val="20"/>
          <w:szCs w:val="20"/>
          <w:color w:val="auto"/>
        </w:rPr>
      </w:pPr>
    </w:p>
    <w:p>
      <w:pPr>
        <w:jc w:val="both"/>
        <w:ind w:firstLine="611"/>
        <w:spacing w:after="0" w:line="22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Rate</w:t>
      </w:r>
      <w:r>
        <w:rPr>
          <w:rFonts w:ascii="Arial" w:cs="Arial" w:eastAsia="Arial" w:hAnsi="Arial"/>
          <w:sz w:val="17"/>
          <w:szCs w:val="17"/>
          <w:color w:val="auto"/>
        </w:rPr>
        <w:t>” means a per annum interest rate equal to (a) seven and forty-five hundredths percent (7.45%) plus (b) the greater of (i) one-tenth percent (0.10%) and (ii) the rate per annum rate published by the Intercontinental Exchange Benchmark Administration Ltd. (the “</w:t>
      </w:r>
      <w:r>
        <w:rPr>
          <w:rFonts w:ascii="Arial" w:cs="Arial" w:eastAsia="Arial" w:hAnsi="Arial"/>
          <w:sz w:val="17"/>
          <w:szCs w:val="17"/>
          <w:b w:val="1"/>
          <w:bCs w:val="1"/>
          <w:color w:val="auto"/>
        </w:rPr>
        <w:t>Service</w:t>
      </w:r>
      <w:r>
        <w:rPr>
          <w:rFonts w:ascii="Arial" w:cs="Arial" w:eastAsia="Arial" w:hAnsi="Arial"/>
          <w:sz w:val="17"/>
          <w:szCs w:val="17"/>
          <w:color w:val="auto"/>
        </w:rPr>
        <w:t>”) (or on any successor or substitute page of such Service, or any successor to or substitute for such Service, as determined by Collateral Agent in a manner consistent with other loans in Collateral Agent’s portfolio) for a term of one month, which determination by Collateral Agent shall be conclusive in the absence of manifest error; provided that if, at any time, Lenders notify Collateral Agent that Lenders have determined that</w:t>
      </w:r>
    </w:p>
    <w:p>
      <w:pPr>
        <w:spacing w:after="0" w:line="2" w:lineRule="exact"/>
        <w:rPr>
          <w:sz w:val="20"/>
          <w:szCs w:val="20"/>
          <w:color w:val="auto"/>
        </w:rPr>
      </w:pPr>
    </w:p>
    <w:p>
      <w:pPr>
        <w:jc w:val="both"/>
        <w:ind w:firstLine="3"/>
        <w:spacing w:after="0" w:line="222" w:lineRule="auto"/>
        <w:tabs>
          <w:tab w:leader="none" w:pos="29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Lenders are unable to determine or ascertain such rate, (y) the applicable regulator has made public statements to the effect that the rate published by the Service is no longer used for determining interest rates for loans or (z) by reason of circumstances affecting the foreign exchange and interbank markets generally, deposits in eurodollars in the applicable amounts or for the relative maturities are not being offered for such period, then the Applicable Rate shall be equal to an alternate benchmark rate and spread agreed between Collateral Agent and Borrowers (which may include SOFR, to the extent publicly available quotes of SOFR exist at the relevant time), giving due consideration to (i) market convention or</w:t>
      </w:r>
    </w:p>
    <w:p>
      <w:pPr>
        <w:ind w:firstLine="3"/>
        <w:spacing w:after="0" w:line="222" w:lineRule="auto"/>
        <w:tabs>
          <w:tab w:leader="none" w:pos="299" w:val="left"/>
        </w:tabs>
        <w:numPr>
          <w:ilvl w:val="0"/>
          <w:numId w:val="146"/>
        </w:numPr>
        <w:rPr>
          <w:rFonts w:ascii="Arial" w:cs="Arial" w:eastAsia="Arial" w:hAnsi="Arial"/>
          <w:sz w:val="19"/>
          <w:szCs w:val="19"/>
          <w:color w:val="auto"/>
        </w:rPr>
      </w:pPr>
      <w:r>
        <w:rPr>
          <w:rFonts w:ascii="Arial" w:cs="Arial" w:eastAsia="Arial" w:hAnsi="Arial"/>
          <w:sz w:val="19"/>
          <w:szCs w:val="19"/>
          <w:color w:val="auto"/>
        </w:rPr>
        <w:t>selection, endorsement or recommendation by a Relevant Governmental Body. Such alternative benchmark rate and spread shall be binding unless the Required Lenders object within five (5) days following notification of such amendment.</w:t>
      </w:r>
    </w:p>
    <w:p>
      <w:pPr>
        <w:spacing w:after="0" w:line="129" w:lineRule="exact"/>
        <w:rPr>
          <w:sz w:val="20"/>
          <w:szCs w:val="20"/>
          <w:color w:val="auto"/>
        </w:rPr>
      </w:pPr>
    </w:p>
    <w:p>
      <w:pPr>
        <w:jc w:val="both"/>
        <w:ind w:firstLine="611"/>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15"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Average Market Capitalization</w:t>
      </w:r>
      <w:r>
        <w:rPr>
          <w:rFonts w:ascii="Arial" w:cs="Arial" w:eastAsia="Arial" w:hAnsi="Arial"/>
          <w:sz w:val="19"/>
          <w:szCs w:val="19"/>
          <w:color w:val="auto"/>
        </w:rPr>
        <w:t>” means, for the applicable period of determination, the aggregate sum of the Market Capitalization for each trading day, during such period divided by the number of trading days in such period.</w:t>
      </w:r>
    </w:p>
    <w:p>
      <w:pPr>
        <w:spacing w:after="0" w:line="130" w:lineRule="exact"/>
        <w:rPr>
          <w:sz w:val="20"/>
          <w:szCs w:val="20"/>
          <w:color w:val="auto"/>
        </w:rPr>
      </w:pPr>
    </w:p>
    <w:p>
      <w:pPr>
        <w:jc w:val="both"/>
        <w:ind w:firstLine="611"/>
        <w:spacing w:after="0" w:line="23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Blocked Person</w:t>
      </w:r>
      <w:r>
        <w:rPr>
          <w:rFonts w:ascii="Arial" w:cs="Arial" w:eastAsia="Arial" w:hAnsi="Arial"/>
          <w:sz w:val="17"/>
          <w:szCs w:val="17"/>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350" w:right="339" w:bottom="1440" w:gutter="0" w:footer="0" w:header="0"/>
        </w:sectPr>
      </w:pPr>
    </w:p>
    <w:bookmarkStart w:id="199" w:name="page200"/>
    <w:bookmarkEnd w:id="199"/>
    <w:p>
      <w:pPr>
        <w:jc w:val="both"/>
        <w:ind w:firstLine="611"/>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Borrower’s Books</w:t>
      </w:r>
      <w:r>
        <w:rPr>
          <w:rFonts w:ascii="Arial" w:cs="Arial" w:eastAsia="Arial" w:hAnsi="Arial"/>
          <w:sz w:val="19"/>
          <w:szCs w:val="19"/>
          <w:color w:val="auto"/>
        </w:rPr>
        <w:t>” are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spacing w:after="0" w:line="130"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is any day that is not a Saturday, Sunday or a day on which commercial banks in New York, New York are required or authorized to be closed.</w:t>
      </w:r>
    </w:p>
    <w:p>
      <w:pPr>
        <w:spacing w:after="0" w:line="117" w:lineRule="exact"/>
        <w:rPr>
          <w:sz w:val="20"/>
          <w:szCs w:val="20"/>
          <w:color w:val="auto"/>
        </w:rPr>
      </w:pPr>
    </w:p>
    <w:p>
      <w:pPr>
        <w:jc w:val="both"/>
        <w:ind w:firstLine="611"/>
        <w:spacing w:after="0" w:line="2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are (a) marketable direct obligations issued or unconditionally guaranteed by the United States or any agency or any State thereof having maturities of not more than one (1) year from the date of acquisition and having a rating of at least A-2 or P-2 from either Standard &amp; Poor’s Ratings Group or Moody’s Investors Services; (b) commercial paper maturing no more than one (1) year after its creation and having the highest rating from either Standard &amp; Poor’s Ratings Group or Moody’s Investors Service, (c) certificates of deposit maturing no more than one (1) year after issue provided that the account in which any such certificate of deposit is maintained is subject to a Control Agreement in favor of Collateral Agent, (d) any money market or similar funds under Borrower’s investment policy, as approved by Collateral Agent from time to time, (e) corporate debt securities and similar securities having a rating of at least “A-/A-3” or above, from either Moody’s, Fitch, or S&amp;P, respectively and in each case maturing within eighteen (18) months after the date of creation or acquisition thereof, (f) direct obligations issued by any state, commonwealth or territory of the United States or any political subdivision or taxing authority thereof, in each case having a rating of at least “AAA” from Moody’s, Fitch, or S&amp;P with maturities within eighteen (18) months after the date of creation or acquisition thereof, and (g) any money market or similar funds that exclusively hold any of the foregoing.</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CFC</w:t>
      </w:r>
      <w:r>
        <w:rPr>
          <w:rFonts w:ascii="Arial" w:cs="Arial" w:eastAsia="Arial" w:hAnsi="Arial"/>
          <w:sz w:val="19"/>
          <w:szCs w:val="19"/>
          <w:color w:val="auto"/>
        </w:rPr>
        <w:t>” means a “controlled foreign corporation” as defined in Section 957 of the Internal Revenue Code.</w:t>
      </w:r>
    </w:p>
    <w:p>
      <w:pPr>
        <w:spacing w:after="0" w:line="156" w:lineRule="exact"/>
        <w:rPr>
          <w:sz w:val="20"/>
          <w:szCs w:val="20"/>
          <w:color w:val="auto"/>
        </w:rPr>
      </w:pPr>
    </w:p>
    <w:p>
      <w:pPr>
        <w:jc w:val="both"/>
        <w:ind w:firstLine="611"/>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w:t>
      </w:r>
      <w:r>
        <w:rPr>
          <w:rFonts w:ascii="Arial" w:cs="Arial" w:eastAsia="Arial" w:hAnsi="Arial"/>
          <w:sz w:val="19"/>
          <w:szCs w:val="19"/>
          <w:color w:val="auto"/>
        </w:rPr>
        <w:t xml:space="preserve">” is any and all properties, rights and assets of Borrower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56"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 Account</w:t>
      </w:r>
      <w:r>
        <w:rPr>
          <w:rFonts w:ascii="Arial" w:cs="Arial" w:eastAsia="Arial" w:hAnsi="Arial"/>
          <w:sz w:val="19"/>
          <w:szCs w:val="19"/>
          <w:color w:val="auto"/>
        </w:rPr>
        <w:t>” is any Deposit Account, Securities Account, or Commodity Account, or any other bank account maintained by Borrower or any Subsidiary at any time.</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Commitment Percentage</w:t>
      </w:r>
      <w:r>
        <w:rPr>
          <w:rFonts w:ascii="Arial" w:cs="Arial" w:eastAsia="Arial" w:hAnsi="Arial"/>
          <w:sz w:val="19"/>
          <w:szCs w:val="19"/>
          <w:color w:val="auto"/>
        </w:rPr>
        <w:t xml:space="preserve">” is set forth in </w:t>
      </w:r>
      <w:r>
        <w:rPr>
          <w:rFonts w:ascii="Arial" w:cs="Arial" w:eastAsia="Arial" w:hAnsi="Arial"/>
          <w:sz w:val="19"/>
          <w:szCs w:val="19"/>
          <w:u w:val="single" w:color="auto"/>
          <w:color w:val="auto"/>
        </w:rPr>
        <w:t>Schedule 1.1</w:t>
      </w:r>
      <w:r>
        <w:rPr>
          <w:rFonts w:ascii="Arial" w:cs="Arial" w:eastAsia="Arial" w:hAnsi="Arial"/>
          <w:sz w:val="19"/>
          <w:szCs w:val="19"/>
          <w:color w:val="auto"/>
        </w:rPr>
        <w:t>, as amended from time to time.</w:t>
      </w:r>
    </w:p>
    <w:p>
      <w:pPr>
        <w:spacing w:after="0" w:line="143"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Commodity Account</w:t>
      </w:r>
      <w:r>
        <w:rPr>
          <w:rFonts w:ascii="Arial" w:cs="Arial" w:eastAsia="Arial" w:hAnsi="Arial"/>
          <w:sz w:val="19"/>
          <w:szCs w:val="19"/>
          <w:color w:val="auto"/>
        </w:rPr>
        <w:t>” is any “commodity account” as defined in the Code with such additions to such term as may hereafter be made under the Code.</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Compliance Certificate</w:t>
      </w:r>
      <w:r>
        <w:rPr>
          <w:rFonts w:ascii="Arial" w:cs="Arial" w:eastAsia="Arial" w:hAnsi="Arial"/>
          <w:sz w:val="19"/>
          <w:szCs w:val="19"/>
          <w:color w:val="auto"/>
        </w:rPr>
        <w:t xml:space="preserve">” is that certain certificate in substantially the form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w:t>
      </w:r>
    </w:p>
    <w:p>
      <w:pPr>
        <w:spacing w:after="0" w:line="156" w:lineRule="exact"/>
        <w:rPr>
          <w:sz w:val="20"/>
          <w:szCs w:val="20"/>
          <w:color w:val="auto"/>
        </w:rPr>
      </w:pPr>
    </w:p>
    <w:p>
      <w:pPr>
        <w:jc w:val="both"/>
        <w:ind w:firstLine="611"/>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344" w:right="339" w:bottom="1440" w:gutter="0" w:footer="0" w:header="0"/>
        </w:sectPr>
      </w:pPr>
    </w:p>
    <w:bookmarkStart w:id="200" w:name="page201"/>
    <w:bookmarkEnd w:id="200"/>
    <w:p>
      <w:pPr>
        <w:jc w:val="both"/>
        <w:spacing w:after="0" w:line="227" w:lineRule="auto"/>
        <w:rPr>
          <w:sz w:val="20"/>
          <w:szCs w:val="20"/>
          <w:color w:val="auto"/>
        </w:rPr>
      </w:pPr>
      <w:r>
        <w:rPr>
          <w:rFonts w:ascii="Arial" w:cs="Arial" w:eastAsia="Arial" w:hAnsi="Arial"/>
          <w:sz w:val="18"/>
          <w:szCs w:val="18"/>
          <w:color w:val="auto"/>
        </w:rPr>
        <w:t>The amount of a Contingent Obligation is the stated or determined amount of the primary obligation for which the Contingent Obligation is made or, if not determinable, the maximum reasonably anticipated liability for it determined by the Person in good faith in accordance with GAAP; but the amount may not exceed the maximum of the obligations under any guarantee or other support arrangement. Notwithstanding anything to the contrary in the foregoing, any Permitted Call Spread Agreement shall not constitute a Contingent Obligation of the Borrower.</w:t>
      </w:r>
    </w:p>
    <w:p>
      <w:pPr>
        <w:spacing w:after="0" w:line="128" w:lineRule="exact"/>
        <w:rPr>
          <w:sz w:val="20"/>
          <w:szCs w:val="20"/>
          <w:color w:val="auto"/>
        </w:rPr>
      </w:pPr>
    </w:p>
    <w:p>
      <w:pPr>
        <w:jc w:val="both"/>
        <w:ind w:firstLine="611"/>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 Agreement</w:t>
      </w:r>
      <w:r>
        <w:rPr>
          <w:rFonts w:ascii="Arial" w:cs="Arial" w:eastAsia="Arial" w:hAnsi="Arial"/>
          <w:sz w:val="19"/>
          <w:szCs w:val="19"/>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or such Subsidiary, as applicable, and Collateral Agent pursuant to which Collateral Agent, for the ratable benefit of the Secured Parties, obtains “control” (within the meaning of the Code) over such Deposit Account, Securities Account, or Commodity Account.</w:t>
      </w:r>
    </w:p>
    <w:p>
      <w:pPr>
        <w:spacing w:after="0" w:line="116"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w:t>
      </w:r>
      <w:r>
        <w:rPr>
          <w:rFonts w:ascii="Arial" w:cs="Arial" w:eastAsia="Arial" w:hAnsi="Arial"/>
          <w:sz w:val="19"/>
          <w:szCs w:val="19"/>
          <w:color w:val="auto"/>
        </w:rPr>
        <w:t>” is any event that, with the giving of notice or passage of time or both, could constitute an Event of Default.</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 Account</w:t>
      </w:r>
      <w:r>
        <w:rPr>
          <w:rFonts w:ascii="Arial" w:cs="Arial" w:eastAsia="Arial" w:hAnsi="Arial"/>
          <w:sz w:val="17"/>
          <w:szCs w:val="17"/>
          <w:color w:val="auto"/>
        </w:rPr>
        <w:t>” is any “deposit account” as defined in the Code with such additions to such term as may hereafter be made under the</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Code.</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Designated Deposit Account</w:t>
      </w:r>
      <w:r>
        <w:rPr>
          <w:rFonts w:ascii="Arial" w:cs="Arial" w:eastAsia="Arial" w:hAnsi="Arial"/>
          <w:sz w:val="19"/>
          <w:szCs w:val="19"/>
          <w:color w:val="auto"/>
        </w:rPr>
        <w:t>” is Borrower’s deposit account, account number , maintained at Silicon Valley Bank.</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Dollars</w:t>
      </w:r>
      <w:r>
        <w:rPr>
          <w:rFonts w:ascii="Arial" w:cs="Arial" w:eastAsia="Arial" w:hAnsi="Arial"/>
          <w:sz w:val="19"/>
          <w:szCs w:val="19"/>
          <w:i w:val="1"/>
          <w:iCs w:val="1"/>
          <w:color w:val="auto"/>
        </w:rPr>
        <w:t>,</w:t>
      </w:r>
      <w:r>
        <w:rPr>
          <w:rFonts w:ascii="Arial" w:cs="Arial" w:eastAsia="Arial" w:hAnsi="Arial"/>
          <w:sz w:val="19"/>
          <w:szCs w:val="19"/>
          <w:color w:val="auto"/>
        </w:rPr>
        <w:t>” “</w:t>
      </w:r>
      <w:r>
        <w:rPr>
          <w:rFonts w:ascii="Arial" w:cs="Arial" w:eastAsia="Arial" w:hAnsi="Arial"/>
          <w:sz w:val="19"/>
          <w:szCs w:val="19"/>
          <w:b w:val="1"/>
          <w:bCs w:val="1"/>
          <w:color w:val="auto"/>
        </w:rPr>
        <w:t>dollars</w:t>
      </w:r>
      <w:r>
        <w:rPr>
          <w:rFonts w:ascii="Arial" w:cs="Arial" w:eastAsia="Arial" w:hAnsi="Arial"/>
          <w:sz w:val="19"/>
          <w:szCs w:val="19"/>
          <w:color w:val="auto"/>
        </w:rPr>
        <w:t>” and “$” each mean lawful money of the United States.</w:t>
      </w:r>
    </w:p>
    <w:p>
      <w:pPr>
        <w:spacing w:after="0" w:line="156" w:lineRule="exact"/>
        <w:rPr>
          <w:sz w:val="20"/>
          <w:szCs w:val="20"/>
          <w:color w:val="auto"/>
        </w:rPr>
      </w:pPr>
    </w:p>
    <w:p>
      <w:pPr>
        <w:jc w:val="both"/>
        <w:ind w:firstLine="611"/>
        <w:spacing w:after="0" w:line="22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which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 (i) Borrower or any of Borrower’s Affiliates or Subsidiaries or (ii) a direct competitor of Borrower or a vulture fund or a distressed debt fund, each as determined by Collateral Agent in its reasonable discretion. Notwithstanding the foregoing, (x) in connection with any assignment made by a Lender as a result of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24"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“equipment” as defined in the Code with such additions to such term as may hereafter be made under the Code, and includes without limitation all machinery, fixtures, goods, vehicles (including motor vehicles and trailers), and any interest in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350" w:right="339" w:bottom="1440" w:gutter="0" w:footer="0" w:header="0"/>
        </w:sectPr>
      </w:pPr>
    </w:p>
    <w:bookmarkStart w:id="201" w:name="page202"/>
    <w:bookmarkEnd w:id="201"/>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w:t>
      </w:r>
      <w:r>
        <w:rPr>
          <w:rFonts w:ascii="Arial" w:cs="Arial" w:eastAsia="Arial" w:hAnsi="Arial"/>
          <w:sz w:val="19"/>
          <w:szCs w:val="19"/>
          <w:color w:val="auto"/>
        </w:rPr>
        <w:t>” is the Employee Retirement Income Security Act of 1974, as amended, and its regulations.</w:t>
      </w:r>
    </w:p>
    <w:p>
      <w:pPr>
        <w:spacing w:after="0" w:line="156" w:lineRule="exact"/>
        <w:rPr>
          <w:sz w:val="20"/>
          <w:szCs w:val="20"/>
          <w:color w:val="auto"/>
        </w:rPr>
      </w:pPr>
    </w:p>
    <w:p>
      <w:pPr>
        <w:jc w:val="both"/>
        <w:ind w:firstLine="611"/>
        <w:spacing w:after="0" w:line="24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means each direct and indirect Subsidiary of Borrower (a) that is a CFC, (b) that is a direct or indirect Subsidiary of a CFC, or (c) substantially all of the assets of which are equity interests (or equity interests and debt interests) in one or more CFCs; in each case, provided that (i) the pledge of all of the equity interests of such Subsidiary as Collateral or (ii) the guarantee by such Subsidiary of the Obligations would result in material adverse tax consequences to Borrower (as reasonably determined by Borrower and Collateral Agent).</w:t>
      </w:r>
    </w:p>
    <w:p>
      <w:pPr>
        <w:spacing w:after="0" w:line="113" w:lineRule="exact"/>
        <w:rPr>
          <w:sz w:val="20"/>
          <w:szCs w:val="20"/>
          <w:color w:val="auto"/>
        </w:rPr>
      </w:pPr>
    </w:p>
    <w:p>
      <w:pPr>
        <w:jc w:val="both"/>
        <w:ind w:firstLine="611"/>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Exigent Circumstance</w:t>
      </w:r>
      <w:r>
        <w:rPr>
          <w:rFonts w:ascii="Arial" w:cs="Arial" w:eastAsia="Arial" w:hAnsi="Arial"/>
          <w:sz w:val="19"/>
          <w:szCs w:val="19"/>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29"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Exit Fee Agreement</w:t>
      </w:r>
      <w:r>
        <w:rPr>
          <w:rFonts w:ascii="Arial" w:cs="Arial" w:eastAsia="Arial" w:hAnsi="Arial"/>
          <w:sz w:val="19"/>
          <w:szCs w:val="19"/>
          <w:color w:val="auto"/>
        </w:rPr>
        <w:t>” is that certain Exit Fee Agreement, dated as of the date hereof, by and among Collateral Agent, as agent, Borrower and the Lenders, as amended, amended and restated, supplemented or otherwise modified from time to time.</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U.S. Food and Drug Administration or any successor thereto.</w:t>
      </w:r>
    </w:p>
    <w:p>
      <w:pPr>
        <w:spacing w:after="0" w:line="143"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Fee Letter</w:t>
      </w:r>
      <w:r>
        <w:rPr>
          <w:rFonts w:ascii="Arial" w:cs="Arial" w:eastAsia="Arial" w:hAnsi="Arial"/>
          <w:sz w:val="19"/>
          <w:szCs w:val="19"/>
          <w:color w:val="auto"/>
        </w:rPr>
        <w:t>” means that certain Fee Letter, dated as of the date hereof, by and among Collateral Agent, as agent, Borrower and the Lenders, as amended, amended and restated, supplemented or otherwise modified from time to time.</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Foreign Currency</w:t>
      </w:r>
      <w:r>
        <w:rPr>
          <w:rFonts w:ascii="Arial" w:cs="Arial" w:eastAsia="Arial" w:hAnsi="Arial"/>
          <w:sz w:val="19"/>
          <w:szCs w:val="19"/>
          <w:color w:val="auto"/>
        </w:rPr>
        <w:t>” means lawful money of a country other than the United States.</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Funding Date</w:t>
      </w:r>
      <w:r>
        <w:rPr>
          <w:rFonts w:ascii="Arial" w:cs="Arial" w:eastAsia="Arial" w:hAnsi="Arial"/>
          <w:sz w:val="19"/>
          <w:szCs w:val="19"/>
          <w:color w:val="auto"/>
        </w:rPr>
        <w:t>” is any date on which a Term Loan is made to or on account of Borrower which shall be a Business Day.</w:t>
      </w:r>
    </w:p>
    <w:p>
      <w:pPr>
        <w:spacing w:after="0" w:line="143" w:lineRule="exact"/>
        <w:rPr>
          <w:sz w:val="20"/>
          <w:szCs w:val="20"/>
          <w:color w:val="auto"/>
        </w:rPr>
      </w:pPr>
    </w:p>
    <w:p>
      <w:pPr>
        <w:jc w:val="both"/>
        <w:ind w:firstLine="611"/>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 provided that for purposes of the defined term “Permitted Indebtedness,” GAAP shall be GAAP as in effect on the Effective Date.</w:t>
      </w:r>
    </w:p>
    <w:p>
      <w:pPr>
        <w:spacing w:after="0" w:line="129" w:lineRule="exact"/>
        <w:rPr>
          <w:sz w:val="20"/>
          <w:szCs w:val="20"/>
          <w:color w:val="auto"/>
        </w:rPr>
      </w:pPr>
    </w:p>
    <w:p>
      <w:pPr>
        <w:jc w:val="both"/>
        <w:ind w:firstLine="611"/>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Intangibles</w:t>
      </w:r>
      <w:r>
        <w:rPr>
          <w:rFonts w:ascii="Arial" w:cs="Arial" w:eastAsia="Arial" w:hAnsi="Arial"/>
          <w:sz w:val="17"/>
          <w:szCs w:val="17"/>
          <w:color w:val="auto"/>
        </w:rPr>
        <w:t>” are all “general intangibles” as defined in the Code in effect on the date hereof with such additions to such term as may hereafter be made under the Code,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29"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Approval</w:t>
      </w:r>
      <w:r>
        <w:rPr>
          <w:rFonts w:ascii="Arial" w:cs="Arial" w:eastAsia="Arial" w:hAnsi="Arial"/>
          <w:sz w:val="19"/>
          <w:szCs w:val="19"/>
          <w:color w:val="auto"/>
        </w:rPr>
        <w:t>” is any consent, authorization, approval, order, license, franchise, permit, certificate, accreditation, registration, filing or notice, of, issued by, from or to, or other act by or in respect of,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344" w:right="339" w:bottom="1440" w:gutter="0" w:footer="0" w:header="0"/>
        </w:sectPr>
      </w:pPr>
    </w:p>
    <w:bookmarkStart w:id="202" w:name="page203"/>
    <w:bookmarkEnd w:id="202"/>
    <w:p>
      <w:pPr>
        <w:jc w:val="both"/>
        <w:ind w:firstLine="611"/>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is any federal, state, municipal, national or other government, governmental department, commission, board, bureau, court, agency or instrumentality or political subdivision thereof (including the FDA) or any entity or officer exercising executive, legislative, judicial, regulatory or administrative functions of or pertaining to any government or any court, in each case whether associated with a state or locality of the United States, the United States, or a foreign government.</w:t>
      </w:r>
    </w:p>
    <w:p>
      <w:pPr>
        <w:spacing w:after="0" w:line="131" w:lineRule="exact"/>
        <w:rPr>
          <w:sz w:val="20"/>
          <w:szCs w:val="20"/>
          <w:color w:val="auto"/>
        </w:rPr>
      </w:pPr>
    </w:p>
    <w:p>
      <w:pPr>
        <w:jc w:val="both"/>
        <w:ind w:firstLine="611"/>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Payor</w:t>
      </w:r>
      <w:r>
        <w:rPr>
          <w:rFonts w:ascii="Arial" w:cs="Arial" w:eastAsia="Arial" w:hAnsi="Arial"/>
          <w:sz w:val="19"/>
          <w:szCs w:val="19"/>
          <w:color w:val="auto"/>
        </w:rPr>
        <w:t>” means, Medicare, Medicaid, TRICARE, CHAMPVA, any state health plan adopted pursuant to Title XIX of the Social Security Act, any other state or federal health care program and any other Governmental Authority which presently or in the future maintains a payment or reimbursement program, and in which Borrower or any Subsidiary participates.</w:t>
      </w:r>
    </w:p>
    <w:p>
      <w:pPr>
        <w:spacing w:after="0" w:line="117"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Guarantor</w:t>
      </w:r>
      <w:r>
        <w:rPr>
          <w:rFonts w:ascii="Arial" w:cs="Arial" w:eastAsia="Arial" w:hAnsi="Arial"/>
          <w:sz w:val="19"/>
          <w:szCs w:val="19"/>
          <w:color w:val="auto"/>
        </w:rPr>
        <w:t>” is any Person providing a Guaranty in favor of Collateral Agent for the benefit of the Secured Parties (including without limitation pursuant to Section 6.10).</w:t>
      </w:r>
    </w:p>
    <w:p>
      <w:pPr>
        <w:spacing w:after="0" w:line="130"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Guaranty</w:t>
      </w:r>
      <w:r>
        <w:rPr>
          <w:rFonts w:ascii="Arial" w:cs="Arial" w:eastAsia="Arial" w:hAnsi="Arial"/>
          <w:sz w:val="19"/>
          <w:szCs w:val="19"/>
          <w:color w:val="auto"/>
        </w:rPr>
        <w:t>” is any guarantee of all or any part of the Obligations, as the same may from time to time be amended, restated, modified or otherwise supplemented.</w:t>
      </w:r>
    </w:p>
    <w:p>
      <w:pPr>
        <w:spacing w:after="0" w:line="130" w:lineRule="exact"/>
        <w:rPr>
          <w:sz w:val="20"/>
          <w:szCs w:val="20"/>
          <w:color w:val="auto"/>
        </w:rPr>
      </w:pPr>
    </w:p>
    <w:p>
      <w:pPr>
        <w:jc w:val="both"/>
        <w:ind w:firstLine="611"/>
        <w:spacing w:after="0" w:line="2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Healthcare Laws</w:t>
      </w:r>
      <w:r>
        <w:rPr>
          <w:rFonts w:ascii="Arial" w:cs="Arial" w:eastAsia="Arial" w:hAnsi="Arial"/>
          <w:sz w:val="19"/>
          <w:szCs w:val="19"/>
          <w:color w:val="auto"/>
        </w:rPr>
        <w:t>” means all applicable laws, rules and regulations relating to the provision or payment of health items and services applicable to the Borrower or its Subsidiaries, including, without limitation, (a) all federal and state fraud and abuse laws, including, without limitation, the federal Anti-Kickback Statute (42 U.S.C. §1320a-7b(b)), the Civil False Claims Act (31 U.S.C. §3729 et seq.), the criminal false statements law (42 U.S.C. § 1320a-7b(a)), all criminal laws relating to health care fraud and abuse, including but not limited to 18 U.S.C. Sections 286, 287, 1347 and 1349, and the health care fraud criminal provisions under the U.S. Health Insurance Portability and Accountability Act of 1996 (“HIPAA”) (42 U.S.C. Section 1320d et seq.), any applicable state fraud and abuse prohibitions, including those that apply to all payors (governmental, commercial insurance and self-payors), the civil monetary penalty laws (42 U.S.C. § 1320a-7a), the exclusion laws (42 U.S.C. § 1320a-7), and any similar state laws or regulations, (b) any laws relating to any Governmental Payor, including, without limitation, the Medicare statute (Title XVIII of the Social Security Act) and the Medicaid statute (Title XIX of the Social Security Act), and (c) any and all other applicable health care laws, regulations and binding program manual provisions and transmittals, each of (a) through (c) as may be amended from time to time.</w:t>
      </w:r>
    </w:p>
    <w:p>
      <w:pPr>
        <w:spacing w:after="0" w:line="118" w:lineRule="exact"/>
        <w:rPr>
          <w:sz w:val="20"/>
          <w:szCs w:val="20"/>
          <w:color w:val="auto"/>
        </w:rPr>
      </w:pPr>
    </w:p>
    <w:p>
      <w:pPr>
        <w:jc w:val="both"/>
        <w:ind w:firstLine="611"/>
        <w:spacing w:after="0" w:line="22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(d) non-contingent obligations of such Person to reimburse any bank or other Person in respect of amounts paid under a letter of credit, banker’s acceptance or similar instrument, (e) equity securities of such Person subject to repurchase or redemption other than at the sole option of such Person, (f) obligations secured by a Lien on any asset of such Person, whether or not such obligation is otherwise an obligation of such Person,</w:t>
      </w:r>
    </w:p>
    <w:p>
      <w:pPr>
        <w:spacing w:after="0" w:line="2" w:lineRule="exact"/>
        <w:rPr>
          <w:sz w:val="20"/>
          <w:szCs w:val="20"/>
          <w:color w:val="auto"/>
        </w:rPr>
      </w:pPr>
    </w:p>
    <w:p>
      <w:pPr>
        <w:jc w:val="both"/>
        <w:ind w:firstLine="3"/>
        <w:spacing w:after="0" w:line="235" w:lineRule="auto"/>
        <w:tabs>
          <w:tab w:leader="none" w:pos="29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“earnouts”, purchase price adjustments, profit sharing arrangements, deferred purchase money amounts and similar payment obligations or continuing obligations of any nature of such Person arising out of purchase and sale contracts, (h) all Indebtedness of others guaranteed by such Person, (i) off-balance sheet liabilities and/or pension plan or multiemployer plan liabilities of such Person, and (j) Contingent Obligations. Notwithstanding anything to the contrary in the foregoing, any Permitted Call Spread Agreement shall not constitute Indebtedness of the Borrower.</w:t>
      </w:r>
    </w:p>
    <w:p>
      <w:pPr>
        <w:spacing w:after="0" w:line="130"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Proceeding</w:t>
      </w:r>
      <w:r>
        <w:rPr>
          <w:rFonts w:ascii="Arial" w:cs="Arial" w:eastAsia="Arial" w:hAnsi="Arial"/>
          <w:sz w:val="17"/>
          <w:szCs w:val="17"/>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9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Insolvent</w:t>
      </w:r>
      <w:r>
        <w:rPr>
          <w:rFonts w:ascii="Arial" w:cs="Arial" w:eastAsia="Arial" w:hAnsi="Arial"/>
          <w:sz w:val="19"/>
          <w:szCs w:val="19"/>
          <w:color w:val="auto"/>
        </w:rPr>
        <w:t>” means not Solvent.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344" w:right="339" w:bottom="1440" w:gutter="0" w:footer="0" w:header="0"/>
        </w:sectPr>
      </w:pPr>
    </w:p>
    <w:bookmarkStart w:id="203" w:name="page204"/>
    <w:bookmarkEnd w:id="203"/>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all of Borrower’s or any of its Subsidiaries’ right, title and interest in and to the following:</w:t>
      </w:r>
    </w:p>
    <w:p>
      <w:pPr>
        <w:spacing w:after="0" w:line="162" w:lineRule="exact"/>
        <w:rPr>
          <w:sz w:val="20"/>
          <w:szCs w:val="20"/>
          <w:color w:val="auto"/>
        </w:rPr>
      </w:pPr>
    </w:p>
    <w:p>
      <w:pPr>
        <w:ind w:left="1860" w:hanging="641"/>
        <w:spacing w:after="0"/>
        <w:tabs>
          <w:tab w:leader="none" w:pos="186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its Copyrights, Trademarks and Patents;</w:t>
      </w:r>
    </w:p>
    <w:p>
      <w:pPr>
        <w:spacing w:after="0" w:line="143" w:lineRule="exact"/>
        <w:rPr>
          <w:rFonts w:ascii="Arial" w:cs="Arial" w:eastAsia="Arial" w:hAnsi="Arial"/>
          <w:sz w:val="19"/>
          <w:szCs w:val="19"/>
          <w:color w:val="auto"/>
        </w:rPr>
      </w:pPr>
    </w:p>
    <w:p>
      <w:pPr>
        <w:ind w:firstLine="1219"/>
        <w:spacing w:after="0" w:line="231" w:lineRule="auto"/>
        <w:tabs>
          <w:tab w:leader="none" w:pos="1849"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any and all trade secrets and trade secret rights, including, without limitation, any rights to unpatented inventions, know-how, operating manuals;</w:t>
      </w:r>
    </w:p>
    <w:p>
      <w:pPr>
        <w:spacing w:after="0" w:line="135" w:lineRule="exact"/>
        <w:rPr>
          <w:rFonts w:ascii="Arial" w:cs="Arial" w:eastAsia="Arial" w:hAnsi="Arial"/>
          <w:sz w:val="19"/>
          <w:szCs w:val="19"/>
          <w:color w:val="auto"/>
        </w:rPr>
      </w:pPr>
    </w:p>
    <w:p>
      <w:pPr>
        <w:ind w:left="1860" w:hanging="641"/>
        <w:spacing w:after="0"/>
        <w:tabs>
          <w:tab w:leader="none" w:pos="186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any and all source code;</w:t>
      </w:r>
    </w:p>
    <w:p>
      <w:pPr>
        <w:spacing w:after="0" w:line="156" w:lineRule="exact"/>
        <w:rPr>
          <w:rFonts w:ascii="Arial" w:cs="Arial" w:eastAsia="Arial" w:hAnsi="Arial"/>
          <w:sz w:val="19"/>
          <w:szCs w:val="19"/>
          <w:color w:val="auto"/>
        </w:rPr>
      </w:pPr>
    </w:p>
    <w:p>
      <w:pPr>
        <w:ind w:left="1860" w:hanging="641"/>
        <w:spacing w:after="0"/>
        <w:tabs>
          <w:tab w:leader="none" w:pos="186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any and all design rights which may be available to Borrower;</w:t>
      </w:r>
    </w:p>
    <w:p>
      <w:pPr>
        <w:spacing w:after="0" w:line="143" w:lineRule="exact"/>
        <w:rPr>
          <w:rFonts w:ascii="Arial" w:cs="Arial" w:eastAsia="Arial" w:hAnsi="Arial"/>
          <w:sz w:val="19"/>
          <w:szCs w:val="19"/>
          <w:color w:val="auto"/>
        </w:rPr>
      </w:pPr>
    </w:p>
    <w:p>
      <w:pPr>
        <w:ind w:firstLine="1219"/>
        <w:spacing w:after="0" w:line="248" w:lineRule="auto"/>
        <w:tabs>
          <w:tab w:leader="none" w:pos="185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27" w:lineRule="exact"/>
        <w:rPr>
          <w:rFonts w:ascii="Arial" w:cs="Arial" w:eastAsia="Arial" w:hAnsi="Arial"/>
          <w:sz w:val="18"/>
          <w:szCs w:val="18"/>
          <w:color w:val="auto"/>
        </w:rPr>
      </w:pPr>
    </w:p>
    <w:p>
      <w:pPr>
        <w:ind w:left="1860" w:hanging="641"/>
        <w:spacing w:after="0"/>
        <w:tabs>
          <w:tab w:leader="none" w:pos="186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all amendments, renewals and extensions of any of the Copyrights, Trademarks or Patents.</w:t>
      </w:r>
    </w:p>
    <w:p>
      <w:pPr>
        <w:spacing w:after="0" w:line="150"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 Security Agreement</w:t>
      </w:r>
      <w:r>
        <w:rPr>
          <w:rFonts w:ascii="Arial" w:cs="Arial" w:eastAsia="Arial" w:hAnsi="Arial"/>
          <w:sz w:val="17"/>
          <w:szCs w:val="17"/>
          <w:color w:val="auto"/>
        </w:rPr>
        <w:t>” means that certain Intellectual Property Security Agreement dated as of the Effective Date between Borrower and Collateral Agent, as the same may from time to time be amended, restated, modified or otherwise supplemented.</w:t>
      </w:r>
    </w:p>
    <w:p>
      <w:pPr>
        <w:spacing w:after="0" w:line="7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Internal Revenue Code</w:t>
      </w:r>
      <w:r>
        <w:rPr>
          <w:rFonts w:ascii="Arial" w:cs="Arial" w:eastAsia="Arial" w:hAnsi="Arial"/>
          <w:sz w:val="19"/>
          <w:szCs w:val="19"/>
          <w:color w:val="auto"/>
        </w:rPr>
        <w:t>” means the Internal Revenue Code of 1986, as amended.</w:t>
      </w:r>
    </w:p>
    <w:p>
      <w:pPr>
        <w:spacing w:after="0" w:line="156" w:lineRule="exact"/>
        <w:rPr>
          <w:sz w:val="20"/>
          <w:szCs w:val="20"/>
          <w:color w:val="auto"/>
        </w:rPr>
      </w:pPr>
    </w:p>
    <w:p>
      <w:pPr>
        <w:jc w:val="both"/>
        <w:ind w:firstLine="611"/>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31"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Investment</w:t>
      </w:r>
      <w:r>
        <w:rPr>
          <w:rFonts w:ascii="Arial" w:cs="Arial" w:eastAsia="Arial" w:hAnsi="Arial"/>
          <w:sz w:val="19"/>
          <w:szCs w:val="19"/>
          <w:color w:val="auto"/>
        </w:rPr>
        <w:t>” is any beneficial ownership interest in any Person (including stock, partnership interest or other securities), and any loan, advance or capital contribution to any Person.</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IRS</w:t>
      </w:r>
      <w:r>
        <w:rPr>
          <w:rFonts w:ascii="Arial" w:cs="Arial" w:eastAsia="Arial" w:hAnsi="Arial"/>
          <w:sz w:val="19"/>
          <w:szCs w:val="19"/>
          <w:color w:val="auto"/>
        </w:rPr>
        <w:t>” means the United States Internal Revenue Service.</w:t>
      </w:r>
    </w:p>
    <w:p>
      <w:pPr>
        <w:spacing w:after="0" w:line="156" w:lineRule="exact"/>
        <w:rPr>
          <w:sz w:val="20"/>
          <w:szCs w:val="20"/>
          <w:color w:val="auto"/>
        </w:rPr>
      </w:pPr>
    </w:p>
    <w:p>
      <w:pPr>
        <w:jc w:val="both"/>
        <w:ind w:firstLine="611"/>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Key Person</w:t>
      </w:r>
      <w:r>
        <w:rPr>
          <w:rFonts w:ascii="Arial" w:cs="Arial" w:eastAsia="Arial" w:hAnsi="Arial"/>
          <w:sz w:val="19"/>
          <w:szCs w:val="19"/>
          <w:color w:val="auto"/>
        </w:rPr>
        <w:t>” is each of Borrower’s (i) President and Chief Executive Officer, who is Frank Watanabe as of the Effective Date, (ii) Chief Financial Officer, who is Scott Burrows as of the Effective Date, and (iii) Chief Technical Officer, who is David Osborne as of the Effective Date, and (iv) Chief Medical Officer, who is Patrick Burnett, MD, PhD, FAAD as of the Effective Date.</w:t>
      </w:r>
    </w:p>
    <w:p>
      <w:pPr>
        <w:spacing w:after="0" w:line="130"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Knowledge</w:t>
      </w:r>
      <w:r>
        <w:rPr>
          <w:rFonts w:ascii="Arial" w:cs="Arial" w:eastAsia="Arial" w:hAnsi="Arial"/>
          <w:sz w:val="19"/>
          <w:szCs w:val="19"/>
          <w:color w:val="auto"/>
        </w:rPr>
        <w:t>” means to the “best of” Borrower’s knowledge, or with a similar qualification, knowledge or awareness means the actual knowledge, after reasonable investigation, of the Responsible Officers.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w:t>
      </w:r>
      <w:r>
        <w:rPr>
          <w:rFonts w:ascii="Arial" w:cs="Arial" w:eastAsia="Arial" w:hAnsi="Arial"/>
          <w:sz w:val="19"/>
          <w:szCs w:val="19"/>
          <w:color w:val="auto"/>
        </w:rPr>
        <w:t>” is any one of the Lenders.</w:t>
      </w:r>
    </w:p>
    <w:p>
      <w:pPr>
        <w:spacing w:after="0" w:line="156"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Lenders</w:t>
      </w:r>
      <w:r>
        <w:rPr>
          <w:rFonts w:ascii="Arial" w:cs="Arial" w:eastAsia="Arial" w:hAnsi="Arial"/>
          <w:sz w:val="19"/>
          <w:szCs w:val="19"/>
          <w:color w:val="auto"/>
        </w:rPr>
        <w:t xml:space="preserve">” are the Persons identified on </w:t>
      </w:r>
      <w:r>
        <w:rPr>
          <w:rFonts w:ascii="Arial" w:cs="Arial" w:eastAsia="Arial" w:hAnsi="Arial"/>
          <w:sz w:val="19"/>
          <w:szCs w:val="19"/>
          <w:u w:val="single" w:color="auto"/>
          <w:color w:val="auto"/>
        </w:rPr>
        <w:t>Schedule 1.1</w:t>
      </w:r>
      <w:r>
        <w:rPr>
          <w:rFonts w:ascii="Arial" w:cs="Arial" w:eastAsia="Arial" w:hAnsi="Arial"/>
          <w:sz w:val="19"/>
          <w:szCs w:val="19"/>
          <w:color w:val="auto"/>
        </w:rPr>
        <w:t xml:space="preserve"> hereto and each assignee that becomes a party to this Agreement pursuant to Section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344" w:right="339" w:bottom="1440" w:gutter="0" w:footer="0" w:header="0"/>
        </w:sectPr>
      </w:pPr>
    </w:p>
    <w:bookmarkStart w:id="204" w:name="page205"/>
    <w:bookmarkEnd w:id="204"/>
    <w:p>
      <w:pPr>
        <w:jc w:val="both"/>
        <w:ind w:firstLine="611"/>
        <w:spacing w:after="0" w:line="20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Lenders’ Expenses</w:t>
      </w:r>
      <w:r>
        <w:rPr>
          <w:rFonts w:ascii="Arial" w:cs="Arial" w:eastAsia="Arial" w:hAnsi="Arial"/>
          <w:sz w:val="19"/>
          <w:szCs w:val="19"/>
          <w:color w:val="auto"/>
        </w:rPr>
        <w:t>” are (a) all reasonable audit fees and expenses, costs, and expenses (including reasonable attorneys’ fees and expenses, as well as appraisal fees, fees incurred on account of lien searches, inspection fees, and filing fees) for preparing, amending, negotiating and administering the Loan Documents, and (b) all fees and expenses (including attorneys’ fees and expenses, as well as appraisal fees, fees incurred on account of lien searches, inspection fees, and filing fees) for defending and enforcing the Loan Documents (including, without limitation, those incurred in connection with appeals or Insolvency Proceedings) or otherwise incurred by Collateral Agent and/or the Lenders in connection with the Loan Documents. The diligence deposit paid by the Borrower to the Collateral Agent prior to the Effective Date shall be applied to the Lenders’ Expenses.</w:t>
      </w:r>
    </w:p>
    <w:p>
      <w:pPr>
        <w:spacing w:after="0" w:line="128"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Lien</w:t>
      </w:r>
      <w:r>
        <w:rPr>
          <w:rFonts w:ascii="Arial" w:cs="Arial" w:eastAsia="Arial" w:hAnsi="Arial"/>
          <w:sz w:val="19"/>
          <w:szCs w:val="19"/>
          <w:color w:val="auto"/>
        </w:rPr>
        <w:t>” is a claim, mortgage, deed of trust, levy, charge, pledge, security interest, or other encumbrance of any kind, whether voluntarily incurred or arising by operation of law or otherwise against any property.</w:t>
      </w:r>
    </w:p>
    <w:p>
      <w:pPr>
        <w:spacing w:after="0" w:line="117" w:lineRule="exact"/>
        <w:rPr>
          <w:sz w:val="20"/>
          <w:szCs w:val="20"/>
          <w:color w:val="auto"/>
        </w:rPr>
      </w:pPr>
    </w:p>
    <w:p>
      <w:pPr>
        <w:jc w:val="both"/>
        <w:ind w:firstLine="611"/>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the Exit Fee Agreement, the Fee Letter, each Control Agreement, the Intellectual Property Security Agreement, the Perfection Certificates, each Compliance Certificate, the ACH Letter, each Loan Payment Request Form, any Guarantees, any subordination agreements, any note, or notes or guaranties executed by Borrower or any other Person, any agreements creating or perfecting rights in the Collateral (including all insurance certificates and endorsements, landlord consents and bailee consents) and any other present or future agreement entered into by Borrower, any Guarantor or any other Person for the benefit of the Lenders and Collateral Agent, as applicable, in connection with this Agreement; all as amended, restated, or otherwise modified.</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 Parties</w:t>
      </w:r>
      <w:r>
        <w:rPr>
          <w:rFonts w:ascii="Arial" w:cs="Arial" w:eastAsia="Arial" w:hAnsi="Arial"/>
          <w:sz w:val="19"/>
          <w:szCs w:val="19"/>
          <w:color w:val="auto"/>
        </w:rPr>
        <w:t>” means the Borrower and the Guarantors, and “</w:t>
      </w:r>
      <w:r>
        <w:rPr>
          <w:rFonts w:ascii="Arial" w:cs="Arial" w:eastAsia="Arial" w:hAnsi="Arial"/>
          <w:sz w:val="19"/>
          <w:szCs w:val="19"/>
          <w:b w:val="1"/>
          <w:bCs w:val="1"/>
          <w:color w:val="auto"/>
        </w:rPr>
        <w:t>Loan Party</w:t>
      </w:r>
      <w:r>
        <w:rPr>
          <w:rFonts w:ascii="Arial" w:cs="Arial" w:eastAsia="Arial" w:hAnsi="Arial"/>
          <w:sz w:val="19"/>
          <w:szCs w:val="19"/>
          <w:color w:val="auto"/>
        </w:rPr>
        <w:t>” shall mean any one of them.</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 Payment Request Form</w:t>
      </w:r>
      <w:r>
        <w:rPr>
          <w:rFonts w:ascii="Arial" w:cs="Arial" w:eastAsia="Arial" w:hAnsi="Arial"/>
          <w:sz w:val="19"/>
          <w:szCs w:val="19"/>
          <w:color w:val="auto"/>
        </w:rPr>
        <w:t xml:space="preserve">” is that certain form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143" w:lineRule="exact"/>
        <w:rPr>
          <w:sz w:val="20"/>
          <w:szCs w:val="20"/>
          <w:color w:val="auto"/>
        </w:rPr>
      </w:pPr>
    </w:p>
    <w:p>
      <w:pPr>
        <w:jc w:val="both"/>
        <w:ind w:firstLine="611"/>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Market Capitalization</w:t>
      </w:r>
      <w:r>
        <w:rPr>
          <w:rFonts w:ascii="Arial" w:cs="Arial" w:eastAsia="Arial" w:hAnsi="Arial"/>
          <w:sz w:val="19"/>
          <w:szCs w:val="19"/>
          <w:color w:val="auto"/>
        </w:rPr>
        <w:t>” means, as of any date of determination, the product of (a) the number of Borrower’s shares of common stock disclosed in the most recent filing of Borrower as outstanding as of such date of determination and (b) the closing price of Borrower’s shares of common stock listed on the Securities and Exchange Commission (as quoted on Securities and Exchange Commission page or any successor page thereto or if such page is not available, any other commercially available source providing quotations of such closing price as reasonably selected by Borrower) on such date of determination.</w:t>
      </w:r>
    </w:p>
    <w:p>
      <w:pPr>
        <w:spacing w:after="0" w:line="129" w:lineRule="exact"/>
        <w:rPr>
          <w:sz w:val="20"/>
          <w:szCs w:val="20"/>
          <w:color w:val="auto"/>
        </w:rPr>
      </w:pPr>
    </w:p>
    <w:p>
      <w:pPr>
        <w:jc w:val="both"/>
        <w:ind w:firstLine="611"/>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Change</w:t>
      </w:r>
      <w:r>
        <w:rPr>
          <w:rFonts w:ascii="Arial" w:cs="Arial" w:eastAsia="Arial" w:hAnsi="Arial"/>
          <w:sz w:val="17"/>
          <w:szCs w:val="17"/>
          <w:color w:val="auto"/>
        </w:rPr>
        <w:t>” is (a) a material adverse change in the business, operations or condition (financial or otherwise) of Borrower and its Subsidiaries, when taken as a whole; or (b) a material impairment of (i) the ability of the Loan Parties to repay any portion of the Obligations, (ii) the legality, validity or enforceability of any Loan Document, (iii) the rights and remedies of Collateral Agent or Lenders under any Loan Document except as the result of the action or inaction of the Collateral Agent or Lenders or (iv) the validity, perfection or priority of any Lien in favor of Collateral Agent for the benefit of the Secured Parties on any of the Collateral except as the result of the action or inaction of the Collateral Agent or Lenders. For the avoidance of doubt, “Material Adverse Change” shall not include, in and of themselves, the non-occurrence of any of the events as described under “Tranche B Term Loan Funding Condition” or “Tranche C Term Loan Funding Condition”.</w:t>
      </w:r>
    </w:p>
    <w:p>
      <w:pPr>
        <w:spacing w:after="0" w:line="132" w:lineRule="exact"/>
        <w:rPr>
          <w:sz w:val="20"/>
          <w:szCs w:val="20"/>
          <w:color w:val="auto"/>
        </w:rPr>
      </w:pPr>
    </w:p>
    <w:p>
      <w:pPr>
        <w:jc w:val="both"/>
        <w:ind w:firstLine="611"/>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Agreement</w:t>
      </w:r>
      <w:r>
        <w:rPr>
          <w:rFonts w:ascii="Arial" w:cs="Arial" w:eastAsia="Arial" w:hAnsi="Arial"/>
          <w:sz w:val="19"/>
          <w:szCs w:val="19"/>
          <w:color w:val="auto"/>
        </w:rPr>
        <w:t>” is any license, agreement or other contractual arrangement of Borrower or any of its Subsidiaries whereby Borrower or any of its Subsidiaries is required to file and disclose such license, agreement, or contractual arrangement with the Securities and Exchange Commission.</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Maturity Date</w:t>
      </w:r>
      <w:r>
        <w:rPr>
          <w:rFonts w:ascii="Arial" w:cs="Arial" w:eastAsia="Arial" w:hAnsi="Arial"/>
          <w:sz w:val="19"/>
          <w:szCs w:val="19"/>
          <w:color w:val="auto"/>
        </w:rPr>
        <w:t>” is, for each Term Loan, January, 1 2027.</w:t>
      </w:r>
    </w:p>
    <w:p>
      <w:pPr>
        <w:spacing w:after="0" w:line="156" w:lineRule="exact"/>
        <w:rPr>
          <w:sz w:val="20"/>
          <w:szCs w:val="20"/>
          <w:color w:val="auto"/>
        </w:rPr>
      </w:pPr>
    </w:p>
    <w:p>
      <w:pPr>
        <w:jc w:val="both"/>
        <w:ind w:firstLine="611"/>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Product Revenue</w:t>
      </w:r>
      <w:r>
        <w:rPr>
          <w:rFonts w:ascii="Arial" w:cs="Arial" w:eastAsia="Arial" w:hAnsi="Arial"/>
          <w:sz w:val="18"/>
          <w:szCs w:val="18"/>
          <w:color w:val="auto"/>
        </w:rPr>
        <w:t>” means the net product revenue, determined in accordance with GAAP, from the sale of any products of Borrower or its Subsidiaries, inclusive of Borrower’s share of sales generated indirectly through the sales of Borrower’s products under any licensing or similar arrangement and which amounts are included in the net product revenue of Borrower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344" w:right="339" w:bottom="1440" w:gutter="0" w:footer="0" w:header="0"/>
        </w:sectPr>
      </w:pPr>
    </w:p>
    <w:bookmarkStart w:id="205" w:name="page206"/>
    <w:bookmarkEnd w:id="205"/>
    <w:p>
      <w:pPr>
        <w:jc w:val="both"/>
        <w:ind w:firstLine="611"/>
        <w:spacing w:after="0" w:line="21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Obligations</w:t>
      </w:r>
      <w:r>
        <w:rPr>
          <w:rFonts w:ascii="Arial" w:cs="Arial" w:eastAsia="Arial" w:hAnsi="Arial"/>
          <w:sz w:val="19"/>
          <w:szCs w:val="19"/>
          <w:color w:val="auto"/>
        </w:rPr>
        <w:t>” are all of Borrower’s obligations to pay when due any debts, principal, interest, Lenders’ Expenses, the Prepayment Premium, all fees under the Fee Letter and the Exit Fee Agreement, and any other amounts Borrower owes the Collateral Agent or the Lenders now or later, in connection with, related to, following, or arising from, out of or under, this Agreement or, the other Loan Documents or otherwise, and including interest accruing after Insolvency Proceedings begin (whether or not allowed) and debts, liabilities, or obligations of Borrower assigned to the Lenders and/or Collateral Agent in connection with this Agreement and the other Loan Documents, and the performance of Borrower’s duties under the Loan Documents.</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OFAC</w:t>
      </w:r>
      <w:r>
        <w:rPr>
          <w:rFonts w:ascii="Arial" w:cs="Arial" w:eastAsia="Arial" w:hAnsi="Arial"/>
          <w:sz w:val="19"/>
          <w:szCs w:val="19"/>
          <w:color w:val="auto"/>
        </w:rPr>
        <w:t>” is the U.S. Department of Treasury Office of Foreign Assets Control.</w:t>
      </w:r>
    </w:p>
    <w:p>
      <w:pPr>
        <w:spacing w:after="0" w:line="143" w:lineRule="exact"/>
        <w:rPr>
          <w:sz w:val="20"/>
          <w:szCs w:val="20"/>
          <w:color w:val="auto"/>
        </w:rPr>
      </w:pPr>
    </w:p>
    <w:p>
      <w:pPr>
        <w:jc w:val="both"/>
        <w:ind w:firstLine="611"/>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OFAC Lists</w:t>
      </w:r>
      <w:r>
        <w:rPr>
          <w:rFonts w:ascii="Arial" w:cs="Arial" w:eastAsia="Arial" w:hAnsi="Arial"/>
          <w:sz w:val="19"/>
          <w:szCs w:val="19"/>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30" w:lineRule="exact"/>
        <w:rPr>
          <w:sz w:val="20"/>
          <w:szCs w:val="20"/>
          <w:color w:val="auto"/>
        </w:rPr>
      </w:pPr>
    </w:p>
    <w:p>
      <w:pPr>
        <w:jc w:val="both"/>
        <w:ind w:firstLine="611"/>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Operating Documents</w:t>
      </w:r>
      <w:r>
        <w:rPr>
          <w:rFonts w:ascii="Arial" w:cs="Arial" w:eastAsia="Arial" w:hAnsi="Arial"/>
          <w:sz w:val="19"/>
          <w:szCs w:val="19"/>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29"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Patents</w:t>
      </w:r>
      <w:r>
        <w:rPr>
          <w:rFonts w:ascii="Arial" w:cs="Arial" w:eastAsia="Arial" w:hAnsi="Arial"/>
          <w:sz w:val="19"/>
          <w:szCs w:val="19"/>
          <w:color w:val="auto"/>
        </w:rPr>
        <w:t>” means all patents, patent applications and like protections including without limitation improvements, divisions, continuations, renewals, reissues, re-examination certificates, utility models, extensions and continuations-in-part of the same.</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Payment Date</w:t>
      </w:r>
      <w:r>
        <w:rPr>
          <w:rFonts w:ascii="Arial" w:cs="Arial" w:eastAsia="Arial" w:hAnsi="Arial"/>
          <w:sz w:val="19"/>
          <w:szCs w:val="19"/>
          <w:color w:val="auto"/>
        </w:rPr>
        <w:t>” is the first (1</w:t>
      </w:r>
      <w:r>
        <w:rPr>
          <w:rFonts w:ascii="Arial" w:cs="Arial" w:eastAsia="Arial" w:hAnsi="Arial"/>
          <w:sz w:val="24"/>
          <w:szCs w:val="24"/>
          <w:color w:val="auto"/>
          <w:vertAlign w:val="superscript"/>
        </w:rPr>
        <w:t>st</w:t>
      </w:r>
      <w:r>
        <w:rPr>
          <w:rFonts w:ascii="Arial" w:cs="Arial" w:eastAsia="Arial" w:hAnsi="Arial"/>
          <w:sz w:val="19"/>
          <w:szCs w:val="19"/>
          <w:color w:val="auto"/>
        </w:rPr>
        <w:t>) calendar day of each calendar month, commencing on February 1, 2022.</w:t>
      </w:r>
    </w:p>
    <w:p>
      <w:pPr>
        <w:spacing w:after="0" w:line="99" w:lineRule="exact"/>
        <w:rPr>
          <w:sz w:val="20"/>
          <w:szCs w:val="20"/>
          <w:color w:val="auto"/>
        </w:rPr>
      </w:pPr>
    </w:p>
    <w:p>
      <w:pPr>
        <w:jc w:val="both"/>
        <w:ind w:firstLine="611"/>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Acquisition</w:t>
      </w:r>
      <w:r>
        <w:rPr>
          <w:rFonts w:ascii="Arial" w:cs="Arial" w:eastAsia="Arial" w:hAnsi="Arial"/>
          <w:sz w:val="19"/>
          <w:szCs w:val="19"/>
          <w:color w:val="auto"/>
        </w:rPr>
        <w:t>” means any consensual transaction or series of related transactions for the direct or indirect (a) acquisition by Borrower of all or substantially all of the assets of, all of the ownership interests in, or a business line or unit or division of another Person, including any foreign corporations in the acceptable jurisdictions listed below in this definition and (b) acquisition of any intellectual property and related ancillary rights or assets of any person; provided that:</w:t>
      </w:r>
    </w:p>
    <w:p>
      <w:pPr>
        <w:spacing w:after="0" w:line="137" w:lineRule="exact"/>
        <w:rPr>
          <w:sz w:val="20"/>
          <w:szCs w:val="20"/>
          <w:color w:val="auto"/>
        </w:rPr>
      </w:pPr>
    </w:p>
    <w:p>
      <w:pPr>
        <w:ind w:left="1240" w:hanging="626"/>
        <w:spacing w:after="0"/>
        <w:tabs>
          <w:tab w:leader="none" w:pos="12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 Default or Event of Default shall exist immediately before or immediately after the consummation of such acquisition;</w:t>
      </w:r>
    </w:p>
    <w:p>
      <w:pPr>
        <w:spacing w:after="0" w:line="154" w:lineRule="exact"/>
        <w:rPr>
          <w:rFonts w:ascii="Arial" w:cs="Arial" w:eastAsia="Arial" w:hAnsi="Arial"/>
          <w:sz w:val="18"/>
          <w:szCs w:val="18"/>
          <w:color w:val="auto"/>
        </w:rPr>
      </w:pPr>
    </w:p>
    <w:p>
      <w:pPr>
        <w:ind w:firstLine="614"/>
        <w:spacing w:after="0" w:line="231" w:lineRule="auto"/>
        <w:tabs>
          <w:tab w:leader="none" w:pos="123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such acquired Person or assets (other than non-core assets, if any, with respect to such acquisition) shall be in a business of the type permitted pursuant to Section 7.2(a);</w:t>
      </w:r>
    </w:p>
    <w:p>
      <w:pPr>
        <w:spacing w:after="0" w:line="135" w:lineRule="exact"/>
        <w:rPr>
          <w:rFonts w:ascii="Arial" w:cs="Arial" w:eastAsia="Arial" w:hAnsi="Arial"/>
          <w:sz w:val="19"/>
          <w:szCs w:val="19"/>
          <w:color w:val="auto"/>
        </w:rPr>
      </w:pPr>
    </w:p>
    <w:p>
      <w:pPr>
        <w:ind w:firstLine="614"/>
        <w:spacing w:after="0" w:line="231" w:lineRule="auto"/>
        <w:tabs>
          <w:tab w:leader="none" w:pos="123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such acquisition shall not cause the focus or locations of Borrower’s and its Subsidiaries’ operations (when taken as a whole) to be located outside of the United States;</w:t>
      </w:r>
    </w:p>
    <w:p>
      <w:pPr>
        <w:spacing w:after="0" w:line="135" w:lineRule="exact"/>
        <w:rPr>
          <w:rFonts w:ascii="Arial" w:cs="Arial" w:eastAsia="Arial" w:hAnsi="Arial"/>
          <w:sz w:val="19"/>
          <w:szCs w:val="19"/>
          <w:color w:val="auto"/>
        </w:rPr>
      </w:pPr>
    </w:p>
    <w:p>
      <w:pPr>
        <w:ind w:left="1240" w:hanging="626"/>
        <w:spacing w:after="0"/>
        <w:tabs>
          <w:tab w:leader="none" w:pos="124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such acquisition shall not constitute a hostile acquisition;</w:t>
      </w:r>
    </w:p>
    <w:p>
      <w:pPr>
        <w:spacing w:after="0" w:line="143" w:lineRule="exact"/>
        <w:rPr>
          <w:rFonts w:ascii="Arial" w:cs="Arial" w:eastAsia="Arial" w:hAnsi="Arial"/>
          <w:sz w:val="19"/>
          <w:szCs w:val="19"/>
          <w:color w:val="auto"/>
        </w:rPr>
      </w:pPr>
    </w:p>
    <w:p>
      <w:pPr>
        <w:ind w:firstLine="614"/>
        <w:spacing w:after="0" w:line="231" w:lineRule="auto"/>
        <w:tabs>
          <w:tab w:leader="none" w:pos="123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all transactions in connection therewith shall be consummated, in all material respects, in accordance with all applicable Requirement of Laws and in conformity with all applicable Governmental Approvals;</w:t>
      </w:r>
    </w:p>
    <w:p>
      <w:pPr>
        <w:spacing w:after="0" w:line="135" w:lineRule="exact"/>
        <w:rPr>
          <w:rFonts w:ascii="Arial" w:cs="Arial" w:eastAsia="Arial" w:hAnsi="Arial"/>
          <w:sz w:val="19"/>
          <w:szCs w:val="19"/>
          <w:color w:val="auto"/>
        </w:rPr>
      </w:pPr>
    </w:p>
    <w:p>
      <w:pPr>
        <w:jc w:val="both"/>
        <w:ind w:firstLine="614"/>
        <w:spacing w:after="0" w:line="215" w:lineRule="auto"/>
        <w:tabs>
          <w:tab w:leader="none" w:pos="1239"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in the case of the acquisition of the equity interests of such Person, all of the equity interests acquired, or otherwise issued by such Person or any newly formed Subsidiary of Borrower in connection with such acquisition, shall be directly or indirectly owned one hundred percent (100%) by Borrower, and Borrower shall have taken, or caused to be taken, each of the actions set forth in Section 6.10, if applicable within the applicable time periods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344" w:right="339" w:bottom="1440" w:gutter="0" w:footer="0" w:header="0"/>
        </w:sectPr>
      </w:pPr>
    </w:p>
    <w:bookmarkStart w:id="206" w:name="page207"/>
    <w:bookmarkEnd w:id="206"/>
    <w:p>
      <w:pPr>
        <w:ind w:firstLine="614"/>
        <w:spacing w:after="0" w:line="231" w:lineRule="auto"/>
        <w:tabs>
          <w:tab w:leader="none" w:pos="1232"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in connection with such acquisition, neither Borrower nor any of its Subsidiaries (including for this purpose, the target of the acquisition) shall acquire or be subject to any Indebtedness or Liens that are not otherwise permitted hereunder;</w:t>
      </w:r>
    </w:p>
    <w:p>
      <w:pPr>
        <w:spacing w:after="0" w:line="135" w:lineRule="exact"/>
        <w:rPr>
          <w:rFonts w:ascii="Arial" w:cs="Arial" w:eastAsia="Arial" w:hAnsi="Arial"/>
          <w:sz w:val="19"/>
          <w:szCs w:val="19"/>
          <w:color w:val="auto"/>
        </w:rPr>
      </w:pPr>
    </w:p>
    <w:p>
      <w:pPr>
        <w:jc w:val="both"/>
        <w:ind w:firstLine="614"/>
        <w:spacing w:after="0" w:line="218" w:lineRule="auto"/>
        <w:tabs>
          <w:tab w:leader="none" w:pos="123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sum of the purchase price of such proposed new acquisition, computed on the basis of total acquisition consideration paid or incurred, or to be paid or incurred, by Borrower with respect thereto, including, “earnouts”, any other contingent or deferred acquisition consideration (provided that such “earnouts” and any other contingent or deferred acquisition consideration shall be unsecured (other than escrow arrangements securing indemnification obligations associated with such acquisition)), and including the amount of Permitted Indebtedness assumed or to which such assets, businesses or business or ownership interest or shares, or any Person so acquired, is subject, shall not be greater than Twenty Million Dollars ($20,000,000.00) in cash for any single acquisition or group of related acquisitions for each fiscal year or Thirty Million Dollars ($30,000,000.00) in cash for all such acquisitions during the term of this Agreement, in each case plus reasonable closing costs incurred in connection with such acquisition;</w:t>
      </w:r>
    </w:p>
    <w:p>
      <w:pPr>
        <w:spacing w:after="0" w:line="123" w:lineRule="exact"/>
        <w:rPr>
          <w:rFonts w:ascii="Arial" w:cs="Arial" w:eastAsia="Arial" w:hAnsi="Arial"/>
          <w:sz w:val="18"/>
          <w:szCs w:val="18"/>
          <w:color w:val="auto"/>
        </w:rPr>
      </w:pPr>
    </w:p>
    <w:p>
      <w:pPr>
        <w:ind w:firstLine="614"/>
        <w:spacing w:after="0" w:line="248" w:lineRule="auto"/>
        <w:tabs>
          <w:tab w:leader="none" w:pos="122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on or prior to the proposed date of consummation of such transaction, the Borrower shall have delivered to the Collateral Agent and the Lenders a certificate of a Responsible Officer of the Borrower certifying that such transaction complies with this definition;</w:t>
      </w:r>
    </w:p>
    <w:p>
      <w:pPr>
        <w:spacing w:after="0" w:line="127" w:lineRule="exact"/>
        <w:rPr>
          <w:rFonts w:ascii="Arial" w:cs="Arial" w:eastAsia="Arial" w:hAnsi="Arial"/>
          <w:sz w:val="18"/>
          <w:szCs w:val="18"/>
          <w:color w:val="auto"/>
        </w:rPr>
      </w:pPr>
    </w:p>
    <w:p>
      <w:pPr>
        <w:ind w:firstLine="614"/>
        <w:spacing w:after="0" w:line="231" w:lineRule="auto"/>
        <w:tabs>
          <w:tab w:leader="none" w:pos="1229" w:val="left"/>
        </w:tabs>
        <w:numPr>
          <w:ilvl w:val="0"/>
          <w:numId w:val="150"/>
        </w:numPr>
        <w:rPr>
          <w:rFonts w:ascii="Arial" w:cs="Arial" w:eastAsia="Arial" w:hAnsi="Arial"/>
          <w:sz w:val="19"/>
          <w:szCs w:val="19"/>
          <w:color w:val="auto"/>
        </w:rPr>
      </w:pPr>
      <w:r>
        <w:rPr>
          <w:rFonts w:ascii="Arial" w:cs="Arial" w:eastAsia="Arial" w:hAnsi="Arial"/>
          <w:sz w:val="19"/>
          <w:szCs w:val="19"/>
          <w:color w:val="auto"/>
        </w:rPr>
        <w:t>Borrower has notified the Lenders at least ten (10) Business Days in advance of entering into such transaction, which notice shall include a reasonably detailed description of such transaction;</w:t>
      </w:r>
    </w:p>
    <w:p>
      <w:pPr>
        <w:spacing w:after="0" w:line="135" w:lineRule="exact"/>
        <w:rPr>
          <w:rFonts w:ascii="Arial" w:cs="Arial" w:eastAsia="Arial" w:hAnsi="Arial"/>
          <w:sz w:val="19"/>
          <w:szCs w:val="19"/>
          <w:color w:val="auto"/>
        </w:rPr>
      </w:pPr>
    </w:p>
    <w:p>
      <w:pPr>
        <w:jc w:val="both"/>
        <w:ind w:firstLine="614"/>
        <w:spacing w:after="0" w:line="227" w:lineRule="auto"/>
        <w:tabs>
          <w:tab w:leader="none" w:pos="123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substantially all of the assets and operations involved in such transaction shall be located in the United States; provided that, notwithstanding the foregoing, intellectual property (including in-licensing and products) and related ancillary rights and assets involved in such transaction may be located in the United States or outside of the United States so long as the acquired intellectual property (including in-licensing and products) and related ancillary rights and assets involved in such transaction are acquired as property of a Loan Party;</w:t>
      </w:r>
    </w:p>
    <w:p>
      <w:pPr>
        <w:spacing w:after="0" w:line="121" w:lineRule="exact"/>
        <w:rPr>
          <w:rFonts w:ascii="Arial" w:cs="Arial" w:eastAsia="Arial" w:hAnsi="Arial"/>
          <w:sz w:val="18"/>
          <w:szCs w:val="18"/>
          <w:color w:val="auto"/>
        </w:rPr>
      </w:pPr>
    </w:p>
    <w:p>
      <w:pPr>
        <w:jc w:val="both"/>
        <w:ind w:firstLine="614"/>
        <w:spacing w:after="0" w:line="211" w:lineRule="auto"/>
        <w:tabs>
          <w:tab w:leader="none" w:pos="1229" w:val="left"/>
        </w:tabs>
        <w:numPr>
          <w:ilvl w:val="0"/>
          <w:numId w:val="150"/>
        </w:numPr>
        <w:rPr>
          <w:rFonts w:ascii="Arial" w:cs="Arial" w:eastAsia="Arial" w:hAnsi="Arial"/>
          <w:sz w:val="19"/>
          <w:szCs w:val="19"/>
          <w:color w:val="auto"/>
        </w:rPr>
      </w:pPr>
      <w:r>
        <w:rPr>
          <w:rFonts w:ascii="Arial" w:cs="Arial" w:eastAsia="Arial" w:hAnsi="Arial"/>
          <w:sz w:val="19"/>
          <w:szCs w:val="19"/>
          <w:color w:val="auto"/>
        </w:rPr>
        <w:t>Borrower has provided evidence satisfactory to Collateral Agent demonstrating that immediately following the consummation of such acquisition and after giving pro forma effect to the payment of all acquisition consideration (including all “earnouts” and any other contingent or deferred acquisition consideration regardless of whether such consideration is paid upon or consummation or payable thereafter) in connection therewith, Borrowers will have sufficient cash runway for the immediately succeeding twelve (12) month period based upon projections calculated in good faith by Borrower and agreed to by Collateral Agent;</w:t>
      </w:r>
    </w:p>
    <w:p>
      <w:pPr>
        <w:spacing w:after="0" w:line="137" w:lineRule="exact"/>
        <w:rPr>
          <w:rFonts w:ascii="Arial" w:cs="Arial" w:eastAsia="Arial" w:hAnsi="Arial"/>
          <w:sz w:val="19"/>
          <w:szCs w:val="19"/>
          <w:color w:val="auto"/>
        </w:rPr>
      </w:pPr>
    </w:p>
    <w:p>
      <w:pPr>
        <w:ind w:firstLine="614"/>
        <w:spacing w:after="0" w:line="231" w:lineRule="auto"/>
        <w:tabs>
          <w:tab w:leader="none" w:pos="1233"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to the extent that the consideration for any such acquisition includes stock or similar equity interests, the payment of such consideration in the form of stock or similar equity shall not result in a Change of Control; and</w:t>
      </w:r>
    </w:p>
    <w:p>
      <w:pPr>
        <w:spacing w:after="0" w:line="135" w:lineRule="exact"/>
        <w:rPr>
          <w:rFonts w:ascii="Arial" w:cs="Arial" w:eastAsia="Arial" w:hAnsi="Arial"/>
          <w:sz w:val="19"/>
          <w:szCs w:val="19"/>
          <w:color w:val="auto"/>
        </w:rPr>
      </w:pPr>
    </w:p>
    <w:p>
      <w:pPr>
        <w:ind w:firstLine="614"/>
        <w:spacing w:after="0" w:line="248" w:lineRule="auto"/>
        <w:tabs>
          <w:tab w:leader="none" w:pos="123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Borrower shall provide to the Collateral Agent as soon as available but in any event not later than five (5) Business Days after the execution thereof, a copy of the executed purchase agreement or similar agreement with respect to any such acquisition.</w:t>
      </w:r>
    </w:p>
    <w:p>
      <w:pPr>
        <w:spacing w:after="0" w:line="109" w:lineRule="exact"/>
        <w:rPr>
          <w:sz w:val="20"/>
          <w:szCs w:val="20"/>
          <w:color w:val="auto"/>
        </w:rPr>
      </w:pPr>
    </w:p>
    <w:p>
      <w:pPr>
        <w:jc w:val="both"/>
        <w:ind w:firstLine="611"/>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ARQ Licenses</w:t>
      </w:r>
      <w:r>
        <w:rPr>
          <w:rFonts w:ascii="Arial" w:cs="Arial" w:eastAsia="Arial" w:hAnsi="Arial"/>
          <w:sz w:val="18"/>
          <w:szCs w:val="18"/>
          <w:color w:val="auto"/>
        </w:rPr>
        <w:t xml:space="preserve">” licenses for the use of ARQ-151 and ARQ-154;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each such license (i) the license constitutes an arms-length transaction, (ii) the terms, on their face, do not provide for a sale or assignment of any Intellectual Property and do not restrict the ability of Borrower or any of its Subsidiaries, as applicable, to pledge, grant a security interest in or lien on, or assign or otherwise Transfer any Intellectual Property; provided, however, that in the case of exclusive licenses for any non-United States jurisdiction, Borrower or such Subsidiary may covenant in such exclusive license that it will not license such intellectual property to another Person in the specific geography for which such license applies, (iii) the license is limited to territory outside of the United States, (iv) there is not an ongoing Event of Default at the time of the execution of the license, and (v) the license does not restrict the Borrower’s ability to pledge, grant a security interest in or Lien on, or assign, or otherwise transfer Borrower’s interest in any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350" w:right="339" w:bottom="1440" w:gutter="0" w:footer="0" w:header="0"/>
        </w:sectPr>
      </w:pPr>
    </w:p>
    <w:bookmarkStart w:id="207" w:name="page208"/>
    <w:bookmarkEnd w:id="207"/>
    <w:p>
      <w:pPr>
        <w:jc w:val="both"/>
        <w:ind w:firstLine="611"/>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Call Spread Agreements</w:t>
      </w:r>
      <w:r>
        <w:rPr>
          <w:rFonts w:ascii="Arial" w:cs="Arial" w:eastAsia="Arial" w:hAnsi="Arial"/>
          <w:sz w:val="17"/>
          <w:szCs w:val="17"/>
          <w:color w:val="auto"/>
        </w:rPr>
        <w:t>” means (a) any call option transaction (including, but not limited to, any bond hedge transaction or capped call transaction) pursuant to which the Borrower acquires an option requiring the counterparty thereto to deliver to the Borrower shares of common stock of the Borrower (or other securities or property following a merger event or other change of the common stock of the Borrower), the cash value thereof or a combination thereof from time to time upon exercise of such option entered into by the Borrower in connection with the issuance of Permitted Convertible Indebtedness (such transaction, a “</w:t>
      </w:r>
      <w:r>
        <w:rPr>
          <w:rFonts w:ascii="Arial" w:cs="Arial" w:eastAsia="Arial" w:hAnsi="Arial"/>
          <w:sz w:val="17"/>
          <w:szCs w:val="17"/>
          <w:b w:val="1"/>
          <w:bCs w:val="1"/>
          <w:color w:val="auto"/>
        </w:rPr>
        <w:t>Bond Hedge Transaction</w:t>
      </w:r>
      <w:r>
        <w:rPr>
          <w:rFonts w:ascii="Arial" w:cs="Arial" w:eastAsia="Arial" w:hAnsi="Arial"/>
          <w:sz w:val="17"/>
          <w:szCs w:val="17"/>
          <w:color w:val="auto"/>
        </w:rPr>
        <w:t>”) and (b) any call option transaction pursuant to which the Borrower issues to the counterparty thereto warrants to acquire common stock of the Borrower (or other securities or property following a merger event or other change of the common stock of the Borrower) (whether such warrant is settled in shares, cash or a combination thereof) entered into by the Borrower in connection with the issuance of Permitted Convertible Indebtedness (such transaction, a “</w:t>
      </w:r>
      <w:r>
        <w:rPr>
          <w:rFonts w:ascii="Arial" w:cs="Arial" w:eastAsia="Arial" w:hAnsi="Arial"/>
          <w:sz w:val="17"/>
          <w:szCs w:val="17"/>
          <w:b w:val="1"/>
          <w:bCs w:val="1"/>
          <w:color w:val="auto"/>
        </w:rPr>
        <w:t>Warrant Transaction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terms, conditions and covenants of each such call option transaction are customary for agreements of such type, as determined by Borrower in good faith, and (ii) the purchase price for such Bond Hedge Transaction, less the proceeds received by the Borrower from the sale of any related Warrant Transaction, does not exceed twenty percent (20%) of the aggregate principal amount of the related Permitted Convertible Indebtedness at the time of such purchase.</w:t>
      </w:r>
    </w:p>
    <w:p>
      <w:pPr>
        <w:spacing w:after="0" w:line="136" w:lineRule="exact"/>
        <w:rPr>
          <w:sz w:val="20"/>
          <w:szCs w:val="20"/>
          <w:color w:val="auto"/>
        </w:rPr>
      </w:pPr>
    </w:p>
    <w:p>
      <w:pPr>
        <w:jc w:val="both"/>
        <w:ind w:firstLine="611"/>
        <w:spacing w:after="0" w:line="22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Convertible Indebtedness</w:t>
      </w:r>
      <w:r>
        <w:rPr>
          <w:rFonts w:ascii="Arial" w:cs="Arial" w:eastAsia="Arial" w:hAnsi="Arial"/>
          <w:sz w:val="17"/>
          <w:szCs w:val="17"/>
          <w:color w:val="auto"/>
        </w:rPr>
        <w:t xml:space="preserve">” means senior unsecured notes issued by the Borrower pursuant to either an effective registration statement under the Securities Act of 1933, as amended or Rule 144A of the regulations thereunder (which issuance shall include a customary offering document which describes (i) this Agreement and (ii) the capital structure of Borrower after giving effect to such Indebtedness, in each case, in reasonable detail as determined by the Borrower in good faith) that are convertible into a fixed number (subject to customary anti-dilution adjustments, “make-whole” increases and the other customary changes thereto) of shares of common stock of the Borrower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and cash in lieu of fractional shares of common stock of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Indebtedness thereunder must satisfy each of the following conditions, and any agreements providing for such Indebtedness may only be amended, restated, supplemented or modified from time to time if each of the following conditions remains satisfied: (i) both immediately prior to and after giving effect (including pro forma effect) thereto, no Default or Event of Default shall exist or result therefrom, (ii) such Indebtedness matures, and does not provide for or require any scheduled amortization or other scheduled or otherwise provided for or required payments of principal or interest prior to, after the date that is one hundred eighty (180) days after the Maturity Date (it being understood that neither (x) any provision requiring an offer to purchase such Indebtedness as a result of change of control or other fundamental change (howsoever defined), (y) any early conversion of such Indebtedness in accordance with the terms thereof, nor</w:t>
      </w:r>
    </w:p>
    <w:p>
      <w:pPr>
        <w:jc w:val="both"/>
        <w:ind w:firstLine="3"/>
        <w:spacing w:after="0" w:line="215" w:lineRule="auto"/>
        <w:tabs>
          <w:tab w:leader="none" w:pos="28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provision providing for redemption of such Indebtedness upon satisfaction of a condition related to the stock price of the Borrower’s common stock, in each case, shall violate the foregoing restriction), (iii) Borrower’s market capitalization, as of the close of the regular trading session for the Borrower’s common stock on the date that is one (1) Business Day prior to the date of launching (i.e. not pricing) of such convertible Indebtedness, is not less than Four Hundred Million Dollars ($400,000,000.00), (iv) such Indebtedness (at any one time outstanding) is in an aggregate principal amount of not more than Three Hundred Million Dollars ($300,000,000.00), (v) such Indebtedness shall bear an interest rate of not more than seven and one half percent (7.50%) per annum and the terms, conditions and covenants (other than pricing terms determined through a customary marketing process) of such Indebtedness must be customary for convertible Indebtedness of such type (as determined by the Borrower in good faith) and (vi) such Indebtedness is not guaranteed by any Subsidiary of the Borrower (unless the Obligations are guaranteed by such Subsidiary on a secured basis).</w:t>
      </w:r>
    </w:p>
    <w:p>
      <w:pPr>
        <w:spacing w:after="0" w:line="11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Indebtedness</w:t>
      </w:r>
      <w:r>
        <w:rPr>
          <w:rFonts w:ascii="Arial" w:cs="Arial" w:eastAsia="Arial" w:hAnsi="Arial"/>
          <w:sz w:val="19"/>
          <w:szCs w:val="19"/>
          <w:color w:val="auto"/>
        </w:rPr>
        <w:t>” is:</w:t>
      </w:r>
    </w:p>
    <w:p>
      <w:pPr>
        <w:spacing w:after="0" w:line="162" w:lineRule="exact"/>
        <w:rPr>
          <w:sz w:val="20"/>
          <w:szCs w:val="20"/>
          <w:color w:val="auto"/>
        </w:rPr>
      </w:pPr>
    </w:p>
    <w:p>
      <w:pPr>
        <w:ind w:left="1240" w:hanging="626"/>
        <w:spacing w:after="0"/>
        <w:tabs>
          <w:tab w:leader="none" w:pos="124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Borrower’s Indebtedness to the Lenders and Collateral Agent under this Agreement and the other Loan Documents;</w:t>
      </w:r>
    </w:p>
    <w:p>
      <w:pPr>
        <w:spacing w:after="0" w:line="156" w:lineRule="exact"/>
        <w:rPr>
          <w:rFonts w:ascii="Arial" w:cs="Arial" w:eastAsia="Arial" w:hAnsi="Arial"/>
          <w:sz w:val="19"/>
          <w:szCs w:val="19"/>
          <w:color w:val="auto"/>
        </w:rPr>
      </w:pPr>
    </w:p>
    <w:p>
      <w:pPr>
        <w:ind w:left="1240" w:hanging="626"/>
        <w:spacing w:after="0"/>
        <w:tabs>
          <w:tab w:leader="none" w:pos="124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Indebtedness existing on the Effective Date and disclosed on the Perfection Certificate;</w:t>
      </w:r>
    </w:p>
    <w:p>
      <w:pPr>
        <w:spacing w:after="0" w:line="143" w:lineRule="exact"/>
        <w:rPr>
          <w:rFonts w:ascii="Arial" w:cs="Arial" w:eastAsia="Arial" w:hAnsi="Arial"/>
          <w:sz w:val="19"/>
          <w:szCs w:val="19"/>
          <w:color w:val="auto"/>
        </w:rPr>
      </w:pPr>
    </w:p>
    <w:p>
      <w:pPr>
        <w:ind w:left="1240" w:hanging="626"/>
        <w:spacing w:after="0"/>
        <w:tabs>
          <w:tab w:leader="none" w:pos="124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Subordinated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345" w:right="339" w:bottom="1440" w:gutter="0" w:footer="0" w:header="0"/>
        </w:sectPr>
      </w:pPr>
    </w:p>
    <w:bookmarkStart w:id="208" w:name="page209"/>
    <w:bookmarkEnd w:id="208"/>
    <w:p>
      <w:pPr>
        <w:ind w:left="1240" w:hanging="626"/>
        <w:spacing w:after="0"/>
        <w:tabs>
          <w:tab w:leader="none" w:pos="124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unsecured Indebtedness to trade creditors incurred in the ordinary course of business</w:t>
      </w:r>
    </w:p>
    <w:p>
      <w:pPr>
        <w:spacing w:after="0" w:line="156" w:lineRule="exact"/>
        <w:rPr>
          <w:rFonts w:ascii="Arial" w:cs="Arial" w:eastAsia="Arial" w:hAnsi="Arial"/>
          <w:sz w:val="19"/>
          <w:szCs w:val="19"/>
          <w:color w:val="auto"/>
        </w:rPr>
      </w:pPr>
    </w:p>
    <w:p>
      <w:pPr>
        <w:ind w:firstLine="614"/>
        <w:spacing w:after="0" w:line="231" w:lineRule="auto"/>
        <w:tabs>
          <w:tab w:leader="none" w:pos="1237" w:val="left"/>
        </w:tabs>
        <w:numPr>
          <w:ilvl w:val="1"/>
          <w:numId w:val="153"/>
        </w:numPr>
        <w:rPr>
          <w:rFonts w:ascii="Arial" w:cs="Arial" w:eastAsia="Arial" w:hAnsi="Arial"/>
          <w:sz w:val="19"/>
          <w:szCs w:val="19"/>
          <w:color w:val="auto"/>
        </w:rPr>
      </w:pPr>
      <w:r>
        <w:rPr>
          <w:rFonts w:ascii="Arial" w:cs="Arial" w:eastAsia="Arial" w:hAnsi="Arial"/>
          <w:sz w:val="19"/>
          <w:szCs w:val="19"/>
          <w:color w:val="auto"/>
        </w:rPr>
        <w:t>unsecured Indebtedness in connection with credit cards incurred in the ordinary course of business in an aggregate amount not to exceed Five Hundred Thousand Dollars ($500,000.00);</w:t>
      </w:r>
    </w:p>
    <w:p>
      <w:pPr>
        <w:spacing w:after="0" w:line="122" w:lineRule="exact"/>
        <w:rPr>
          <w:rFonts w:ascii="Arial" w:cs="Arial" w:eastAsia="Arial" w:hAnsi="Arial"/>
          <w:sz w:val="19"/>
          <w:szCs w:val="19"/>
          <w:color w:val="auto"/>
        </w:rPr>
      </w:pPr>
    </w:p>
    <w:p>
      <w:pPr>
        <w:jc w:val="both"/>
        <w:ind w:firstLine="614"/>
        <w:spacing w:after="0" w:line="228" w:lineRule="auto"/>
        <w:tabs>
          <w:tab w:leader="none" w:pos="1229" w:val="left"/>
        </w:tabs>
        <w:numPr>
          <w:ilvl w:val="1"/>
          <w:numId w:val="153"/>
        </w:numPr>
        <w:rPr>
          <w:rFonts w:ascii="Arial" w:cs="Arial" w:eastAsia="Arial" w:hAnsi="Arial"/>
          <w:sz w:val="17"/>
          <w:szCs w:val="17"/>
          <w:color w:val="auto"/>
        </w:rPr>
      </w:pPr>
      <w:r>
        <w:rPr>
          <w:rFonts w:ascii="Arial" w:cs="Arial" w:eastAsia="Arial" w:hAnsi="Arial"/>
          <w:sz w:val="17"/>
          <w:szCs w:val="17"/>
          <w:color w:val="auto"/>
        </w:rPr>
        <w:t>Indebtedness consisting of capitalized lease obligations and purchase money Indebtedness, in each case incurred by Borrower or any of its Subsidiaries to finance the acquisition, repair, improvement or construction of fixed or capital assets or software of such person, provided that (i) the aggregate outstanding principal amount of all such Indebtedness does not exceed One Million Dollars ($1,000,000.00) at any time and</w:t>
      </w:r>
    </w:p>
    <w:p>
      <w:pPr>
        <w:spacing w:after="0" w:line="1" w:lineRule="exact"/>
        <w:rPr>
          <w:rFonts w:ascii="Arial" w:cs="Arial" w:eastAsia="Arial" w:hAnsi="Arial"/>
          <w:sz w:val="17"/>
          <w:szCs w:val="17"/>
          <w:color w:val="auto"/>
        </w:rPr>
      </w:pPr>
    </w:p>
    <w:p>
      <w:pPr>
        <w:jc w:val="both"/>
        <w:ind w:firstLine="3"/>
        <w:spacing w:after="0" w:line="214" w:lineRule="auto"/>
        <w:tabs>
          <w:tab w:leader="none" w:pos="28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36" w:lineRule="exact"/>
        <w:rPr>
          <w:rFonts w:ascii="Arial" w:cs="Arial" w:eastAsia="Arial" w:hAnsi="Arial"/>
          <w:sz w:val="19"/>
          <w:szCs w:val="19"/>
          <w:color w:val="auto"/>
        </w:rPr>
      </w:pPr>
    </w:p>
    <w:p>
      <w:pPr>
        <w:ind w:left="1240" w:hanging="626"/>
        <w:spacing w:after="0"/>
        <w:tabs>
          <w:tab w:leader="none" w:pos="124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Permitted Convertible Indebtedness;</w:t>
      </w:r>
    </w:p>
    <w:p>
      <w:pPr>
        <w:spacing w:after="0" w:line="156" w:lineRule="exact"/>
        <w:rPr>
          <w:sz w:val="20"/>
          <w:szCs w:val="20"/>
          <w:color w:val="auto"/>
        </w:rPr>
      </w:pPr>
    </w:p>
    <w:p>
      <w:pPr>
        <w:ind w:firstLine="614"/>
        <w:spacing w:after="0" w:line="231" w:lineRule="auto"/>
        <w:tabs>
          <w:tab w:leader="none" w:pos="1232" w:val="left"/>
        </w:tabs>
        <w:numPr>
          <w:ilvl w:val="1"/>
          <w:numId w:val="155"/>
        </w:numPr>
        <w:rPr>
          <w:rFonts w:ascii="Arial" w:cs="Arial" w:eastAsia="Arial" w:hAnsi="Arial"/>
          <w:sz w:val="19"/>
          <w:szCs w:val="19"/>
          <w:color w:val="auto"/>
        </w:rPr>
      </w:pPr>
      <w:r>
        <w:rPr>
          <w:rFonts w:ascii="Arial" w:cs="Arial" w:eastAsia="Arial" w:hAnsi="Arial"/>
          <w:sz w:val="19"/>
          <w:szCs w:val="19"/>
          <w:color w:val="auto"/>
        </w:rPr>
        <w:t>Indebtedness consisting of the obligation to pay rent when due under real property leases entered into in the ordinary course of Borrower’s business;</w:t>
      </w:r>
    </w:p>
    <w:p>
      <w:pPr>
        <w:spacing w:after="0" w:line="122" w:lineRule="exact"/>
        <w:rPr>
          <w:rFonts w:ascii="Arial" w:cs="Arial" w:eastAsia="Arial" w:hAnsi="Arial"/>
          <w:sz w:val="19"/>
          <w:szCs w:val="19"/>
          <w:color w:val="auto"/>
        </w:rPr>
      </w:pPr>
    </w:p>
    <w:p>
      <w:pPr>
        <w:ind w:left="1240" w:hanging="626"/>
        <w:spacing w:after="0"/>
        <w:tabs>
          <w:tab w:leader="none" w:pos="1240" w:val="left"/>
        </w:tabs>
        <w:numPr>
          <w:ilvl w:val="1"/>
          <w:numId w:val="155"/>
        </w:numPr>
        <w:rPr>
          <w:rFonts w:ascii="Arial" w:cs="Arial" w:eastAsia="Arial" w:hAnsi="Arial"/>
          <w:sz w:val="19"/>
          <w:szCs w:val="19"/>
          <w:color w:val="auto"/>
        </w:rPr>
      </w:pPr>
      <w:r>
        <w:rPr>
          <w:rFonts w:ascii="Arial" w:cs="Arial" w:eastAsia="Arial" w:hAnsi="Arial"/>
          <w:sz w:val="19"/>
          <w:szCs w:val="19"/>
          <w:color w:val="auto"/>
        </w:rPr>
        <w:t>other unsecured Indebtedness at any time not to exceed One Million Dollars ($1,000,000.00) in the aggregate;</w:t>
      </w:r>
    </w:p>
    <w:p>
      <w:pPr>
        <w:spacing w:after="0" w:line="156" w:lineRule="exact"/>
        <w:rPr>
          <w:rFonts w:ascii="Arial" w:cs="Arial" w:eastAsia="Arial" w:hAnsi="Arial"/>
          <w:sz w:val="19"/>
          <w:szCs w:val="19"/>
          <w:color w:val="auto"/>
        </w:rPr>
      </w:pPr>
    </w:p>
    <w:p>
      <w:pPr>
        <w:jc w:val="both"/>
        <w:ind w:firstLine="614"/>
        <w:spacing w:after="0" w:line="220" w:lineRule="auto"/>
        <w:tabs>
          <w:tab w:leader="none" w:pos="1229" w:val="left"/>
        </w:tabs>
        <w:numPr>
          <w:ilvl w:val="1"/>
          <w:numId w:val="155"/>
        </w:numPr>
        <w:rPr>
          <w:rFonts w:ascii="Arial" w:cs="Arial" w:eastAsia="Arial" w:hAnsi="Arial"/>
          <w:sz w:val="19"/>
          <w:szCs w:val="19"/>
          <w:color w:val="auto"/>
        </w:rPr>
      </w:pPr>
      <w:r>
        <w:rPr>
          <w:rFonts w:ascii="Arial" w:cs="Arial" w:eastAsia="Arial" w:hAnsi="Arial"/>
          <w:sz w:val="19"/>
          <w:szCs w:val="19"/>
          <w:color w:val="auto"/>
        </w:rPr>
        <w:t>Indebtedness in respect of letters of credit, bank guarantees and similar instruments issued for the account of the Borrower or any of its Subsidiaries in the aggregate amount not to exceed Three Million Dollars ($3,000,000.00) at any time, in each case as incurred in the ordinary course of business;</w:t>
      </w:r>
    </w:p>
    <w:p>
      <w:pPr>
        <w:spacing w:after="0" w:line="135" w:lineRule="exact"/>
        <w:rPr>
          <w:rFonts w:ascii="Arial" w:cs="Arial" w:eastAsia="Arial" w:hAnsi="Arial"/>
          <w:sz w:val="19"/>
          <w:szCs w:val="19"/>
          <w:color w:val="auto"/>
        </w:rPr>
      </w:pPr>
    </w:p>
    <w:p>
      <w:pPr>
        <w:ind w:left="1240" w:hanging="626"/>
        <w:spacing w:after="0"/>
        <w:tabs>
          <w:tab w:leader="none" w:pos="124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Hedges and similar transactions with respect to currency risk entered into in the ordinary course of business and not for speculative</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purposes;</w:t>
      </w:r>
    </w:p>
    <w:p>
      <w:pPr>
        <w:spacing w:after="0" w:line="127" w:lineRule="exact"/>
        <w:rPr>
          <w:rFonts w:ascii="Arial" w:cs="Arial" w:eastAsia="Arial" w:hAnsi="Arial"/>
          <w:sz w:val="17"/>
          <w:szCs w:val="17"/>
          <w:color w:val="auto"/>
        </w:rPr>
      </w:pPr>
    </w:p>
    <w:p>
      <w:pPr>
        <w:ind w:firstLine="614"/>
        <w:spacing w:after="0" w:line="231" w:lineRule="auto"/>
        <w:tabs>
          <w:tab w:leader="none" w:pos="1229" w:val="left"/>
        </w:tabs>
        <w:numPr>
          <w:ilvl w:val="1"/>
          <w:numId w:val="155"/>
        </w:numPr>
        <w:rPr>
          <w:rFonts w:ascii="Arial" w:cs="Arial" w:eastAsia="Arial" w:hAnsi="Arial"/>
          <w:sz w:val="19"/>
          <w:szCs w:val="19"/>
          <w:color w:val="auto"/>
        </w:rPr>
      </w:pPr>
      <w:r>
        <w:rPr>
          <w:rFonts w:ascii="Arial" w:cs="Arial" w:eastAsia="Arial" w:hAnsi="Arial"/>
          <w:sz w:val="19"/>
          <w:szCs w:val="19"/>
          <w:color w:val="auto"/>
        </w:rPr>
        <w:t>Surety bonds and similar Indebtedness entered into in the ordinary course of business and in an amount not exceeding One Million Dollars ($1,000,000.00) outstanding at any time;</w:t>
      </w:r>
    </w:p>
    <w:p>
      <w:pPr>
        <w:spacing w:after="0" w:line="135" w:lineRule="exact"/>
        <w:rPr>
          <w:rFonts w:ascii="Arial" w:cs="Arial" w:eastAsia="Arial" w:hAnsi="Arial"/>
          <w:sz w:val="19"/>
          <w:szCs w:val="19"/>
          <w:color w:val="auto"/>
        </w:rPr>
      </w:pPr>
    </w:p>
    <w:p>
      <w:pPr>
        <w:ind w:left="1240" w:hanging="626"/>
        <w:spacing w:after="0"/>
        <w:tabs>
          <w:tab w:leader="none" w:pos="124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Intercompany Indebtedness that constitutes a Permitted Investment under clause (f), (i) and (j) of the term “Permitted Investments”;</w:t>
      </w:r>
    </w:p>
    <w:p>
      <w:pPr>
        <w:spacing w:after="0" w:line="179" w:lineRule="exact"/>
        <w:rPr>
          <w:rFonts w:ascii="Arial" w:cs="Arial" w:eastAsia="Arial" w:hAnsi="Arial"/>
          <w:sz w:val="17"/>
          <w:szCs w:val="17"/>
          <w:color w:val="auto"/>
        </w:rPr>
      </w:pPr>
    </w:p>
    <w:p>
      <w:pPr>
        <w:ind w:left="1240" w:hanging="626"/>
        <w:spacing w:after="0"/>
        <w:tabs>
          <w:tab w:leader="none" w:pos="1240" w:val="left"/>
        </w:tabs>
        <w:numPr>
          <w:ilvl w:val="1"/>
          <w:numId w:val="155"/>
        </w:numPr>
        <w:rPr>
          <w:rFonts w:ascii="Arial" w:cs="Arial" w:eastAsia="Arial" w:hAnsi="Arial"/>
          <w:sz w:val="19"/>
          <w:szCs w:val="19"/>
          <w:color w:val="auto"/>
        </w:rPr>
      </w:pPr>
      <w:r>
        <w:rPr>
          <w:rFonts w:ascii="Arial" w:cs="Arial" w:eastAsia="Arial" w:hAnsi="Arial"/>
          <w:sz w:val="19"/>
          <w:szCs w:val="19"/>
          <w:color w:val="auto"/>
        </w:rPr>
        <w:t>Advances or deposits received from customers or vendors in the ordinary course of business;</w:t>
      </w:r>
    </w:p>
    <w:p>
      <w:pPr>
        <w:spacing w:after="0" w:line="143" w:lineRule="exact"/>
        <w:rPr>
          <w:rFonts w:ascii="Arial" w:cs="Arial" w:eastAsia="Arial" w:hAnsi="Arial"/>
          <w:sz w:val="19"/>
          <w:szCs w:val="19"/>
          <w:color w:val="auto"/>
        </w:rPr>
      </w:pPr>
    </w:p>
    <w:p>
      <w:pPr>
        <w:jc w:val="both"/>
        <w:ind w:firstLine="614"/>
        <w:spacing w:after="0" w:line="232" w:lineRule="auto"/>
        <w:tabs>
          <w:tab w:leader="none" w:pos="123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“earnouts”, purchase price adjustments, profit sharing arrangements, deferred purchase money amounts and similar payment obligations or continuing obligations of any nature of such Person arising out of purchase and sale contracts (including any indemnification and other similar obligations incurred in an acquisition), in each case subject to the limitations in the definition of “Permitted Acquisition”;</w:t>
      </w:r>
    </w:p>
    <w:p>
      <w:pPr>
        <w:spacing w:after="0" w:line="136" w:lineRule="exact"/>
        <w:rPr>
          <w:rFonts w:ascii="Arial" w:cs="Arial" w:eastAsia="Arial" w:hAnsi="Arial"/>
          <w:sz w:val="18"/>
          <w:szCs w:val="18"/>
          <w:color w:val="auto"/>
        </w:rPr>
      </w:pPr>
    </w:p>
    <w:p>
      <w:pPr>
        <w:ind w:firstLine="614"/>
        <w:spacing w:after="0" w:line="231" w:lineRule="auto"/>
        <w:tabs>
          <w:tab w:leader="none" w:pos="1232" w:val="left"/>
        </w:tabs>
        <w:numPr>
          <w:ilvl w:val="1"/>
          <w:numId w:val="155"/>
        </w:numPr>
        <w:rPr>
          <w:rFonts w:ascii="Arial" w:cs="Arial" w:eastAsia="Arial" w:hAnsi="Arial"/>
          <w:sz w:val="19"/>
          <w:szCs w:val="19"/>
          <w:color w:val="auto"/>
        </w:rPr>
      </w:pPr>
      <w:r>
        <w:rPr>
          <w:rFonts w:ascii="Arial" w:cs="Arial" w:eastAsia="Arial" w:hAnsi="Arial"/>
          <w:sz w:val="19"/>
          <w:szCs w:val="19"/>
          <w:color w:val="auto"/>
        </w:rPr>
        <w:t>Indebtedness arising in connection with the financing of insurance premiums in an amount not exceeding One Million Dollars ($1,000,000.00) outstanding at any time;</w:t>
      </w:r>
    </w:p>
    <w:p>
      <w:pPr>
        <w:spacing w:after="0" w:line="135" w:lineRule="exact"/>
        <w:rPr>
          <w:rFonts w:ascii="Arial" w:cs="Arial" w:eastAsia="Arial" w:hAnsi="Arial"/>
          <w:sz w:val="19"/>
          <w:szCs w:val="19"/>
          <w:color w:val="auto"/>
        </w:rPr>
      </w:pPr>
    </w:p>
    <w:p>
      <w:pPr>
        <w:ind w:left="1240" w:hanging="626"/>
        <w:spacing w:after="0"/>
        <w:tabs>
          <w:tab w:leader="none" w:pos="124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Borrower’s business; and</w:t>
      </w:r>
    </w:p>
    <w:p>
      <w:pPr>
        <w:spacing w:after="0" w:line="156" w:lineRule="exact"/>
        <w:rPr>
          <w:rFonts w:ascii="Arial" w:cs="Arial" w:eastAsia="Arial" w:hAnsi="Arial"/>
          <w:sz w:val="17"/>
          <w:szCs w:val="17"/>
          <w:color w:val="auto"/>
        </w:rPr>
      </w:pPr>
    </w:p>
    <w:p>
      <w:pPr>
        <w:ind w:left="1240" w:hanging="626"/>
        <w:spacing w:after="0"/>
        <w:tabs>
          <w:tab w:leader="none" w:pos="124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w:t>
      </w:r>
    </w:p>
    <w:p>
      <w:pPr>
        <w:ind w:firstLine="3"/>
        <w:spacing w:after="0" w:line="222" w:lineRule="auto"/>
        <w:tabs>
          <w:tab w:leader="none" w:pos="27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above, provided that the principal amount thereof is not increased or the terms thereof are not modified to impose materially more burdensome terms upon Borrower, or its Subsidiary, as the case may be.</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Investments</w:t>
      </w:r>
      <w:r>
        <w:rPr>
          <w:rFonts w:ascii="Arial" w:cs="Arial" w:eastAsia="Arial" w:hAnsi="Arial"/>
          <w:sz w:val="19"/>
          <w:szCs w:val="19"/>
          <w:color w:val="auto"/>
        </w:rPr>
        <w:t>” are:</w:t>
      </w:r>
    </w:p>
    <w:p>
      <w:pPr>
        <w:spacing w:after="0" w:line="162" w:lineRule="exact"/>
        <w:rPr>
          <w:sz w:val="20"/>
          <w:szCs w:val="20"/>
          <w:color w:val="auto"/>
        </w:rPr>
      </w:pPr>
    </w:p>
    <w:p>
      <w:pPr>
        <w:ind w:left="1240" w:hanging="626"/>
        <w:spacing w:after="0"/>
        <w:tabs>
          <w:tab w:leader="none" w:pos="124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Investments disclosed on the Perfection Certificate and existing on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350" w:right="339" w:bottom="1440" w:gutter="0" w:footer="0" w:header="0"/>
        </w:sectPr>
      </w:pPr>
    </w:p>
    <w:bookmarkStart w:id="209" w:name="page210"/>
    <w:bookmarkEnd w:id="209"/>
    <w:p>
      <w:pPr>
        <w:jc w:val="both"/>
        <w:ind w:firstLine="614"/>
        <w:spacing w:after="0" w:line="220" w:lineRule="auto"/>
        <w:tabs>
          <w:tab w:leader="none" w:pos="1232"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 Investments consisting of cash and Cash Equivalents, and (ii) any Investments permitted by Borrower’s investment policy, as amended from time to time, provided that such investment policy (and any such amendment thereto) has been approved in writing by Collateral Agent;</w:t>
      </w:r>
    </w:p>
    <w:p>
      <w:pPr>
        <w:spacing w:after="0" w:line="135" w:lineRule="exact"/>
        <w:rPr>
          <w:rFonts w:ascii="Arial" w:cs="Arial" w:eastAsia="Arial" w:hAnsi="Arial"/>
          <w:sz w:val="19"/>
          <w:szCs w:val="19"/>
          <w:color w:val="auto"/>
        </w:rPr>
      </w:pPr>
    </w:p>
    <w:p>
      <w:pPr>
        <w:ind w:firstLine="614"/>
        <w:spacing w:after="0" w:line="231" w:lineRule="auto"/>
        <w:tabs>
          <w:tab w:leader="none" w:pos="1234"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Investments consisting of the endorsement of negotiable instruments for deposit or collection or similar transactions in the ordinary course of Borrower;</w:t>
      </w:r>
    </w:p>
    <w:p>
      <w:pPr>
        <w:spacing w:after="0" w:line="122" w:lineRule="exact"/>
        <w:rPr>
          <w:rFonts w:ascii="Arial" w:cs="Arial" w:eastAsia="Arial" w:hAnsi="Arial"/>
          <w:sz w:val="19"/>
          <w:szCs w:val="19"/>
          <w:color w:val="auto"/>
        </w:rPr>
      </w:pPr>
    </w:p>
    <w:p>
      <w:pPr>
        <w:ind w:firstLine="614"/>
        <w:spacing w:after="0" w:line="231" w:lineRule="auto"/>
        <w:tabs>
          <w:tab w:leader="none" w:pos="1232"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Investments consisting of Deposit Accounts in which Collateral Agent has a perfected Lien (subject to the terms of this Agreement) for the ratable benefit of the Secured Parties except as permitted in Section 6.6 hereof;</w:t>
      </w:r>
    </w:p>
    <w:p>
      <w:pPr>
        <w:spacing w:after="0" w:line="135" w:lineRule="exact"/>
        <w:rPr>
          <w:rFonts w:ascii="Arial" w:cs="Arial" w:eastAsia="Arial" w:hAnsi="Arial"/>
          <w:sz w:val="19"/>
          <w:szCs w:val="19"/>
          <w:color w:val="auto"/>
        </w:rPr>
      </w:pPr>
    </w:p>
    <w:p>
      <w:pPr>
        <w:ind w:left="1240" w:hanging="626"/>
        <w:spacing w:after="0"/>
        <w:tabs>
          <w:tab w:leader="none" w:pos="124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Investments in connection with Permitted Indebtedness, Permitted Liens and with Transfers permitted by Section 7.1;</w:t>
      </w:r>
    </w:p>
    <w:p>
      <w:pPr>
        <w:spacing w:after="0" w:line="156" w:lineRule="exact"/>
        <w:rPr>
          <w:rFonts w:ascii="Arial" w:cs="Arial" w:eastAsia="Arial" w:hAnsi="Arial"/>
          <w:sz w:val="19"/>
          <w:szCs w:val="19"/>
          <w:color w:val="auto"/>
        </w:rPr>
      </w:pPr>
    </w:p>
    <w:p>
      <w:pPr>
        <w:jc w:val="both"/>
        <w:ind w:firstLine="614"/>
        <w:spacing w:after="0" w:line="215" w:lineRule="auto"/>
        <w:tabs>
          <w:tab w:leader="none" w:pos="123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Five Hundred Thousand Dollars ($500,000.00) in the aggregate for (i) and (ii) in any fiscal year;</w:t>
      </w:r>
    </w:p>
    <w:p>
      <w:pPr>
        <w:spacing w:after="0" w:line="121" w:lineRule="exact"/>
        <w:rPr>
          <w:rFonts w:ascii="Arial" w:cs="Arial" w:eastAsia="Arial" w:hAnsi="Arial"/>
          <w:sz w:val="19"/>
          <w:szCs w:val="19"/>
          <w:color w:val="auto"/>
        </w:rPr>
      </w:pPr>
    </w:p>
    <w:p>
      <w:pPr>
        <w:ind w:firstLine="614"/>
        <w:spacing w:after="0" w:line="277" w:lineRule="auto"/>
        <w:tabs>
          <w:tab w:leader="none" w:pos="1232"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04" w:lineRule="exact"/>
        <w:rPr>
          <w:rFonts w:ascii="Arial" w:cs="Arial" w:eastAsia="Arial" w:hAnsi="Arial"/>
          <w:sz w:val="17"/>
          <w:szCs w:val="17"/>
          <w:color w:val="auto"/>
        </w:rPr>
      </w:pPr>
    </w:p>
    <w:p>
      <w:pPr>
        <w:ind w:firstLine="614"/>
        <w:spacing w:after="0" w:line="277" w:lineRule="auto"/>
        <w:tabs>
          <w:tab w:leader="none" w:pos="1232"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04" w:lineRule="exact"/>
        <w:rPr>
          <w:rFonts w:ascii="Arial" w:cs="Arial" w:eastAsia="Arial" w:hAnsi="Arial"/>
          <w:sz w:val="17"/>
          <w:szCs w:val="17"/>
          <w:color w:val="auto"/>
        </w:rPr>
      </w:pPr>
    </w:p>
    <w:p>
      <w:pPr>
        <w:ind w:left="1240" w:hanging="626"/>
        <w:spacing w:after="0"/>
        <w:tabs>
          <w:tab w:leader="none" w:pos="124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Investments in Subsidiaries that are Guarantors;</w:t>
      </w:r>
    </w:p>
    <w:p>
      <w:pPr>
        <w:spacing w:after="0" w:line="143" w:lineRule="exact"/>
        <w:rPr>
          <w:rFonts w:ascii="Arial" w:cs="Arial" w:eastAsia="Arial" w:hAnsi="Arial"/>
          <w:sz w:val="19"/>
          <w:szCs w:val="19"/>
          <w:color w:val="auto"/>
        </w:rPr>
      </w:pPr>
    </w:p>
    <w:p>
      <w:pPr>
        <w:ind w:left="1240" w:hanging="626"/>
        <w:spacing w:after="0"/>
        <w:tabs>
          <w:tab w:leader="none" w:pos="12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Investments in Subsidiaries that are not Guarantors, not to exceed Two Hundred Fifty Thousand Dollars ($250,000.00) per fiscal</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year;</w:t>
      </w:r>
    </w:p>
    <w:p>
      <w:pPr>
        <w:spacing w:after="0" w:line="140" w:lineRule="exact"/>
        <w:rPr>
          <w:rFonts w:ascii="Arial" w:cs="Arial" w:eastAsia="Arial" w:hAnsi="Arial"/>
          <w:sz w:val="17"/>
          <w:szCs w:val="17"/>
          <w:color w:val="auto"/>
        </w:rPr>
      </w:pPr>
    </w:p>
    <w:p>
      <w:pPr>
        <w:ind w:left="1240" w:hanging="626"/>
        <w:spacing w:after="0"/>
        <w:tabs>
          <w:tab w:leader="none" w:pos="124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Permitted Acquisitions;</w:t>
      </w:r>
    </w:p>
    <w:p>
      <w:pPr>
        <w:spacing w:after="0" w:line="156" w:lineRule="exact"/>
        <w:rPr>
          <w:rFonts w:ascii="Arial" w:cs="Arial" w:eastAsia="Arial" w:hAnsi="Arial"/>
          <w:sz w:val="19"/>
          <w:szCs w:val="19"/>
          <w:color w:val="auto"/>
        </w:rPr>
      </w:pPr>
    </w:p>
    <w:p>
      <w:pPr>
        <w:ind w:left="1240" w:hanging="626"/>
        <w:spacing w:after="0"/>
        <w:tabs>
          <w:tab w:leader="none" w:pos="124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any Permitted Call Spread Agreements; and</w:t>
      </w:r>
    </w:p>
    <w:p>
      <w:pPr>
        <w:spacing w:after="0" w:line="143" w:lineRule="exact"/>
        <w:rPr>
          <w:rFonts w:ascii="Arial" w:cs="Arial" w:eastAsia="Arial" w:hAnsi="Arial"/>
          <w:sz w:val="19"/>
          <w:szCs w:val="19"/>
          <w:color w:val="auto"/>
        </w:rPr>
      </w:pPr>
    </w:p>
    <w:p>
      <w:pPr>
        <w:jc w:val="both"/>
        <w:ind w:firstLine="614"/>
        <w:spacing w:after="0" w:line="227" w:lineRule="auto"/>
        <w:tabs>
          <w:tab w:leader="none" w:pos="123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non-cash Investments in joint ventures or strategic alliances in the ordinary course of Borrower’s business consisting of the non-exclusive licensing of technology, the development of technology or the providing of technical support, and (ii) Investments in joint ventures or strategic alliances; provided that with respect to such Investments under this sub-clause (ii), the aggregate outstanding amount of all such cash Investments made during any fiscal year shall not exceed Two Million Dollars ($2,000,000.00); and</w:t>
      </w:r>
    </w:p>
    <w:p>
      <w:pPr>
        <w:spacing w:after="0" w:line="134" w:lineRule="exact"/>
        <w:rPr>
          <w:rFonts w:ascii="Arial" w:cs="Arial" w:eastAsia="Arial" w:hAnsi="Arial"/>
          <w:sz w:val="18"/>
          <w:szCs w:val="18"/>
          <w:color w:val="auto"/>
        </w:rPr>
      </w:pPr>
    </w:p>
    <w:p>
      <w:pPr>
        <w:ind w:left="1240" w:hanging="626"/>
        <w:spacing w:after="0"/>
        <w:tabs>
          <w:tab w:leader="none" w:pos="124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other Investments not to exceed One Million Dollars ($1,000,000.00) in the aggregate outstanding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350" w:right="339" w:bottom="1440" w:gutter="0" w:footer="0" w:header="0"/>
        </w:sectPr>
      </w:pPr>
    </w:p>
    <w:bookmarkStart w:id="210" w:name="page211"/>
    <w:bookmarkEnd w:id="210"/>
    <w:p>
      <w:pPr>
        <w:jc w:val="both"/>
        <w:ind w:firstLine="611"/>
        <w:spacing w:after="0" w:line="2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Licenses</w:t>
      </w:r>
      <w:r>
        <w:rPr>
          <w:rFonts w:ascii="Arial" w:cs="Arial" w:eastAsia="Arial" w:hAnsi="Arial"/>
          <w:sz w:val="18"/>
          <w:szCs w:val="18"/>
          <w:color w:val="auto"/>
        </w:rPr>
        <w:t xml:space="preserve">” are (A) licenses of over-the-counter software that is commercially available to the public, (B) non-exclusive licenses for the use of the Intellectual Property of Borrower or any of its Subsidiaries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such license described in clause (B),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(C) exclusive licenses for the use of the Intellectual Property of Borrower or any of its Subsidiaries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each such license described in this clause (C), the license (i)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(provided, however, Borrower or such Subsidiary may covenant in such license that it will not license such intellectual property to another Person in the specific geography for which such license applies), and (ii) is limited in territory with respect to a specific geographic country or region (i.e. Japan, Germany, northern China) outside of the United States, and (D) Permitted ARQ Licenses.</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Liens</w:t>
      </w:r>
      <w:r>
        <w:rPr>
          <w:rFonts w:ascii="Arial" w:cs="Arial" w:eastAsia="Arial" w:hAnsi="Arial"/>
          <w:sz w:val="19"/>
          <w:szCs w:val="19"/>
          <w:color w:val="auto"/>
        </w:rPr>
        <w:t>” are:</w:t>
      </w:r>
    </w:p>
    <w:p>
      <w:pPr>
        <w:spacing w:after="0" w:line="149" w:lineRule="exact"/>
        <w:rPr>
          <w:sz w:val="20"/>
          <w:szCs w:val="20"/>
          <w:color w:val="auto"/>
        </w:rPr>
      </w:pPr>
    </w:p>
    <w:p>
      <w:pPr>
        <w:ind w:left="1240" w:hanging="626"/>
        <w:spacing w:after="0"/>
        <w:tabs>
          <w:tab w:leader="none" w:pos="12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Liens existing on the Effective Date and disclosed on the Perfection Certificate or arising under this Agreement and the other Loan</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Documents;</w:t>
      </w:r>
    </w:p>
    <w:p>
      <w:pPr>
        <w:spacing w:after="0" w:line="140" w:lineRule="exact"/>
        <w:rPr>
          <w:rFonts w:ascii="Arial" w:cs="Arial" w:eastAsia="Arial" w:hAnsi="Arial"/>
          <w:sz w:val="17"/>
          <w:szCs w:val="17"/>
          <w:color w:val="auto"/>
        </w:rPr>
      </w:pPr>
    </w:p>
    <w:p>
      <w:pPr>
        <w:jc w:val="both"/>
        <w:ind w:firstLine="614"/>
        <w:spacing w:after="0" w:line="215" w:lineRule="auto"/>
        <w:tabs>
          <w:tab w:leader="none" w:pos="1232" w:val="left"/>
        </w:tabs>
        <w:numPr>
          <w:ilvl w:val="0"/>
          <w:numId w:val="159"/>
        </w:numPr>
        <w:rPr>
          <w:rFonts w:ascii="Arial" w:cs="Arial" w:eastAsia="Arial" w:hAnsi="Arial"/>
          <w:sz w:val="19"/>
          <w:szCs w:val="19"/>
          <w:color w:val="auto"/>
        </w:rPr>
      </w:pPr>
      <w:r>
        <w:rPr>
          <w:rFonts w:ascii="Arial" w:cs="Arial" w:eastAsia="Arial" w:hAnsi="Arial"/>
          <w:sz w:val="19"/>
          <w:szCs w:val="19"/>
          <w:color w:val="auto"/>
        </w:rPr>
        <w:t>Liens for Taxes, fees, assessments or other government charges or levies, either (i) not due and payable or (ii) being contested in good faith by appropriate proceedings diligently conducted and for which Borrower maintains adequate reserves on Borrower’s Books in accordance with GAAP, provided that no notice of any such Lien has been filed or recorded under the Internal Revenue Code and the Treasury Regulations adopted thereunder;</w:t>
      </w:r>
    </w:p>
    <w:p>
      <w:pPr>
        <w:spacing w:after="0" w:line="134" w:lineRule="exact"/>
        <w:rPr>
          <w:rFonts w:ascii="Arial" w:cs="Arial" w:eastAsia="Arial" w:hAnsi="Arial"/>
          <w:sz w:val="19"/>
          <w:szCs w:val="19"/>
          <w:color w:val="auto"/>
        </w:rPr>
      </w:pPr>
    </w:p>
    <w:p>
      <w:pPr>
        <w:jc w:val="both"/>
        <w:ind w:firstLine="614"/>
        <w:spacing w:after="0"/>
        <w:tabs>
          <w:tab w:leader="none" w:pos="123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Liens securing Indebtedness permitted under clause (e) of the definition of “Permitted Indebtedness,”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22" w:lineRule="exact"/>
        <w:rPr>
          <w:rFonts w:ascii="Arial" w:cs="Arial" w:eastAsia="Arial" w:hAnsi="Arial"/>
          <w:sz w:val="17"/>
          <w:szCs w:val="17"/>
          <w:color w:val="auto"/>
        </w:rPr>
      </w:pPr>
    </w:p>
    <w:p>
      <w:pPr>
        <w:jc w:val="both"/>
        <w:ind w:firstLine="614"/>
        <w:spacing w:after="0" w:line="227" w:lineRule="auto"/>
        <w:tabs>
          <w:tab w:leader="none" w:pos="123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Liens of carriers, warehousemen, landlords, suppliers, or other Persons that are possessory in nature arising in the ordinary course of business so long as such Liens attach only to Inventory, securing liabilities in the aggregate amount not to exceed Five Hundred Thousand Dollars ($500,000.00),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34" w:lineRule="exact"/>
        <w:rPr>
          <w:rFonts w:ascii="Arial" w:cs="Arial" w:eastAsia="Arial" w:hAnsi="Arial"/>
          <w:sz w:val="18"/>
          <w:szCs w:val="18"/>
          <w:color w:val="auto"/>
        </w:rPr>
      </w:pPr>
    </w:p>
    <w:p>
      <w:pPr>
        <w:ind w:firstLine="614"/>
        <w:spacing w:after="0" w:line="231" w:lineRule="auto"/>
        <w:tabs>
          <w:tab w:leader="none" w:pos="123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Liens to secure payment of workers’ compensation, employment insurance, old-age pensions, social security and other like obligations incurred in the ordinary course of business (other than Liens imposed by ERISA);</w:t>
      </w:r>
    </w:p>
    <w:p>
      <w:pPr>
        <w:spacing w:after="0" w:line="135" w:lineRule="exact"/>
        <w:rPr>
          <w:rFonts w:ascii="Arial" w:cs="Arial" w:eastAsia="Arial" w:hAnsi="Arial"/>
          <w:sz w:val="19"/>
          <w:szCs w:val="19"/>
          <w:color w:val="auto"/>
        </w:rPr>
      </w:pPr>
    </w:p>
    <w:p>
      <w:pPr>
        <w:jc w:val="both"/>
        <w:ind w:firstLine="614"/>
        <w:spacing w:after="0" w:line="220" w:lineRule="auto"/>
        <w:tabs>
          <w:tab w:leader="none" w:pos="1239"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Liens incurred in the extension, renewal or refinancing of the indebtedness secured by Liens described in (a) through (c), </w:t>
      </w:r>
      <w:r>
        <w:rPr>
          <w:rFonts w:ascii="Arial" w:cs="Arial" w:eastAsia="Arial" w:hAnsi="Arial"/>
          <w:sz w:val="19"/>
          <w:szCs w:val="19"/>
          <w:u w:val="single" w:color="auto"/>
          <w:color w:val="auto"/>
        </w:rPr>
        <w:t>but</w:t>
      </w:r>
      <w:r>
        <w:rPr>
          <w:rFonts w:ascii="Arial" w:cs="Arial" w:eastAsia="Arial" w:hAnsi="Arial"/>
          <w:sz w:val="19"/>
          <w:szCs w:val="19"/>
          <w:color w:val="auto"/>
        </w:rPr>
        <w:t xml:space="preserve"> any extension, renewal or replacement Lien must be limited to the property encumbered by the existing Lien and the principal amount of the indebtedness may not increase;</w:t>
      </w:r>
    </w:p>
    <w:p>
      <w:pPr>
        <w:spacing w:after="0" w:line="122" w:lineRule="exact"/>
        <w:rPr>
          <w:rFonts w:ascii="Arial" w:cs="Arial" w:eastAsia="Arial" w:hAnsi="Arial"/>
          <w:sz w:val="19"/>
          <w:szCs w:val="19"/>
          <w:color w:val="auto"/>
        </w:rPr>
      </w:pPr>
    </w:p>
    <w:p>
      <w:pPr>
        <w:jc w:val="both"/>
        <w:ind w:firstLine="614"/>
        <w:spacing w:after="0"/>
        <w:tabs>
          <w:tab w:leader="none" w:pos="123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345" w:right="339" w:bottom="1440" w:gutter="0" w:footer="0" w:header="0"/>
        </w:sectPr>
      </w:pPr>
    </w:p>
    <w:bookmarkStart w:id="211" w:name="page212"/>
    <w:bookmarkEnd w:id="211"/>
    <w:p>
      <w:pPr>
        <w:jc w:val="both"/>
        <w:ind w:firstLine="614"/>
        <w:spacing w:after="0" w:line="220" w:lineRule="auto"/>
        <w:tabs>
          <w:tab w:leader="none" w:pos="123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6.6(a) hereof;</w:t>
      </w:r>
    </w:p>
    <w:p>
      <w:pPr>
        <w:spacing w:after="0" w:line="135" w:lineRule="exact"/>
        <w:rPr>
          <w:rFonts w:ascii="Arial" w:cs="Arial" w:eastAsia="Arial" w:hAnsi="Arial"/>
          <w:sz w:val="19"/>
          <w:szCs w:val="19"/>
          <w:color w:val="auto"/>
        </w:rPr>
      </w:pPr>
    </w:p>
    <w:p>
      <w:pPr>
        <w:ind w:firstLine="614"/>
        <w:spacing w:after="0" w:line="277" w:lineRule="auto"/>
        <w:tabs>
          <w:tab w:leader="none" w:pos="1229" w:val="left"/>
        </w:tabs>
        <w:numPr>
          <w:ilvl w:val="0"/>
          <w:numId w:val="160"/>
        </w:numPr>
        <w:rPr>
          <w:rFonts w:ascii="Arial" w:cs="Arial" w:eastAsia="Arial" w:hAnsi="Arial"/>
          <w:sz w:val="17"/>
          <w:szCs w:val="17"/>
          <w:color w:val="auto"/>
        </w:rPr>
      </w:pPr>
      <w:r>
        <w:rPr>
          <w:rFonts w:ascii="Arial" w:cs="Arial" w:eastAsia="Arial" w:hAnsi="Arial"/>
          <w:sz w:val="17"/>
          <w:szCs w:val="17"/>
          <w:color w:val="auto"/>
        </w:rPr>
        <w:t>Liens on cash that stand as security for letter of credit reimbursement obligations and cash management obligations, together with such amount permitted under clause (j) of “Permitted Liens”, in the aggregate amount not to exceed Three Million Dollars ($3,000,000.00);</w:t>
      </w:r>
    </w:p>
    <w:p>
      <w:pPr>
        <w:spacing w:after="0" w:line="91" w:lineRule="exact"/>
        <w:rPr>
          <w:rFonts w:ascii="Arial" w:cs="Arial" w:eastAsia="Arial" w:hAnsi="Arial"/>
          <w:sz w:val="17"/>
          <w:szCs w:val="17"/>
          <w:color w:val="auto"/>
        </w:rPr>
      </w:pPr>
    </w:p>
    <w:p>
      <w:pPr>
        <w:ind w:firstLine="614"/>
        <w:spacing w:after="0" w:line="231" w:lineRule="auto"/>
        <w:tabs>
          <w:tab w:leader="none" w:pos="122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Security deposits under real property leases that are made in the ordinary course of business, together with such amount permitted under clause (i) of “Permitted Liens”, in the aggregate amount not to exceed Three Million Dollars ($3,000,000.00);</w:t>
      </w:r>
    </w:p>
    <w:p>
      <w:pPr>
        <w:spacing w:after="0" w:line="135" w:lineRule="exact"/>
        <w:rPr>
          <w:rFonts w:ascii="Arial" w:cs="Arial" w:eastAsia="Arial" w:hAnsi="Arial"/>
          <w:sz w:val="19"/>
          <w:szCs w:val="19"/>
          <w:color w:val="auto"/>
        </w:rPr>
      </w:pPr>
    </w:p>
    <w:p>
      <w:pPr>
        <w:ind w:firstLine="614"/>
        <w:spacing w:after="0" w:line="231" w:lineRule="auto"/>
        <w:tabs>
          <w:tab w:leader="none" w:pos="123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Liens on proceeds of insurance and unpaid premiums to secure Indebtedness permitted under clause (o) of the defined term “Permitted Indebtedness” not to exceed One Million Dollars ($1,000,000.00);</w:t>
      </w:r>
    </w:p>
    <w:p>
      <w:pPr>
        <w:spacing w:after="0" w:line="124" w:lineRule="exact"/>
        <w:rPr>
          <w:rFonts w:ascii="Arial" w:cs="Arial" w:eastAsia="Arial" w:hAnsi="Arial"/>
          <w:sz w:val="19"/>
          <w:szCs w:val="19"/>
          <w:color w:val="auto"/>
        </w:rPr>
      </w:pPr>
    </w:p>
    <w:p>
      <w:pPr>
        <w:ind w:left="1240" w:hanging="626"/>
        <w:spacing w:after="0"/>
        <w:tabs>
          <w:tab w:leader="none" w:pos="12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the extent constituting a Lien, escrow arrangements securing indemnification obligations associated with any Permitted</w:t>
      </w:r>
    </w:p>
    <w:p>
      <w:pPr>
        <w:spacing w:after="0"/>
        <w:rPr>
          <w:rFonts w:ascii="Arial" w:cs="Arial" w:eastAsia="Arial" w:hAnsi="Arial"/>
          <w:sz w:val="18"/>
          <w:szCs w:val="18"/>
          <w:color w:val="auto"/>
        </w:rPr>
      </w:pPr>
      <w:r>
        <w:rPr>
          <w:rFonts w:ascii="Arial" w:cs="Arial" w:eastAsia="Arial" w:hAnsi="Arial"/>
          <w:sz w:val="19"/>
          <w:szCs w:val="19"/>
          <w:color w:val="auto"/>
        </w:rPr>
        <w:t>Acquisition;</w:t>
      </w:r>
    </w:p>
    <w:p>
      <w:pPr>
        <w:spacing w:after="0" w:line="127" w:lineRule="exact"/>
        <w:rPr>
          <w:rFonts w:ascii="Arial" w:cs="Arial" w:eastAsia="Arial" w:hAnsi="Arial"/>
          <w:sz w:val="18"/>
          <w:szCs w:val="18"/>
          <w:color w:val="auto"/>
        </w:rPr>
      </w:pPr>
    </w:p>
    <w:p>
      <w:pPr>
        <w:ind w:left="1240" w:hanging="626"/>
        <w:spacing w:after="0"/>
        <w:tabs>
          <w:tab w:leader="none" w:pos="12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Liens arising from judgments, decrees or attachments in circumstances not constituting an Event of Default under Section 8.4 or</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8.7;</w:t>
      </w:r>
    </w:p>
    <w:p>
      <w:pPr>
        <w:spacing w:after="0" w:line="140" w:lineRule="exact"/>
        <w:rPr>
          <w:rFonts w:ascii="Arial" w:cs="Arial" w:eastAsia="Arial" w:hAnsi="Arial"/>
          <w:sz w:val="17"/>
          <w:szCs w:val="17"/>
          <w:color w:val="auto"/>
        </w:rPr>
      </w:pPr>
    </w:p>
    <w:p>
      <w:pPr>
        <w:ind w:left="1240" w:hanging="626"/>
        <w:spacing w:after="0"/>
        <w:tabs>
          <w:tab w:leader="none" w:pos="124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Permitted Licenses; and</w:t>
      </w:r>
    </w:p>
    <w:p>
      <w:pPr>
        <w:spacing w:after="0" w:line="156" w:lineRule="exact"/>
        <w:rPr>
          <w:rFonts w:ascii="Arial" w:cs="Arial" w:eastAsia="Arial" w:hAnsi="Arial"/>
          <w:sz w:val="19"/>
          <w:szCs w:val="19"/>
          <w:color w:val="auto"/>
        </w:rPr>
      </w:pPr>
    </w:p>
    <w:p>
      <w:pPr>
        <w:jc w:val="both"/>
        <w:ind w:firstLine="614"/>
        <w:spacing w:after="0" w:line="220" w:lineRule="auto"/>
        <w:tabs>
          <w:tab w:leader="none" w:pos="123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Liens incurred in the extension, renewal or refinancing of the indebtedness secured by Liens described above, but any extension, renewal or replacement Lien must be limited to the property encumbered by the existing Lien and the principal amount of the indebtedness may not increase.</w:t>
      </w:r>
    </w:p>
    <w:p>
      <w:pPr>
        <w:spacing w:after="0" w:line="117"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16" w:lineRule="exact"/>
        <w:rPr>
          <w:sz w:val="20"/>
          <w:szCs w:val="20"/>
          <w:color w:val="auto"/>
        </w:rPr>
      </w:pPr>
    </w:p>
    <w:p>
      <w:pPr>
        <w:jc w:val="both"/>
        <w:ind w:firstLine="611"/>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Prepayment Premium</w:t>
      </w:r>
      <w:r>
        <w:rPr>
          <w:rFonts w:ascii="Arial" w:cs="Arial" w:eastAsia="Arial" w:hAnsi="Arial"/>
          <w:sz w:val="19"/>
          <w:szCs w:val="19"/>
          <w:color w:val="auto"/>
        </w:rPr>
        <w:t>” is, with respect to any Term Loan subject to prepayment, refinancing, substitution or replacement prior to the Maturity Date, whether by mandatory or voluntary prepayment, acceleration or otherwise (including, but not limited to, upon the occurrence of a bankruptcy or insolvency event (including the acceleration of claims by operation of law)), an additional fee payable to the Lenders in amount equal to:</w:t>
      </w:r>
    </w:p>
    <w:p>
      <w:pPr>
        <w:spacing w:after="0" w:line="137" w:lineRule="exact"/>
        <w:rPr>
          <w:sz w:val="20"/>
          <w:szCs w:val="20"/>
          <w:color w:val="auto"/>
        </w:rPr>
      </w:pPr>
    </w:p>
    <w:p>
      <w:pPr>
        <w:ind w:firstLine="614"/>
        <w:spacing w:after="0" w:line="231" w:lineRule="auto"/>
        <w:tabs>
          <w:tab w:leader="none" w:pos="1234" w:val="left"/>
        </w:tabs>
        <w:numPr>
          <w:ilvl w:val="0"/>
          <w:numId w:val="161"/>
        </w:numPr>
        <w:rPr>
          <w:rFonts w:ascii="Arial" w:cs="Arial" w:eastAsia="Arial" w:hAnsi="Arial"/>
          <w:sz w:val="19"/>
          <w:szCs w:val="19"/>
          <w:color w:val="auto"/>
        </w:rPr>
      </w:pPr>
      <w:r>
        <w:rPr>
          <w:rFonts w:ascii="Arial" w:cs="Arial" w:eastAsia="Arial" w:hAnsi="Arial"/>
          <w:sz w:val="19"/>
          <w:szCs w:val="19"/>
          <w:color w:val="auto"/>
        </w:rPr>
        <w:t>for a prepayment, refinancing, substitution or replacement made on or after the Effective Date through but excluding the first anniversary of the Effective Date, three percent (3.00%) of the principal amount of such Term Loan so prepaid;</w:t>
      </w:r>
    </w:p>
    <w:p>
      <w:pPr>
        <w:spacing w:after="0" w:line="122" w:lineRule="exact"/>
        <w:rPr>
          <w:rFonts w:ascii="Arial" w:cs="Arial" w:eastAsia="Arial" w:hAnsi="Arial"/>
          <w:sz w:val="19"/>
          <w:szCs w:val="19"/>
          <w:color w:val="auto"/>
        </w:rPr>
      </w:pPr>
    </w:p>
    <w:p>
      <w:pPr>
        <w:jc w:val="both"/>
        <w:ind w:firstLine="614"/>
        <w:spacing w:after="0" w:line="220" w:lineRule="auto"/>
        <w:tabs>
          <w:tab w:leader="none" w:pos="123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for a prepayment, refinancing, substitution or replacement made on or after the date which is the first anniversary of the Effective Date through but excluding the second anniversary of the Effective Date, two percent (2.00%) of the principal amount of such Term Loan so prepaid;</w:t>
      </w:r>
    </w:p>
    <w:p>
      <w:pPr>
        <w:spacing w:after="0" w:line="135" w:lineRule="exact"/>
        <w:rPr>
          <w:rFonts w:ascii="Arial" w:cs="Arial" w:eastAsia="Arial" w:hAnsi="Arial"/>
          <w:sz w:val="19"/>
          <w:szCs w:val="19"/>
          <w:color w:val="auto"/>
        </w:rPr>
      </w:pPr>
    </w:p>
    <w:p>
      <w:pPr>
        <w:jc w:val="both"/>
        <w:ind w:firstLine="614"/>
        <w:spacing w:after="0" w:line="220" w:lineRule="auto"/>
        <w:tabs>
          <w:tab w:leader="none" w:pos="1234" w:val="left"/>
        </w:tabs>
        <w:numPr>
          <w:ilvl w:val="0"/>
          <w:numId w:val="161"/>
        </w:numPr>
        <w:rPr>
          <w:rFonts w:ascii="Arial" w:cs="Arial" w:eastAsia="Arial" w:hAnsi="Arial"/>
          <w:sz w:val="19"/>
          <w:szCs w:val="19"/>
          <w:color w:val="auto"/>
        </w:rPr>
      </w:pPr>
      <w:r>
        <w:rPr>
          <w:rFonts w:ascii="Arial" w:cs="Arial" w:eastAsia="Arial" w:hAnsi="Arial"/>
          <w:sz w:val="19"/>
          <w:szCs w:val="19"/>
          <w:color w:val="auto"/>
        </w:rPr>
        <w:t>for a prepayment, refinancing, substitution or replacement made on or after the date which is after the second anniversary of the Effective Date through and excluding the fourth anniversary of the Effective Date, one percent (1.00%) of the principal amount of such Term Loan so prepaid; and</w:t>
      </w:r>
    </w:p>
    <w:p>
      <w:pPr>
        <w:spacing w:after="0" w:line="135" w:lineRule="exact"/>
        <w:rPr>
          <w:rFonts w:ascii="Arial" w:cs="Arial" w:eastAsia="Arial" w:hAnsi="Arial"/>
          <w:sz w:val="19"/>
          <w:szCs w:val="19"/>
          <w:color w:val="auto"/>
        </w:rPr>
      </w:pPr>
    </w:p>
    <w:p>
      <w:pPr>
        <w:ind w:firstLine="614"/>
        <w:spacing w:after="0" w:line="231" w:lineRule="auto"/>
        <w:tabs>
          <w:tab w:leader="none" w:pos="123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for a prepayment, refinancing, substitution or replacement made on or after the date which is the fourth anniversary of the Effective Date and prior to the Maturity Date, zero percent (0.00%) of the principal amount of such Term Loan so prepaid.</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Property</w:t>
      </w:r>
      <w:r>
        <w:rPr>
          <w:rFonts w:ascii="Arial" w:cs="Arial" w:eastAsia="Arial" w:hAnsi="Arial"/>
          <w:sz w:val="19"/>
          <w:szCs w:val="19"/>
          <w:color w:val="auto"/>
        </w:rPr>
        <w:t>” means any interest in any kind of property or asset, whether real, personal or mixed, and whether tangible or intangible.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1351" w:right="339" w:bottom="1440" w:gutter="0" w:footer="0" w:header="0"/>
        </w:sectPr>
      </w:pPr>
    </w:p>
    <w:bookmarkStart w:id="212" w:name="page213"/>
    <w:bookmarkEnd w:id="212"/>
    <w:p>
      <w:pPr>
        <w:jc w:val="both"/>
        <w:ind w:firstLine="611"/>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 Rata Share</w:t>
      </w:r>
      <w:r>
        <w:rPr>
          <w:rFonts w:ascii="Arial" w:cs="Arial" w:eastAsia="Arial" w:hAnsi="Arial"/>
          <w:sz w:val="19"/>
          <w:szCs w:val="19"/>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30" w:lineRule="exact"/>
        <w:rPr>
          <w:sz w:val="20"/>
          <w:szCs w:val="20"/>
          <w:color w:val="auto"/>
        </w:rPr>
      </w:pPr>
    </w:p>
    <w:p>
      <w:pPr>
        <w:jc w:val="both"/>
        <w:ind w:firstLine="611"/>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Conditions</w:t>
      </w:r>
      <w:r>
        <w:rPr>
          <w:rFonts w:ascii="Arial" w:cs="Arial" w:eastAsia="Arial" w:hAnsi="Arial"/>
          <w:sz w:val="18"/>
          <w:szCs w:val="18"/>
          <w:color w:val="auto"/>
        </w:rPr>
        <w:t>” means, with respect to any redemption by the Borrower of any Permitted Convertible Indebtedness, satisfaction of each of the following events: (a) no Event of Default has occurred and is continuing or result therefrom, (b) both immediately before and after such redemption, the aggregate amount of all cash and Cash Equivalents held in Collateral Accounts subject to a Control Agreement in favor of Collateral Agent shall be no less than an amount equal to the product of (i) one hundred fifty percent (150%) and (ii) the amount required to prepay the outstanding Obligations in full at the time of such redemption, including, for the avoidance of doubt, all outstanding principal of the Term Loans, the accrued and unpaid interest thereon, the Prepayment Premium, all fees under the Fee Letter, and (c) a Responsible Officer has provided a certificate to the Collateral Agent not less than five (5) Business Days prior to such redemption certifying that each of the foregoing events is satisfied, together with reasonably detailed calculations in support thereof.</w:t>
      </w:r>
    </w:p>
    <w:p>
      <w:pPr>
        <w:spacing w:after="0" w:line="117"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Registered Organization</w:t>
      </w:r>
      <w:r>
        <w:rPr>
          <w:rFonts w:ascii="Arial" w:cs="Arial" w:eastAsia="Arial" w:hAnsi="Arial"/>
          <w:sz w:val="19"/>
          <w:szCs w:val="19"/>
          <w:color w:val="auto"/>
        </w:rPr>
        <w:t>” is any “registered organization” as defined in the Code with such additions to such term as may hereafter be made under the Code.</w:t>
      </w:r>
    </w:p>
    <w:p>
      <w:pPr>
        <w:spacing w:after="0" w:line="130" w:lineRule="exact"/>
        <w:rPr>
          <w:sz w:val="20"/>
          <w:szCs w:val="20"/>
          <w:color w:val="auto"/>
        </w:rPr>
      </w:pPr>
    </w:p>
    <w:p>
      <w:pPr>
        <w:jc w:val="both"/>
        <w:ind w:firstLine="611"/>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Registration</w:t>
      </w:r>
      <w:r>
        <w:rPr>
          <w:rFonts w:ascii="Arial" w:cs="Arial" w:eastAsia="Arial" w:hAnsi="Arial"/>
          <w:sz w:val="19"/>
          <w:szCs w:val="19"/>
          <w:color w:val="auto"/>
        </w:rPr>
        <w:t>” means any registration, authorization, approval, license, permit, clearance, certificate, and exemption issued or allowed by the FDA or state pharmacy licensing authorities (including, without limitation, new drug applications, abbreviated new drug applications, investigational new drug applications, pricing and reimbursement approvals, labelling approvals or their foreign equivalent, and wholesale distributor permits).</w:t>
      </w:r>
    </w:p>
    <w:p>
      <w:pPr>
        <w:spacing w:after="0" w:line="131" w:lineRule="exact"/>
        <w:rPr>
          <w:sz w:val="20"/>
          <w:szCs w:val="20"/>
          <w:color w:val="auto"/>
        </w:rPr>
      </w:pPr>
    </w:p>
    <w:p>
      <w:pPr>
        <w:jc w:val="both"/>
        <w:ind w:firstLine="611"/>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Action</w:t>
      </w:r>
      <w:r>
        <w:rPr>
          <w:rFonts w:ascii="Arial" w:cs="Arial" w:eastAsia="Arial" w:hAnsi="Arial"/>
          <w:sz w:val="18"/>
          <w:szCs w:val="18"/>
          <w:color w:val="auto"/>
        </w:rPr>
        <w:t>” means an administrative, regulatory, or judicial enforcement action, proceeding, for-cause investigation or inspection, FDA Form 483 notice of inspectional observation, warning letter, untitled letter, other notice of violation letter, recall, seizure, Section 305 notice or other similar written communication, injunction or consent decree, issued by the FDA or a federal or state court.</w:t>
      </w:r>
    </w:p>
    <w:p>
      <w:pPr>
        <w:spacing w:after="0" w:line="116" w:lineRule="exact"/>
        <w:rPr>
          <w:sz w:val="20"/>
          <w:szCs w:val="20"/>
          <w:color w:val="auto"/>
        </w:rPr>
      </w:pPr>
    </w:p>
    <w:p>
      <w:pPr>
        <w:jc w:val="both"/>
        <w:ind w:firstLine="611"/>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Related Persons</w:t>
      </w:r>
      <w:r>
        <w:rPr>
          <w:rFonts w:ascii="Arial" w:cs="Arial" w:eastAsia="Arial" w:hAnsi="Arial"/>
          <w:sz w:val="19"/>
          <w:szCs w:val="19"/>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130"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Governmental Body</w:t>
      </w:r>
      <w:r>
        <w:rPr>
          <w:rFonts w:ascii="Arial" w:cs="Arial" w:eastAsia="Arial" w:hAnsi="Arial"/>
          <w:sz w:val="18"/>
          <w:szCs w:val="18"/>
          <w:color w:val="auto"/>
        </w:rPr>
        <w:t>” means the Federal Reserve Board, the Federal Reserve Bank of New York, and/or a committee officially endorsed or convened by the Federal Reserve Board and/or the Federal Reserve Bank of New York, or any successor thereto.</w:t>
      </w:r>
    </w:p>
    <w:p>
      <w:pPr>
        <w:spacing w:after="0" w:line="116" w:lineRule="exact"/>
        <w:rPr>
          <w:sz w:val="20"/>
          <w:szCs w:val="20"/>
          <w:color w:val="auto"/>
        </w:rPr>
      </w:pPr>
    </w:p>
    <w:p>
      <w:pPr>
        <w:jc w:val="both"/>
        <w:ind w:firstLine="611"/>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Lenders</w:t>
      </w:r>
      <w:r>
        <w:rPr>
          <w:rFonts w:ascii="Arial" w:cs="Arial" w:eastAsia="Arial" w:hAnsi="Arial"/>
          <w:sz w:val="17"/>
          <w:szCs w:val="17"/>
          <w:color w:val="auto"/>
        </w:rPr>
        <w:t>” means (i) for so long as all of the Persons that are Lenders on the Effective Date (each an “</w:t>
      </w:r>
      <w:r>
        <w:rPr>
          <w:rFonts w:ascii="Arial" w:cs="Arial" w:eastAsia="Arial" w:hAnsi="Arial"/>
          <w:sz w:val="17"/>
          <w:szCs w:val="17"/>
          <w:b w:val="1"/>
          <w:bCs w:val="1"/>
          <w:color w:val="auto"/>
        </w:rPr>
        <w:t>Original Lender</w:t>
      </w:r>
      <w:r>
        <w:rPr>
          <w:rFonts w:ascii="Arial" w:cs="Arial" w:eastAsia="Arial" w:hAnsi="Arial"/>
          <w:sz w:val="17"/>
          <w:szCs w:val="17"/>
          <w:color w:val="auto"/>
        </w:rPr>
        <w:t>”) have not assigned or transferred any of their interests in their Term Loan other than to an Affiliate of such Lender, Lenders holding one hundred percent (100%) of the aggregate outstanding principal balance of the Term Loan, or (ii) at any time from and after any Original Lender has assigned or transferred any interest in its Term Loan, Lenders holding more than fifty percent (50%)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16" w:lineRule="exact"/>
        <w:rPr>
          <w:sz w:val="20"/>
          <w:szCs w:val="20"/>
          <w:color w:val="auto"/>
        </w:rPr>
      </w:pPr>
    </w:p>
    <w:p>
      <w:pPr>
        <w:jc w:val="both"/>
        <w:ind w:firstLine="611"/>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Requirement of Law</w:t>
      </w:r>
      <w:r>
        <w:rPr>
          <w:rFonts w:ascii="Arial" w:cs="Arial" w:eastAsia="Arial" w:hAnsi="Arial"/>
          <w:sz w:val="19"/>
          <w:szCs w:val="19"/>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344" w:right="339" w:bottom="1440" w:gutter="0" w:footer="0" w:header="0"/>
        </w:sectPr>
      </w:pPr>
    </w:p>
    <w:bookmarkStart w:id="213" w:name="page214"/>
    <w:bookmarkEnd w:id="213"/>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Responsible Officer</w:t>
      </w:r>
      <w:r>
        <w:rPr>
          <w:rFonts w:ascii="Arial" w:cs="Arial" w:eastAsia="Arial" w:hAnsi="Arial"/>
          <w:sz w:val="19"/>
          <w:szCs w:val="19"/>
          <w:color w:val="auto"/>
        </w:rPr>
        <w:t>” is any of the President, Chief Executive Officer, or Chief Financial Officer of Borrower.</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Secured Parties</w:t>
      </w:r>
      <w:r>
        <w:rPr>
          <w:rFonts w:ascii="Arial" w:cs="Arial" w:eastAsia="Arial" w:hAnsi="Arial"/>
          <w:sz w:val="19"/>
          <w:szCs w:val="19"/>
          <w:color w:val="auto"/>
        </w:rPr>
        <w:t>” means the Collateral Agent and the Lenders.</w:t>
      </w:r>
    </w:p>
    <w:p>
      <w:pPr>
        <w:spacing w:after="0" w:line="143"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Securities Account</w:t>
      </w:r>
      <w:r>
        <w:rPr>
          <w:rFonts w:ascii="Arial" w:cs="Arial" w:eastAsia="Arial" w:hAnsi="Arial"/>
          <w:sz w:val="19"/>
          <w:szCs w:val="19"/>
          <w:color w:val="auto"/>
        </w:rPr>
        <w:t>” is any “securities account” as defined in the Code with such additions to such term as may hereafter be made under the Code.</w:t>
      </w:r>
    </w:p>
    <w:p>
      <w:pPr>
        <w:spacing w:after="0" w:line="130"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SOFR</w:t>
      </w:r>
      <w:r>
        <w:rPr>
          <w:rFonts w:ascii="Arial" w:cs="Arial" w:eastAsia="Arial" w:hAnsi="Arial"/>
          <w:sz w:val="19"/>
          <w:szCs w:val="19"/>
          <w:color w:val="auto"/>
        </w:rPr>
        <w:t>” means the daily Secured Overnight Financing Rate provided by the Federal Reserve Bank of New York as the administrator of the benchmark (or a successor administrator) on the Federal Reserve Bank of New York’s Website.</w:t>
      </w:r>
    </w:p>
    <w:p>
      <w:pPr>
        <w:spacing w:after="0" w:line="130" w:lineRule="exact"/>
        <w:rPr>
          <w:sz w:val="20"/>
          <w:szCs w:val="20"/>
          <w:color w:val="auto"/>
        </w:rPr>
      </w:pPr>
    </w:p>
    <w:p>
      <w:pPr>
        <w:jc w:val="both"/>
        <w:ind w:firstLine="611"/>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means, with respect to any Person, that (a) the fair saleable value of such Person’s consolidated assets (including goodwill minus disposition costs) exceeds the fair value of such Person’s liabilities, (b) such Person is not left with unreasonably small capital giving effect to the transactions contemplated by this Agreement and the other Loan Documents, and (c) such Person is able to pay its debts (including trade debts) as they mature in the ordinary course (without taking into account any forbearance and extensions related thereto).</w:t>
      </w:r>
    </w:p>
    <w:p>
      <w:pPr>
        <w:spacing w:after="0" w:line="118" w:lineRule="exact"/>
        <w:rPr>
          <w:sz w:val="20"/>
          <w:szCs w:val="20"/>
          <w:color w:val="auto"/>
        </w:rPr>
      </w:pPr>
    </w:p>
    <w:p>
      <w:pPr>
        <w:jc w:val="both"/>
        <w:ind w:firstLine="611"/>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unsecured indebtedness incurred by Borrower or any of its Subsidiaries subordinated to all Indebtedness of Borrower and/or its Subsidiaries to the Lenders which (i) is non-cash pay (other than any customary fees and expenses) during the term of this Agreement, (ii) has a maturity date outside the date that is one hundred eighty (180) days after the Maturity Date, (iii) is unsecured, and (iv) is subject to a subordination, intercreditor, or other similar agreement providing for deep subordination (including with respect to payment (other than customary fees and expenses), and enforcement) in form and substance reasonably satisfactory to Collateral Agent and the Required Lenders entered into between Collateral Agent, Borrower, and/or any of its Subsidiaries, and the other creditor.</w:t>
      </w:r>
    </w:p>
    <w:p>
      <w:pPr>
        <w:spacing w:after="0" w:line="130"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91"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78"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Loan Commitment</w:t>
      </w:r>
      <w:r>
        <w:rPr>
          <w:rFonts w:ascii="Arial" w:cs="Arial" w:eastAsia="Arial" w:hAnsi="Arial"/>
          <w:sz w:val="19"/>
          <w:szCs w:val="19"/>
          <w:color w:val="auto"/>
        </w:rPr>
        <w:t xml:space="preserve">” is, for any Lender, the obligation of such Lender to make a Term Loan, up to the principal amount shown on </w:t>
      </w:r>
      <w:r>
        <w:rPr>
          <w:rFonts w:ascii="Arial" w:cs="Arial" w:eastAsia="Arial" w:hAnsi="Arial"/>
          <w:sz w:val="19"/>
          <w:szCs w:val="19"/>
          <w:u w:val="single" w:color="auto"/>
          <w:color w:val="auto"/>
        </w:rPr>
        <w:t>Schedule 1.1</w:t>
      </w:r>
      <w:r>
        <w:rPr>
          <w:rFonts w:ascii="Arial" w:cs="Arial" w:eastAsia="Arial" w:hAnsi="Arial"/>
          <w:sz w:val="19"/>
          <w:szCs w:val="19"/>
          <w:b w:val="1"/>
          <w:bCs w:val="1"/>
          <w:color w:val="auto"/>
        </w:rPr>
        <w:t>.</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Loan Commitments</w:t>
      </w:r>
      <w:r>
        <w:rPr>
          <w:rFonts w:ascii="Arial" w:cs="Arial" w:eastAsia="Arial" w:hAnsi="Arial"/>
          <w:sz w:val="19"/>
          <w:szCs w:val="19"/>
          <w:color w:val="auto"/>
        </w:rPr>
        <w:t>” means the aggregate amount of such commitments of all Lenders.</w:t>
      </w:r>
    </w:p>
    <w:p>
      <w:pPr>
        <w:spacing w:after="0" w:line="156" w:lineRule="exact"/>
        <w:rPr>
          <w:sz w:val="20"/>
          <w:szCs w:val="20"/>
          <w:color w:val="auto"/>
        </w:rPr>
      </w:pPr>
    </w:p>
    <w:p>
      <w:pPr>
        <w:jc w:val="both"/>
        <w:ind w:firstLine="611"/>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Trademarks</w:t>
      </w:r>
      <w:r>
        <w:rPr>
          <w:rFonts w:ascii="Arial" w:cs="Arial" w:eastAsia="Arial" w:hAnsi="Arial"/>
          <w:sz w:val="19"/>
          <w:szCs w:val="19"/>
          <w:color w:val="auto"/>
        </w:rPr>
        <w:t>” means any trademark and servicemark rights, whether registered or not, applications to register and registrations of the same and like protections, and the entire goodwill of the business of Borrower and each of its Subsidiaries connected with and symbolized by such trademarks.</w:t>
      </w:r>
    </w:p>
    <w:p>
      <w:pPr>
        <w:spacing w:after="0" w:line="117" w:lineRule="exact"/>
        <w:rPr>
          <w:sz w:val="20"/>
          <w:szCs w:val="20"/>
          <w:color w:val="auto"/>
        </w:rPr>
      </w:pPr>
    </w:p>
    <w:p>
      <w:pPr>
        <w:jc w:val="both"/>
        <w:ind w:firstLine="611"/>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B Term Loan Condition</w:t>
      </w:r>
      <w:r>
        <w:rPr>
          <w:rFonts w:ascii="Arial" w:cs="Arial" w:eastAsia="Arial" w:hAnsi="Arial"/>
          <w:sz w:val="19"/>
          <w:szCs w:val="19"/>
          <w:color w:val="auto"/>
        </w:rPr>
        <w:t>” is Collateral Agent’s receipt of, by no later than December 15, 2022, satisfactory evidence that Borrower has received FDA approval of ARQ-151 (Topical Roflumilast Cream) for an indication relating to the treatment of patients with plaque psoriasis (such FDA approval, the “ARQ-151 FDA Approval”).</w:t>
      </w:r>
    </w:p>
    <w:p>
      <w:pPr>
        <w:spacing w:after="0" w:line="130" w:lineRule="exact"/>
        <w:rPr>
          <w:sz w:val="20"/>
          <w:szCs w:val="20"/>
          <w:color w:val="auto"/>
        </w:rPr>
      </w:pPr>
    </w:p>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B-1 Term Loan Draw Period</w:t>
      </w:r>
      <w:r>
        <w:rPr>
          <w:rFonts w:ascii="Arial" w:cs="Arial" w:eastAsia="Arial" w:hAnsi="Arial"/>
          <w:sz w:val="19"/>
          <w:szCs w:val="19"/>
          <w:color w:val="auto"/>
        </w:rPr>
        <w:t>” is the period commencing on the Effective Date and ending on the earlier of (i) the date which is fifteen (15) days after Borrower has received the ARQ-151 FDA Approval and (ii) June 30, 2023.</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B-2 Term Loan Draw Period</w:t>
      </w:r>
      <w:r>
        <w:rPr>
          <w:rFonts w:ascii="Arial" w:cs="Arial" w:eastAsia="Arial" w:hAnsi="Arial"/>
          <w:sz w:val="19"/>
          <w:szCs w:val="19"/>
          <w:color w:val="auto"/>
        </w:rPr>
        <w:t>” is the period commencing on the Effective Date and ending on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344" w:right="339" w:bottom="1440" w:gutter="0" w:footer="0" w:header="0"/>
        </w:sectPr>
      </w:pPr>
    </w:p>
    <w:bookmarkStart w:id="214" w:name="page215"/>
    <w:bookmarkEnd w:id="214"/>
    <w:p>
      <w:pPr>
        <w:jc w:val="both"/>
        <w:ind w:firstLine="611"/>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C Term Loan Condition</w:t>
      </w:r>
      <w:r>
        <w:rPr>
          <w:rFonts w:ascii="Arial" w:cs="Arial" w:eastAsia="Arial" w:hAnsi="Arial"/>
          <w:sz w:val="19"/>
          <w:szCs w:val="19"/>
          <w:color w:val="auto"/>
        </w:rPr>
        <w:t>” is Collateral Agent’s receipt of satisfactory evidence that Borrower has achieved a minimum of One Hundred Ten Million Dollars ($110,000,000.00) in Net Product Revenue calculated on a trailing six (6) month basis.</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C Term Loan Draw Period</w:t>
      </w:r>
      <w:r>
        <w:rPr>
          <w:rFonts w:ascii="Arial" w:cs="Arial" w:eastAsia="Arial" w:hAnsi="Arial"/>
          <w:sz w:val="19"/>
          <w:szCs w:val="19"/>
          <w:color w:val="auto"/>
        </w:rPr>
        <w:t>” is the period commencing on the Effective Date and ending on September 30, 2024.</w:t>
      </w:r>
    </w:p>
    <w:p>
      <w:pPr>
        <w:spacing w:after="0" w:line="143" w:lineRule="exact"/>
        <w:rPr>
          <w:sz w:val="20"/>
          <w:szCs w:val="20"/>
          <w:color w:val="auto"/>
        </w:rPr>
      </w:pPr>
    </w:p>
    <w:p>
      <w:pPr>
        <w:jc w:val="both"/>
        <w:ind w:firstLine="611"/>
        <w:spacing w:after="0" w:line="21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Unqualified Opinion</w:t>
      </w:r>
      <w:r>
        <w:rPr>
          <w:rFonts w:ascii="Arial" w:cs="Arial" w:eastAsia="Arial" w:hAnsi="Arial"/>
          <w:sz w:val="19"/>
          <w:szCs w:val="19"/>
          <w:color w:val="auto"/>
        </w:rPr>
        <w:t xml:space="preserve">” means an opinion on financial statements from an independent certified public accounting firm reasonably acceptable to Collateral Agent which opinion shall not include any qualification expressing substantial doubt about the ability of Borrower or any of its Subsidiaries to continue as a going concern or any qualification or exception as to the scope of such audit;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opinion shall continue to be an Unqualified Opinion if the opinion includes going concern explanatory language solely in connection with the Borrower’s cash levels or liquidity, the pending maturity of the Borrower’s indebtedness within the next twelve (12) months, and/or the financial covenants hereunder.</w:t>
      </w:r>
    </w:p>
    <w:p>
      <w:pPr>
        <w:spacing w:after="0" w:line="132" w:lineRule="exact"/>
        <w:rPr>
          <w:sz w:val="20"/>
          <w:szCs w:val="20"/>
          <w:color w:val="auto"/>
        </w:rPr>
      </w:pPr>
    </w:p>
    <w:p>
      <w:pPr>
        <w:ind w:left="620" w:hanging="617"/>
        <w:spacing w:after="0"/>
        <w:tabs>
          <w:tab w:leader="none" w:pos="620" w:val="left"/>
        </w:tabs>
        <w:numPr>
          <w:ilvl w:val="0"/>
          <w:numId w:val="162"/>
        </w:numPr>
        <w:rPr>
          <w:rFonts w:ascii="Arial" w:cs="Arial" w:eastAsia="Arial" w:hAnsi="Arial"/>
          <w:sz w:val="19"/>
          <w:szCs w:val="19"/>
          <w:b w:val="1"/>
          <w:bCs w:val="1"/>
          <w:color w:val="auto"/>
        </w:rPr>
      </w:pPr>
      <w:r>
        <w:rPr>
          <w:rFonts w:ascii="Arial" w:cs="Arial" w:eastAsia="Arial" w:hAnsi="Arial"/>
          <w:sz w:val="19"/>
          <w:szCs w:val="19"/>
          <w:b w:val="1"/>
          <w:bCs w:val="1"/>
          <w:color w:val="auto"/>
        </w:rPr>
        <w:t>LOANS AND TERMS OF PAYMENT</w:t>
      </w:r>
    </w:p>
    <w:p>
      <w:pPr>
        <w:spacing w:after="0" w:line="156" w:lineRule="exact"/>
        <w:rPr>
          <w:sz w:val="20"/>
          <w:szCs w:val="20"/>
          <w:color w:val="auto"/>
        </w:rPr>
      </w:pPr>
    </w:p>
    <w:p>
      <w:pPr>
        <w:jc w:val="both"/>
        <w:ind w:firstLine="595"/>
        <w:spacing w:after="0" w:line="222" w:lineRule="auto"/>
        <w:rPr>
          <w:sz w:val="20"/>
          <w:szCs w:val="20"/>
          <w:color w:val="auto"/>
        </w:rPr>
      </w:pPr>
      <w:r>
        <w:rPr>
          <w:rFonts w:ascii="Arial" w:cs="Arial" w:eastAsia="Arial" w:hAnsi="Arial"/>
          <w:sz w:val="19"/>
          <w:szCs w:val="19"/>
          <w:b w:val="1"/>
          <w:bCs w:val="1"/>
          <w:color w:val="auto"/>
        </w:rPr>
        <w:t xml:space="preserve">2.1 Promise to Pay. </w:t>
      </w:r>
      <w:r>
        <w:rPr>
          <w:rFonts w:ascii="Arial" w:cs="Arial" w:eastAsia="Arial" w:hAnsi="Arial"/>
          <w:sz w:val="19"/>
          <w:szCs w:val="19"/>
          <w:color w:val="auto"/>
        </w:rPr>
        <w:t>Borrower hereby unconditionally promises to pay each Lender, the outstanding principal amount of all Term</w:t>
      </w:r>
      <w:r>
        <w:rPr>
          <w:rFonts w:ascii="Arial" w:cs="Arial" w:eastAsia="Arial" w:hAnsi="Arial"/>
          <w:sz w:val="19"/>
          <w:szCs w:val="19"/>
          <w:b w:val="1"/>
          <w:bCs w:val="1"/>
          <w:color w:val="auto"/>
        </w:rPr>
        <w:t xml:space="preserve"> </w:t>
      </w:r>
      <w:r>
        <w:rPr>
          <w:rFonts w:ascii="Arial" w:cs="Arial" w:eastAsia="Arial" w:hAnsi="Arial"/>
          <w:sz w:val="19"/>
          <w:szCs w:val="19"/>
          <w:color w:val="auto"/>
        </w:rPr>
        <w:t>Loans advanced to Borrower by such Lender and accrued and unpaid interest thereon and any other amounts due hereunder as and when due in accordance with this Agreement.</w:t>
      </w:r>
    </w:p>
    <w:p>
      <w:pPr>
        <w:spacing w:after="0" w:line="117" w:lineRule="exact"/>
        <w:rPr>
          <w:sz w:val="20"/>
          <w:szCs w:val="20"/>
          <w:color w:val="auto"/>
        </w:rPr>
      </w:pPr>
    </w:p>
    <w:p>
      <w:pPr>
        <w:ind w:left="600"/>
        <w:spacing w:after="0"/>
        <w:tabs>
          <w:tab w:leader="none" w:pos="122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7"/>
          <w:szCs w:val="17"/>
          <w:b w:val="1"/>
          <w:bCs w:val="1"/>
          <w:color w:val="auto"/>
        </w:rPr>
        <w:t>Term Loans</w:t>
      </w:r>
      <w:r>
        <w:rPr>
          <w:rFonts w:ascii="Arial" w:cs="Arial" w:eastAsia="Arial" w:hAnsi="Arial"/>
          <w:sz w:val="17"/>
          <w:szCs w:val="17"/>
          <w:color w:val="auto"/>
        </w:rPr>
        <w:t>.</w:t>
      </w:r>
    </w:p>
    <w:p>
      <w:pPr>
        <w:spacing w:after="0" w:line="162" w:lineRule="exact"/>
        <w:rPr>
          <w:sz w:val="20"/>
          <w:szCs w:val="20"/>
          <w:color w:val="auto"/>
        </w:rPr>
      </w:pPr>
    </w:p>
    <w:p>
      <w:pPr>
        <w:ind w:left="1860" w:hanging="641"/>
        <w:spacing w:after="0"/>
        <w:tabs>
          <w:tab w:leader="none" w:pos="1860"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Availability</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firstLine="1864"/>
        <w:spacing w:after="0" w:line="227" w:lineRule="auto"/>
        <w:tabs>
          <w:tab w:leader="none" w:pos="247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Lenders agree, severally and not jointly, to make term loans to Borrower on the Effective Date in an aggregate principal amount of Seventy-Five Million Dollars ($75,000,000.00) according to each Lender’s Tranche A Term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Tranche A</w:t>
      </w:r>
      <w:r>
        <w:rPr>
          <w:rFonts w:ascii="Arial" w:cs="Arial" w:eastAsia="Arial" w:hAnsi="Arial"/>
          <w:sz w:val="18"/>
          <w:szCs w:val="18"/>
          <w:color w:val="auto"/>
        </w:rPr>
        <w:t xml:space="preserve"> </w:t>
      </w:r>
      <w:r>
        <w:rPr>
          <w:rFonts w:ascii="Arial" w:cs="Arial" w:eastAsia="Arial" w:hAnsi="Arial"/>
          <w:sz w:val="18"/>
          <w:szCs w:val="18"/>
          <w:b w:val="1"/>
          <w:bCs w:val="1"/>
          <w:color w:val="auto"/>
        </w:rPr>
        <w:t>Term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Tranche A Term Loans</w:t>
      </w:r>
      <w:r>
        <w:rPr>
          <w:rFonts w:ascii="Arial" w:cs="Arial" w:eastAsia="Arial" w:hAnsi="Arial"/>
          <w:sz w:val="18"/>
          <w:szCs w:val="18"/>
          <w:color w:val="auto"/>
        </w:rPr>
        <w:t>”). After repayment, no Tranche A Term Loan may be re-borrowed.</w:t>
      </w:r>
    </w:p>
    <w:p>
      <w:pPr>
        <w:spacing w:after="0" w:line="121" w:lineRule="exact"/>
        <w:rPr>
          <w:rFonts w:ascii="Arial" w:cs="Arial" w:eastAsia="Arial" w:hAnsi="Arial"/>
          <w:sz w:val="18"/>
          <w:szCs w:val="18"/>
          <w:color w:val="auto"/>
        </w:rPr>
      </w:pPr>
    </w:p>
    <w:p>
      <w:pPr>
        <w:jc w:val="both"/>
        <w:ind w:firstLine="1864"/>
        <w:spacing w:after="0" w:line="211" w:lineRule="auto"/>
        <w:tabs>
          <w:tab w:leader="none" w:pos="2479" w:val="left"/>
        </w:tabs>
        <w:numPr>
          <w:ilvl w:val="1"/>
          <w:numId w:val="163"/>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the Lenders agree, severally and not jointly, during the Tranche B-1 Term Loan Draw Period, to make term loans to Borrower in an aggregate principal amount of Fifty Million Dollars ($50,000,000.00), and disbursed in a single advance according to each Lender’s Tranche B Term Loan Commitment as set forth on </w:t>
      </w:r>
      <w:r>
        <w:rPr>
          <w:rFonts w:ascii="Arial" w:cs="Arial" w:eastAsia="Arial" w:hAnsi="Arial"/>
          <w:sz w:val="19"/>
          <w:szCs w:val="19"/>
          <w:u w:val="single" w:color="auto"/>
          <w:color w:val="auto"/>
        </w:rPr>
        <w:t>Schedule 1.1</w:t>
      </w:r>
      <w:r>
        <w:rPr>
          <w:rFonts w:ascii="Arial" w:cs="Arial" w:eastAsia="Arial" w:hAnsi="Arial"/>
          <w:sz w:val="19"/>
          <w:szCs w:val="19"/>
          <w:color w:val="auto"/>
        </w:rPr>
        <w:t xml:space="preserve"> hereto (such term loans are hereinafter referred to singly as a “</w:t>
      </w:r>
      <w:r>
        <w:rPr>
          <w:rFonts w:ascii="Arial" w:cs="Arial" w:eastAsia="Arial" w:hAnsi="Arial"/>
          <w:sz w:val="19"/>
          <w:szCs w:val="19"/>
          <w:b w:val="1"/>
          <w:bCs w:val="1"/>
          <w:color w:val="auto"/>
        </w:rPr>
        <w:t>Tranche B-1 Term Loan</w:t>
      </w:r>
      <w:r>
        <w:rPr>
          <w:rFonts w:ascii="Arial" w:cs="Arial" w:eastAsia="Arial" w:hAnsi="Arial"/>
          <w:sz w:val="19"/>
          <w:szCs w:val="19"/>
          <w:color w:val="auto"/>
        </w:rPr>
        <w:t>”, and collectively as the “</w:t>
      </w:r>
      <w:r>
        <w:rPr>
          <w:rFonts w:ascii="Arial" w:cs="Arial" w:eastAsia="Arial" w:hAnsi="Arial"/>
          <w:sz w:val="19"/>
          <w:szCs w:val="19"/>
          <w:b w:val="1"/>
          <w:bCs w:val="1"/>
          <w:color w:val="auto"/>
        </w:rPr>
        <w:t>Tranche B-1 Term Loans</w:t>
      </w:r>
      <w:r>
        <w:rPr>
          <w:rFonts w:ascii="Arial" w:cs="Arial" w:eastAsia="Arial" w:hAnsi="Arial"/>
          <w:sz w:val="19"/>
          <w:szCs w:val="19"/>
          <w:color w:val="auto"/>
        </w:rPr>
        <w:t>”). After repayment, no Tranche B-1 Term Loan may be re-borrowed.</w:t>
      </w:r>
    </w:p>
    <w:p>
      <w:pPr>
        <w:spacing w:after="0" w:line="137" w:lineRule="exact"/>
        <w:rPr>
          <w:rFonts w:ascii="Arial" w:cs="Arial" w:eastAsia="Arial" w:hAnsi="Arial"/>
          <w:sz w:val="19"/>
          <w:szCs w:val="19"/>
          <w:color w:val="auto"/>
        </w:rPr>
      </w:pPr>
    </w:p>
    <w:p>
      <w:pPr>
        <w:jc w:val="both"/>
        <w:ind w:firstLine="1864"/>
        <w:spacing w:after="0" w:line="219" w:lineRule="auto"/>
        <w:tabs>
          <w:tab w:leader="none" w:pos="24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Lenders agree, severally and not jointly, during the Tranche B-2 Term Loan Draw Period, to make term loans to Borrower in an aggregate principal amount of up to Seventy-Five Million Dollars ($75,000,000.00), in minimum increments of Fifteen Million Dollars ($15,000,000.00), according to each Lender’s Tranche B Term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Tranche B-2 Term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Tranche B-2 Term Loans</w:t>
      </w:r>
      <w:r>
        <w:rPr>
          <w:rFonts w:ascii="Arial" w:cs="Arial" w:eastAsia="Arial" w:hAnsi="Arial"/>
          <w:sz w:val="18"/>
          <w:szCs w:val="18"/>
          <w:color w:val="auto"/>
        </w:rPr>
        <w:t>”; each Tranche B-1 Term Loan or Tranche B-2 Term Loan is hereinafter referred to singly as a “</w:t>
      </w:r>
      <w:r>
        <w:rPr>
          <w:rFonts w:ascii="Arial" w:cs="Arial" w:eastAsia="Arial" w:hAnsi="Arial"/>
          <w:sz w:val="18"/>
          <w:szCs w:val="18"/>
          <w:b w:val="1"/>
          <w:bCs w:val="1"/>
          <w:color w:val="auto"/>
        </w:rPr>
        <w:t>Tranche B Term Loan</w:t>
      </w:r>
      <w:r>
        <w:rPr>
          <w:rFonts w:ascii="Arial" w:cs="Arial" w:eastAsia="Arial" w:hAnsi="Arial"/>
          <w:sz w:val="18"/>
          <w:szCs w:val="18"/>
          <w:color w:val="auto"/>
        </w:rPr>
        <w:t>” and the Tranche B-1 Term Loans and the Tranche B-2 Term Loans are hereinafter referred to collectively as the “</w:t>
      </w:r>
      <w:r>
        <w:rPr>
          <w:rFonts w:ascii="Arial" w:cs="Arial" w:eastAsia="Arial" w:hAnsi="Arial"/>
          <w:sz w:val="18"/>
          <w:szCs w:val="18"/>
          <w:b w:val="1"/>
          <w:bCs w:val="1"/>
          <w:color w:val="auto"/>
        </w:rPr>
        <w:t>Tranche B Term Loans</w:t>
      </w:r>
      <w:r>
        <w:rPr>
          <w:rFonts w:ascii="Arial" w:cs="Arial" w:eastAsia="Arial" w:hAnsi="Arial"/>
          <w:sz w:val="18"/>
          <w:szCs w:val="18"/>
          <w:color w:val="auto"/>
        </w:rPr>
        <w:t>”). After repayment, no Tranche B-2 Term Loan may be re-borrowed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1344" w:right="339" w:bottom="1440" w:gutter="0" w:footer="0" w:header="0"/>
        </w:sectPr>
      </w:pPr>
    </w:p>
    <w:bookmarkStart w:id="215" w:name="page216"/>
    <w:bookmarkEnd w:id="215"/>
    <w:p>
      <w:pPr>
        <w:jc w:val="both"/>
        <w:ind w:firstLine="1864"/>
        <w:spacing w:after="0" w:line="208" w:lineRule="auto"/>
        <w:tabs>
          <w:tab w:leader="none" w:pos="2470" w:val="left"/>
        </w:tabs>
        <w:numPr>
          <w:ilvl w:val="1"/>
          <w:numId w:val="164"/>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the Lenders agree, severally and not jointly, during the Tranche C Term Loan Draw Period, to make term loans to Borrower in an aggregate principal amount of up to Twenty-Five Million Dollars ($25,000,000.00), and disbursed in a single advance according to each Lender’s Tranche C Term Loan Commitment as set forth on </w:t>
      </w:r>
      <w:r>
        <w:rPr>
          <w:rFonts w:ascii="Arial" w:cs="Arial" w:eastAsia="Arial" w:hAnsi="Arial"/>
          <w:sz w:val="19"/>
          <w:szCs w:val="19"/>
          <w:u w:val="single" w:color="auto"/>
          <w:color w:val="auto"/>
        </w:rPr>
        <w:t>Schedule 1.1</w:t>
      </w:r>
      <w:r>
        <w:rPr>
          <w:rFonts w:ascii="Arial" w:cs="Arial" w:eastAsia="Arial" w:hAnsi="Arial"/>
          <w:sz w:val="19"/>
          <w:szCs w:val="19"/>
          <w:color w:val="auto"/>
        </w:rPr>
        <w:t xml:space="preserve"> hereto (such term loans are hereinafter referred to singly as a “</w:t>
      </w:r>
      <w:r>
        <w:rPr>
          <w:rFonts w:ascii="Arial" w:cs="Arial" w:eastAsia="Arial" w:hAnsi="Arial"/>
          <w:sz w:val="19"/>
          <w:szCs w:val="19"/>
          <w:b w:val="1"/>
          <w:bCs w:val="1"/>
          <w:color w:val="auto"/>
        </w:rPr>
        <w:t>Tranche C Term Loan</w:t>
      </w:r>
      <w:r>
        <w:rPr>
          <w:rFonts w:ascii="Arial" w:cs="Arial" w:eastAsia="Arial" w:hAnsi="Arial"/>
          <w:sz w:val="19"/>
          <w:szCs w:val="19"/>
          <w:color w:val="auto"/>
        </w:rPr>
        <w:t>”, and collectively as the “</w:t>
      </w:r>
      <w:r>
        <w:rPr>
          <w:rFonts w:ascii="Arial" w:cs="Arial" w:eastAsia="Arial" w:hAnsi="Arial"/>
          <w:sz w:val="19"/>
          <w:szCs w:val="19"/>
          <w:b w:val="1"/>
          <w:bCs w:val="1"/>
          <w:color w:val="auto"/>
        </w:rPr>
        <w:t>Tranche C Term Loans</w:t>
      </w:r>
      <w:r>
        <w:rPr>
          <w:rFonts w:ascii="Arial" w:cs="Arial" w:eastAsia="Arial" w:hAnsi="Arial"/>
          <w:sz w:val="19"/>
          <w:szCs w:val="19"/>
          <w:color w:val="auto"/>
        </w:rPr>
        <w:t>”; each Tranche A Term Loan, Tranche B Term Loan or Tranche C Term Loan is hereinafter referred to singly as a “</w:t>
      </w:r>
      <w:r>
        <w:rPr>
          <w:rFonts w:ascii="Arial" w:cs="Arial" w:eastAsia="Arial" w:hAnsi="Arial"/>
          <w:sz w:val="19"/>
          <w:szCs w:val="19"/>
          <w:b w:val="1"/>
          <w:bCs w:val="1"/>
          <w:color w:val="auto"/>
        </w:rPr>
        <w:t>Term Loan</w:t>
      </w:r>
      <w:r>
        <w:rPr>
          <w:rFonts w:ascii="Arial" w:cs="Arial" w:eastAsia="Arial" w:hAnsi="Arial"/>
          <w:sz w:val="19"/>
          <w:szCs w:val="19"/>
          <w:color w:val="auto"/>
        </w:rPr>
        <w:t>” and the Tranche A Term Loans, Tranche B Term Loans and Tranche C Term Loans are hereinafter referred to collectively as the “</w:t>
      </w:r>
      <w:r>
        <w:rPr>
          <w:rFonts w:ascii="Arial" w:cs="Arial" w:eastAsia="Arial" w:hAnsi="Arial"/>
          <w:sz w:val="19"/>
          <w:szCs w:val="19"/>
          <w:b w:val="1"/>
          <w:bCs w:val="1"/>
          <w:color w:val="auto"/>
        </w:rPr>
        <w:t>Term Loans</w:t>
      </w:r>
      <w:r>
        <w:rPr>
          <w:rFonts w:ascii="Arial" w:cs="Arial" w:eastAsia="Arial" w:hAnsi="Arial"/>
          <w:sz w:val="19"/>
          <w:szCs w:val="19"/>
          <w:color w:val="auto"/>
        </w:rPr>
        <w:t>”). After repayment, no Tranche C Term Loan may be re-borrowed.</w:t>
      </w:r>
    </w:p>
    <w:p>
      <w:pPr>
        <w:spacing w:after="0" w:line="105" w:lineRule="exact"/>
        <w:rPr>
          <w:rFonts w:ascii="Arial" w:cs="Arial" w:eastAsia="Arial" w:hAnsi="Arial"/>
          <w:sz w:val="19"/>
          <w:szCs w:val="19"/>
          <w:color w:val="auto"/>
        </w:rPr>
      </w:pPr>
    </w:p>
    <w:p>
      <w:pPr>
        <w:jc w:val="both"/>
        <w:ind w:firstLine="1219"/>
        <w:spacing w:after="0" w:line="225" w:lineRule="auto"/>
        <w:tabs>
          <w:tab w:leader="none" w:pos="1849"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Commencing on the first (1</w:t>
      </w:r>
      <w:r>
        <w:rPr>
          <w:rFonts w:ascii="Arial" w:cs="Arial" w:eastAsia="Arial" w:hAnsi="Arial"/>
          <w:sz w:val="24"/>
          <w:szCs w:val="24"/>
          <w:color w:val="auto"/>
          <w:vertAlign w:val="superscript"/>
        </w:rPr>
        <w:t>st</w:t>
      </w:r>
      <w:r>
        <w:rPr>
          <w:rFonts w:ascii="Arial" w:cs="Arial" w:eastAsia="Arial" w:hAnsi="Arial"/>
          <w:sz w:val="17"/>
          <w:szCs w:val="17"/>
          <w:color w:val="auto"/>
        </w:rPr>
        <w:t>) Payment Date following the Funding Date of each Term Loan, Borrower shall make monthly payments of interest, to each Lender in accordance with its Pro Rata Share, as calculated by Collateral Agent (which calculations shall be deemed correct absent manifest error) based upon the effective rate of interest applicable to such Term Loan, as determined in Section 2.3(a). All unpaid principal and accrued and unpaid interest with respect to each such Term Loan is due and payable in full on the Maturity Date, to each Lender in accordance with its Pro Rata Share. The Term Loans may only be prepaid in accordance with Sections 2.2(c) and 2.2(d).</w:t>
      </w:r>
    </w:p>
    <w:p>
      <w:pPr>
        <w:spacing w:after="0" w:line="122" w:lineRule="exact"/>
        <w:rPr>
          <w:rFonts w:ascii="Arial" w:cs="Arial" w:eastAsia="Arial" w:hAnsi="Arial"/>
          <w:sz w:val="17"/>
          <w:szCs w:val="17"/>
          <w:color w:val="auto"/>
        </w:rPr>
      </w:pPr>
    </w:p>
    <w:p>
      <w:pPr>
        <w:jc w:val="both"/>
        <w:ind w:firstLine="1219"/>
        <w:spacing w:after="0" w:line="224" w:lineRule="auto"/>
        <w:tabs>
          <w:tab w:leader="none" w:pos="1852"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Mandatory Prepayments</w:t>
      </w:r>
      <w:r>
        <w:rPr>
          <w:rFonts w:ascii="Arial" w:cs="Arial" w:eastAsia="Arial" w:hAnsi="Arial"/>
          <w:sz w:val="17"/>
          <w:szCs w:val="17"/>
          <w:color w:val="auto"/>
        </w:rPr>
        <w:t>. If the Term Loans are accelerated (including, but not limited to, upon the occurrence of a bankruptcy or insolvency event (including the acceleration of claims by operation of law)), Borrower shall immediately pay to Lenders, payable to each Lender in accordance with its respective Pro Rata Share, an amount equal to the sum of: (i) all outstanding principal of the Term Loans plus accrued and unpaid interest thereon through the prepayment date, (ii) any fees payable under the Fee Letter by reason of such prepayment, (iii) the Prepayment Premium, plus (iv) all other Obligations that are due and payable, including Lenders’ Expenses and interest at the Default Rate with respect to any past due amounts. Notwithstanding (but without duplication with) the foregoing, on the Maturity Date, if any fees payable under the Fee Letter by reason of such prepayments had not previously been paid in full in connection with the prepayment of the Term Loans in full, Borrower shall pay to each Lender such fees as may then be due and payable in accordance with the terms of the Fee Letter. The Prepayment Premium shall also be payable in the event the Obligations (and/or this Agreement) are satisfied or released by foreclosure (whether by power of judicial proceeding), deed in lieu of foreclosure or by any other means. EACH BORROWER AND GUARANTOR EXPRESSLY WAIVES (TO</w:t>
      </w:r>
    </w:p>
    <w:p>
      <w:pPr>
        <w:jc w:val="both"/>
        <w:spacing w:after="0" w:line="208" w:lineRule="auto"/>
        <w:rPr>
          <w:rFonts w:ascii="Arial" w:cs="Arial" w:eastAsia="Arial" w:hAnsi="Arial"/>
          <w:sz w:val="17"/>
          <w:szCs w:val="17"/>
          <w:color w:val="auto"/>
        </w:rPr>
      </w:pPr>
      <w:r>
        <w:rPr>
          <w:rFonts w:ascii="Arial" w:cs="Arial" w:eastAsia="Arial" w:hAnsi="Arial"/>
          <w:sz w:val="19"/>
          <w:szCs w:val="19"/>
          <w:color w:val="auto"/>
        </w:rPr>
        <w:t>THE FULLEST EXTENT IT MAY LAWFULLY DO SO) THE PROVISIONS OF ANY PRESENT OR FUTURE STATUTE OR LAW THAT PROHIBITS OR MAY PROHIBIT THE COLLECTION OF THE FOREGOING PREPAYMENT PREMIUM IN CONNECTION WITH ANY SUCH ACCELERATION. Notwithstanding anything to the contrary herein, there shall be no Prepayment Premium due and payable by Borrower to the Lenders hereunder if Borrower prepays all, but not less than all, of the outstanding Term Loans in connection with new loans made by SLR or any Affiliate of SLR.</w:t>
      </w:r>
    </w:p>
    <w:p>
      <w:pPr>
        <w:spacing w:after="0" w:line="135" w:lineRule="exact"/>
        <w:rPr>
          <w:rFonts w:ascii="Arial" w:cs="Arial" w:eastAsia="Arial" w:hAnsi="Arial"/>
          <w:sz w:val="17"/>
          <w:szCs w:val="17"/>
          <w:color w:val="auto"/>
        </w:rPr>
      </w:pPr>
    </w:p>
    <w:p>
      <w:pPr>
        <w:jc w:val="both"/>
        <w:ind w:firstLine="1219"/>
        <w:spacing w:after="0" w:line="218" w:lineRule="auto"/>
        <w:tabs>
          <w:tab w:leader="none" w:pos="1849"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Permitted Prepayment of Term Loans</w:t>
      </w:r>
      <w:r>
        <w:rPr>
          <w:rFonts w:ascii="Arial" w:cs="Arial" w:eastAsia="Arial" w:hAnsi="Arial"/>
          <w:sz w:val="18"/>
          <w:szCs w:val="18"/>
          <w:color w:val="auto"/>
        </w:rPr>
        <w:t>. Borrower shall have the option to prepay any portion of the outstanding principal balance of the Term Loans advanced by the Lenders under this Agreement; in minimum increments of Five Million Dollars ($5,000,000.00), provided Borrower (i) provides written notice to Collateral Agent of its election to prepay the Term Loans at least five (5) Business Days prior to such prepayment, and (ii) pays to the Lenders on the date of such prepayment, payable to each Lender in accordance with its respective Pro Rata Share, an amount equal to the sum of (A) the outstanding principal of the Term Loans or portion(s) thereof being prepaid plus accrued and unpaid interest thereon through the prepayment date, (B) any fees payable under the Fee Letter by reason of such prepayment, (C) the Prepayment Premium, plus (D) all other Obligations that are due and payable on such prepayment date, including any Lenders’ Expenses and interest at the Default Rate (if any) with respect to any past due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350" w:right="339" w:bottom="1440" w:gutter="0" w:footer="0" w:header="0"/>
        </w:sectPr>
      </w:pPr>
    </w:p>
    <w:bookmarkStart w:id="216" w:name="page217"/>
    <w:bookmarkEnd w:id="216"/>
    <w:p>
      <w:pPr>
        <w:ind w:left="600"/>
        <w:spacing w:after="0"/>
        <w:tabs>
          <w:tab w:leader="none" w:pos="122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7"/>
          <w:szCs w:val="17"/>
          <w:b w:val="1"/>
          <w:bCs w:val="1"/>
          <w:color w:val="auto"/>
        </w:rPr>
        <w:t>Payment of Interest on the Term Loans</w:t>
      </w:r>
      <w:r>
        <w:rPr>
          <w:rFonts w:ascii="Arial" w:cs="Arial" w:eastAsia="Arial" w:hAnsi="Arial"/>
          <w:sz w:val="17"/>
          <w:szCs w:val="17"/>
          <w:color w:val="auto"/>
        </w:rPr>
        <w:t>.</w:t>
      </w:r>
    </w:p>
    <w:p>
      <w:pPr>
        <w:spacing w:after="0" w:line="162" w:lineRule="exact"/>
        <w:rPr>
          <w:sz w:val="20"/>
          <w:szCs w:val="20"/>
          <w:color w:val="auto"/>
        </w:rPr>
      </w:pPr>
    </w:p>
    <w:p>
      <w:pPr>
        <w:jc w:val="both"/>
        <w:ind w:firstLine="1219"/>
        <w:spacing w:after="0" w:line="208" w:lineRule="auto"/>
        <w:tabs>
          <w:tab w:leader="none" w:pos="1852"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Interest Rate.</w:t>
      </w:r>
      <w:r>
        <w:rPr>
          <w:rFonts w:ascii="Arial" w:cs="Arial" w:eastAsia="Arial" w:hAnsi="Arial"/>
          <w:sz w:val="19"/>
          <w:szCs w:val="19"/>
          <w:color w:val="auto"/>
        </w:rPr>
        <w:t xml:space="preserve"> Subject to Section 2.3(b), the principal amount outstanding under the Term Loans shall accrue interest at a floating per annum rate equal to the Applicable Rate in effect from time to time, as determined by Collateral Agent on the third Business Day prior to the Funding Date of the applicable Term Loan and on the date occurring on the first Business Day of the month prior to each Payment Date occurring thereafter, which interest shall be payable monthly in arrears in accordance with Sections 2.2(b) and 2.3(e). Except as set forth in Section 2.2(b), such interest shall accrue on each Term Loan commencing on, and including, the Funding Date of such Term Loan, and shall accrue on the principal amount outstanding under such Term Loan through and including the day on which such Term Loan is paid in full (or any date on which partial payment is made).</w:t>
      </w:r>
    </w:p>
    <w:p>
      <w:pPr>
        <w:spacing w:after="0" w:line="121" w:lineRule="exact"/>
        <w:rPr>
          <w:rFonts w:ascii="Arial" w:cs="Arial" w:eastAsia="Arial" w:hAnsi="Arial"/>
          <w:sz w:val="19"/>
          <w:szCs w:val="19"/>
          <w:color w:val="auto"/>
        </w:rPr>
      </w:pPr>
    </w:p>
    <w:p>
      <w:pPr>
        <w:jc w:val="both"/>
        <w:ind w:firstLine="1219"/>
        <w:spacing w:after="0" w:line="227" w:lineRule="auto"/>
        <w:tabs>
          <w:tab w:leader="none" w:pos="1849"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all Obligations shall accrue interest at a fixed per annum rate equal to the rate that is otherwise applicable thereto plus four percentage points (4.00%) (the “</w:t>
      </w:r>
      <w:r>
        <w:rPr>
          <w:rFonts w:ascii="Arial" w:cs="Arial" w:eastAsia="Arial" w:hAnsi="Arial"/>
          <w:sz w:val="18"/>
          <w:szCs w:val="18"/>
          <w:b w:val="1"/>
          <w:bCs w:val="1"/>
          <w:color w:val="auto"/>
        </w:rPr>
        <w:t>Default</w:t>
      </w:r>
      <w:r>
        <w:rPr>
          <w:rFonts w:ascii="Arial" w:cs="Arial" w:eastAsia="Arial" w:hAnsi="Arial"/>
          <w:sz w:val="18"/>
          <w:szCs w:val="18"/>
          <w:color w:val="auto"/>
        </w:rPr>
        <w:t xml:space="preserve"> </w:t>
      </w:r>
      <w:r>
        <w:rPr>
          <w:rFonts w:ascii="Arial" w:cs="Arial" w:eastAsia="Arial" w:hAnsi="Arial"/>
          <w:sz w:val="18"/>
          <w:szCs w:val="18"/>
          <w:b w:val="1"/>
          <w:bCs w:val="1"/>
          <w:color w:val="auto"/>
        </w:rPr>
        <w:t>Rate</w:t>
      </w:r>
      <w:r>
        <w:rPr>
          <w:rFonts w:ascii="Arial" w:cs="Arial" w:eastAsia="Arial" w:hAnsi="Arial"/>
          <w:sz w:val="18"/>
          <w:szCs w:val="18"/>
          <w:color w:val="auto"/>
        </w:rPr>
        <w:t>”). Payment or acceptance of the increased interest rate provided in this Section 2.3(b) is not a permitted alternative to timely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constitute a waiver of any Event of Default or otherwise prejudice or limit any rights or remedies of Collateral Agent.</w:t>
      </w:r>
    </w:p>
    <w:p>
      <w:pPr>
        <w:spacing w:after="0" w:line="134" w:lineRule="exact"/>
        <w:rPr>
          <w:rFonts w:ascii="Arial" w:cs="Arial" w:eastAsia="Arial" w:hAnsi="Arial"/>
          <w:sz w:val="18"/>
          <w:szCs w:val="18"/>
          <w:color w:val="auto"/>
        </w:rPr>
      </w:pPr>
    </w:p>
    <w:p>
      <w:pPr>
        <w:ind w:left="1860" w:hanging="641"/>
        <w:spacing w:after="0"/>
        <w:tabs>
          <w:tab w:leader="none" w:pos="1860"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360-Day Year</w:t>
      </w:r>
      <w:r>
        <w:rPr>
          <w:rFonts w:ascii="Arial" w:cs="Arial" w:eastAsia="Arial" w:hAnsi="Arial"/>
          <w:sz w:val="17"/>
          <w:szCs w:val="17"/>
          <w:color w:val="auto"/>
        </w:rPr>
        <w:t>. Interest shall be computed on the basis of a three hundred sixty (360) day year for the actual number of days</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elapsed.</w:t>
      </w:r>
    </w:p>
    <w:p>
      <w:pPr>
        <w:spacing w:after="0" w:line="140" w:lineRule="exact"/>
        <w:rPr>
          <w:rFonts w:ascii="Arial" w:cs="Arial" w:eastAsia="Arial" w:hAnsi="Arial"/>
          <w:sz w:val="17"/>
          <w:szCs w:val="17"/>
          <w:color w:val="auto"/>
        </w:rPr>
      </w:pPr>
    </w:p>
    <w:p>
      <w:pPr>
        <w:jc w:val="both"/>
        <w:ind w:firstLine="1219"/>
        <w:spacing w:after="0" w:line="232" w:lineRule="auto"/>
        <w:tabs>
          <w:tab w:leader="none" w:pos="1849"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Collateral Agent and each Lender may debit (or ACH) any deposit accounts, maintained by Borrower or any of its Subsidiaries, including the Designated Deposit Account, for principal and interest payments or any other amounts Borrower owes the Lenders under the Loan Documents when due. Any such debits (or ACH activity) shall not constitute a set-off.</w:t>
      </w:r>
    </w:p>
    <w:p>
      <w:pPr>
        <w:spacing w:after="0" w:line="123" w:lineRule="exact"/>
        <w:rPr>
          <w:rFonts w:ascii="Arial" w:cs="Arial" w:eastAsia="Arial" w:hAnsi="Arial"/>
          <w:sz w:val="18"/>
          <w:szCs w:val="18"/>
          <w:color w:val="auto"/>
        </w:rPr>
      </w:pPr>
    </w:p>
    <w:p>
      <w:pPr>
        <w:jc w:val="both"/>
        <w:ind w:firstLine="1219"/>
        <w:spacing w:after="0" w:line="228" w:lineRule="auto"/>
        <w:tabs>
          <w:tab w:leader="none" w:pos="1852"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Except as otherwise expressly provided herein, all payments by Borrower under the Loan Documents shall be made to the respective Lender to which such payments are owed, at such Person’s office in immediately available funds on the date specified herein. Unless otherwise provided, interest is payable monthly on the Payment Date of each month. Payments of principal and/or interest received after 2:00 p.m.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 Collateral Agent may at its discretion and with prior notice of at least (x) with respect to the immediately following sub-clauses (i) and (ii) ten (10) Business Days and (y) with respect to the immediately following sub-clause (iii), one (1) Business Day, initiate debit entries to the Borrower’s account as authorized on the ACH Letter (i) on each payment date of all Obligations then due and owing, (ii) at any time any payment due and owing with respect to Lender Expenses, and (iii) upon an Event of Default, any other Obligations outstanding.</w:t>
      </w:r>
    </w:p>
    <w:p>
      <w:pPr>
        <w:spacing w:after="0" w:line="135" w:lineRule="exact"/>
        <w:rPr>
          <w:sz w:val="20"/>
          <w:szCs w:val="20"/>
          <w:color w:val="auto"/>
        </w:rPr>
      </w:pPr>
    </w:p>
    <w:p>
      <w:pPr>
        <w:ind w:firstLine="595"/>
        <w:spacing w:after="0" w:line="234" w:lineRule="auto"/>
        <w:rPr>
          <w:sz w:val="20"/>
          <w:szCs w:val="20"/>
          <w:color w:val="auto"/>
        </w:rPr>
      </w:pPr>
      <w:r>
        <w:rPr>
          <w:rFonts w:ascii="Arial" w:cs="Arial" w:eastAsia="Arial" w:hAnsi="Arial"/>
          <w:sz w:val="19"/>
          <w:szCs w:val="19"/>
          <w:b w:val="1"/>
          <w:bCs w:val="1"/>
          <w:color w:val="auto"/>
        </w:rPr>
        <w:t xml:space="preserve">2.4 Fees. </w:t>
      </w:r>
      <w:r>
        <w:rPr>
          <w:rFonts w:ascii="Arial" w:cs="Arial" w:eastAsia="Arial" w:hAnsi="Arial"/>
          <w:sz w:val="19"/>
          <w:szCs w:val="19"/>
          <w:color w:val="auto"/>
        </w:rPr>
        <w:t>Borrower shall pay to Collateral Agent and/or Lenders (as applicable) the following fees, which shall be deemed fully earned</w:t>
      </w:r>
      <w:r>
        <w:rPr>
          <w:rFonts w:ascii="Arial" w:cs="Arial" w:eastAsia="Arial" w:hAnsi="Arial"/>
          <w:sz w:val="19"/>
          <w:szCs w:val="19"/>
          <w:b w:val="1"/>
          <w:bCs w:val="1"/>
          <w:color w:val="auto"/>
        </w:rPr>
        <w:t xml:space="preserve"> </w:t>
      </w:r>
      <w:r>
        <w:rPr>
          <w:rFonts w:ascii="Arial" w:cs="Arial" w:eastAsia="Arial" w:hAnsi="Arial"/>
          <w:sz w:val="19"/>
          <w:szCs w:val="19"/>
          <w:color w:val="auto"/>
        </w:rPr>
        <w:t>and non-refundable upon payment:</w:t>
      </w:r>
    </w:p>
    <w:p>
      <w:pPr>
        <w:spacing w:after="0" w:line="136" w:lineRule="exact"/>
        <w:rPr>
          <w:sz w:val="20"/>
          <w:szCs w:val="20"/>
          <w:color w:val="auto"/>
        </w:rPr>
      </w:pPr>
    </w:p>
    <w:p>
      <w:pPr>
        <w:ind w:firstLine="1219"/>
        <w:spacing w:after="0" w:line="231" w:lineRule="auto"/>
        <w:tabs>
          <w:tab w:leader="none" w:pos="1852"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Fee Letter</w:t>
      </w:r>
      <w:r>
        <w:rPr>
          <w:rFonts w:ascii="Arial" w:cs="Arial" w:eastAsia="Arial" w:hAnsi="Arial"/>
          <w:sz w:val="19"/>
          <w:szCs w:val="19"/>
          <w:color w:val="auto"/>
        </w:rPr>
        <w:t>. When due and payable under the terms of the Fee Letter, to Collateral Agent and each Lender, as applicable, the fees set forth in the Fee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1344" w:right="339" w:bottom="1440" w:gutter="0" w:footer="0" w:header="0"/>
        </w:sectPr>
      </w:pPr>
    </w:p>
    <w:bookmarkStart w:id="217" w:name="page218"/>
    <w:bookmarkEnd w:id="217"/>
    <w:p>
      <w:pPr>
        <w:jc w:val="both"/>
        <w:ind w:firstLine="1219"/>
        <w:spacing w:after="0" w:line="218" w:lineRule="auto"/>
        <w:tabs>
          <w:tab w:leader="none" w:pos="1849"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The Prepayment Premium, when due hereunder, to be shared between the Lenders in accordance with their respective Pro Rata Shares. Borrower expressly agrees (to the fullest extent that each may lawfully do so) that: (i) the Prepayment Premium is reasonable and is the product of an arm’s length transaction between sophisticated business people, ably represented by counsel; (ii) the Prepayment Premium shall be payable notwithstanding the then prevailing market rates at the time payment is made; (iii) there has been a course of conduct between Collateral Agent, Lenders and Borrower giving specific consideration in this transaction for such agreement to pay the Prepayment Premium and (iv) Borrower shall be estopped hereafter from claiming differently than as agreed to in this paragraph. Borrower expressly acknowledges that its agreement to pay the Prepayment Premium to Lenders as herein described is a material inducement to Lenders to provide the Term Loan Commitments and make the Term Loans.</w:t>
      </w:r>
    </w:p>
    <w:p>
      <w:pPr>
        <w:spacing w:after="0" w:line="136" w:lineRule="exact"/>
        <w:rPr>
          <w:rFonts w:ascii="Arial" w:cs="Arial" w:eastAsia="Arial" w:hAnsi="Arial"/>
          <w:sz w:val="18"/>
          <w:szCs w:val="18"/>
          <w:color w:val="auto"/>
        </w:rPr>
      </w:pPr>
    </w:p>
    <w:p>
      <w:pPr>
        <w:jc w:val="both"/>
        <w:ind w:firstLine="1219"/>
        <w:spacing w:after="0" w:line="232" w:lineRule="auto"/>
        <w:tabs>
          <w:tab w:leader="none" w:pos="1852"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Lenders’ Expenses (including reasonable attorneys’ fees and expenses for documentation and negotiation of this Agreement) incurred through and after the Effective Date, when due; provided that, the aggregate amount of Lenders’ Expenses incurred on or prior to the Effective Date shall not exceed Three Hundred Thousand Dollars ($300,000.00).</w:t>
      </w:r>
    </w:p>
    <w:p>
      <w:pPr>
        <w:spacing w:after="0" w:line="117" w:lineRule="exact"/>
        <w:rPr>
          <w:sz w:val="20"/>
          <w:szCs w:val="20"/>
          <w:color w:val="auto"/>
        </w:rPr>
      </w:pPr>
    </w:p>
    <w:p>
      <w:pPr>
        <w:ind w:firstLine="595"/>
        <w:spacing w:after="0" w:line="234" w:lineRule="auto"/>
        <w:rPr>
          <w:sz w:val="20"/>
          <w:szCs w:val="20"/>
          <w:color w:val="auto"/>
        </w:rPr>
      </w:pPr>
      <w:r>
        <w:rPr>
          <w:rFonts w:ascii="Arial" w:cs="Arial" w:eastAsia="Arial" w:hAnsi="Arial"/>
          <w:sz w:val="19"/>
          <w:szCs w:val="19"/>
          <w:b w:val="1"/>
          <w:bCs w:val="1"/>
          <w:color w:val="auto"/>
        </w:rPr>
        <w:t xml:space="preserve">2.5 Taxes; Increased Costs. </w:t>
      </w:r>
      <w:r>
        <w:rPr>
          <w:rFonts w:ascii="Arial" w:cs="Arial" w:eastAsia="Arial" w:hAnsi="Arial"/>
          <w:sz w:val="19"/>
          <w:szCs w:val="19"/>
          <w:color w:val="auto"/>
        </w:rPr>
        <w:t>Borrower, Collateral Agent and the Lenders each hereby agree to the terms and conditions set forth on</w:t>
      </w:r>
      <w:r>
        <w:rPr>
          <w:rFonts w:ascii="Arial" w:cs="Arial" w:eastAsia="Arial" w:hAnsi="Arial"/>
          <w:sz w:val="19"/>
          <w:szCs w:val="19"/>
          <w:b w:val="1"/>
          <w:bCs w:val="1"/>
          <w:color w:val="auto"/>
        </w:rPr>
        <w:t xml:space="preserve"> </w:t>
      </w:r>
      <w:r>
        <w:rPr>
          <w:rFonts w:ascii="Arial" w:cs="Arial" w:eastAsia="Arial" w:hAnsi="Arial"/>
          <w:sz w:val="19"/>
          <w:szCs w:val="19"/>
          <w:color w:val="auto"/>
        </w:rPr>
        <w:t>Exhibit C attached hereto.</w:t>
      </w:r>
    </w:p>
    <w:p>
      <w:pPr>
        <w:spacing w:after="0" w:line="130" w:lineRule="exact"/>
        <w:rPr>
          <w:sz w:val="20"/>
          <w:szCs w:val="20"/>
          <w:color w:val="auto"/>
        </w:rPr>
      </w:pPr>
    </w:p>
    <w:p>
      <w:pPr>
        <w:ind w:left="620" w:hanging="617"/>
        <w:spacing w:after="0"/>
        <w:tabs>
          <w:tab w:leader="none" w:pos="620" w:val="left"/>
        </w:tabs>
        <w:numPr>
          <w:ilvl w:val="0"/>
          <w:numId w:val="169"/>
        </w:numPr>
        <w:rPr>
          <w:rFonts w:ascii="Arial" w:cs="Arial" w:eastAsia="Arial" w:hAnsi="Arial"/>
          <w:sz w:val="19"/>
          <w:szCs w:val="19"/>
          <w:b w:val="1"/>
          <w:bCs w:val="1"/>
          <w:color w:val="auto"/>
        </w:rPr>
      </w:pPr>
      <w:r>
        <w:rPr>
          <w:rFonts w:ascii="Arial" w:cs="Arial" w:eastAsia="Arial" w:hAnsi="Arial"/>
          <w:sz w:val="19"/>
          <w:szCs w:val="19"/>
          <w:b w:val="1"/>
          <w:bCs w:val="1"/>
          <w:color w:val="auto"/>
        </w:rPr>
        <w:t>CONDITIONS OF LOANS</w:t>
      </w:r>
    </w:p>
    <w:p>
      <w:pPr>
        <w:spacing w:after="0" w:line="156" w:lineRule="exact"/>
        <w:rPr>
          <w:sz w:val="20"/>
          <w:szCs w:val="20"/>
          <w:color w:val="auto"/>
        </w:rPr>
      </w:pPr>
    </w:p>
    <w:p>
      <w:pPr>
        <w:jc w:val="both"/>
        <w:ind w:firstLine="595"/>
        <w:spacing w:after="0" w:line="216" w:lineRule="auto"/>
        <w:rPr>
          <w:sz w:val="20"/>
          <w:szCs w:val="20"/>
          <w:color w:val="auto"/>
        </w:rPr>
      </w:pPr>
      <w:r>
        <w:rPr>
          <w:rFonts w:ascii="Arial" w:cs="Arial" w:eastAsia="Arial" w:hAnsi="Arial"/>
          <w:sz w:val="19"/>
          <w:szCs w:val="19"/>
          <w:b w:val="1"/>
          <w:bCs w:val="1"/>
          <w:color w:val="auto"/>
        </w:rPr>
        <w:t xml:space="preserve">3.1 Conditions Precedent to Initial Term Loan. </w:t>
      </w:r>
      <w:r>
        <w:rPr>
          <w:rFonts w:ascii="Arial" w:cs="Arial" w:eastAsia="Arial" w:hAnsi="Arial"/>
          <w:sz w:val="19"/>
          <w:szCs w:val="19"/>
          <w:color w:val="auto"/>
        </w:rPr>
        <w:t>Each Lender’s obligation to make a Term A Loan is subject to the condition</w:t>
      </w:r>
      <w:r>
        <w:rPr>
          <w:rFonts w:ascii="Arial" w:cs="Arial" w:eastAsia="Arial" w:hAnsi="Arial"/>
          <w:sz w:val="19"/>
          <w:szCs w:val="19"/>
          <w:b w:val="1"/>
          <w:bCs w:val="1"/>
          <w:color w:val="auto"/>
        </w:rPr>
        <w:t xml:space="preserve"> </w:t>
      </w:r>
      <w:r>
        <w:rPr>
          <w:rFonts w:ascii="Arial" w:cs="Arial" w:eastAsia="Arial" w:hAnsi="Arial"/>
          <w:sz w:val="19"/>
          <w:szCs w:val="19"/>
          <w:color w:val="auto"/>
        </w:rPr>
        <w:t>precedent 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24" w:lineRule="exact"/>
        <w:rPr>
          <w:sz w:val="20"/>
          <w:szCs w:val="20"/>
          <w:color w:val="auto"/>
        </w:rPr>
      </w:pPr>
    </w:p>
    <w:p>
      <w:pPr>
        <w:ind w:left="1860" w:hanging="641"/>
        <w:spacing w:after="0"/>
        <w:tabs>
          <w:tab w:leader="none" w:pos="186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original Loan Documents, each duly executed by Borrower and each Subsidiary, as applicable;</w:t>
      </w:r>
    </w:p>
    <w:p>
      <w:pPr>
        <w:spacing w:after="0" w:line="156" w:lineRule="exact"/>
        <w:rPr>
          <w:rFonts w:ascii="Arial" w:cs="Arial" w:eastAsia="Arial" w:hAnsi="Arial"/>
          <w:sz w:val="19"/>
          <w:szCs w:val="19"/>
          <w:color w:val="auto"/>
        </w:rPr>
      </w:pPr>
    </w:p>
    <w:p>
      <w:pPr>
        <w:ind w:left="1860" w:hanging="641"/>
        <w:spacing w:after="0"/>
        <w:tabs>
          <w:tab w:leader="none" w:pos="186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 completed Perfection Certificate for Borrower and each of its Subsidiaries;</w:t>
      </w:r>
    </w:p>
    <w:p>
      <w:pPr>
        <w:spacing w:after="0" w:line="156" w:lineRule="exact"/>
        <w:rPr>
          <w:rFonts w:ascii="Arial" w:cs="Arial" w:eastAsia="Arial" w:hAnsi="Arial"/>
          <w:sz w:val="19"/>
          <w:szCs w:val="19"/>
          <w:color w:val="auto"/>
        </w:rPr>
      </w:pPr>
    </w:p>
    <w:p>
      <w:pPr>
        <w:ind w:firstLine="1219"/>
        <w:spacing w:after="0" w:line="231" w:lineRule="auto"/>
        <w:tabs>
          <w:tab w:leader="none" w:pos="1852" w:val="left"/>
        </w:tabs>
        <w:numPr>
          <w:ilvl w:val="0"/>
          <w:numId w:val="170"/>
        </w:numPr>
        <w:rPr>
          <w:rFonts w:ascii="Arial" w:cs="Arial" w:eastAsia="Arial" w:hAnsi="Arial"/>
          <w:sz w:val="19"/>
          <w:szCs w:val="19"/>
          <w:color w:val="auto"/>
        </w:rPr>
      </w:pPr>
      <w:r>
        <w:rPr>
          <w:rFonts w:ascii="Arial" w:cs="Arial" w:eastAsia="Arial" w:hAnsi="Arial"/>
          <w:sz w:val="19"/>
          <w:szCs w:val="19"/>
          <w:color w:val="auto"/>
        </w:rPr>
        <w:t>duly executed Control Agreements with respect to any Collateral Accounts maintained by Borrower or any of its Subsidiaries to the extent required under Section 6.6;</w:t>
      </w:r>
    </w:p>
    <w:p>
      <w:pPr>
        <w:spacing w:after="0" w:line="122" w:lineRule="exact"/>
        <w:rPr>
          <w:rFonts w:ascii="Arial" w:cs="Arial" w:eastAsia="Arial" w:hAnsi="Arial"/>
          <w:sz w:val="19"/>
          <w:szCs w:val="19"/>
          <w:color w:val="auto"/>
        </w:rPr>
      </w:pPr>
    </w:p>
    <w:p>
      <w:pPr>
        <w:ind w:left="1860" w:hanging="641"/>
        <w:spacing w:after="0"/>
        <w:tabs>
          <w:tab w:leader="none" w:pos="186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 duly executed Fee Letter;</w:t>
      </w:r>
    </w:p>
    <w:p>
      <w:pPr>
        <w:spacing w:after="0" w:line="156" w:lineRule="exact"/>
        <w:rPr>
          <w:rFonts w:ascii="Arial" w:cs="Arial" w:eastAsia="Arial" w:hAnsi="Arial"/>
          <w:sz w:val="19"/>
          <w:szCs w:val="19"/>
          <w:color w:val="auto"/>
        </w:rPr>
      </w:pPr>
    </w:p>
    <w:p>
      <w:pPr>
        <w:jc w:val="both"/>
        <w:ind w:firstLine="1219"/>
        <w:spacing w:after="0" w:line="232" w:lineRule="auto"/>
        <w:tabs>
          <w:tab w:leader="none" w:pos="18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r>
        <w:rPr>
          <w:rFonts w:ascii="Arial" w:cs="Arial" w:eastAsia="Arial" w:hAnsi="Arial"/>
          <w:sz w:val="18"/>
          <w:szCs w:val="18"/>
          <w:b w:val="1"/>
          <w:bCs w:val="1"/>
          <w:color w:val="auto"/>
        </w:rPr>
        <w:t>;</w:t>
      </w:r>
    </w:p>
    <w:p>
      <w:pPr>
        <w:spacing w:after="0" w:line="136" w:lineRule="exact"/>
        <w:rPr>
          <w:rFonts w:ascii="Arial" w:cs="Arial" w:eastAsia="Arial" w:hAnsi="Arial"/>
          <w:sz w:val="18"/>
          <w:szCs w:val="18"/>
          <w:color w:val="auto"/>
        </w:rPr>
      </w:pPr>
    </w:p>
    <w:p>
      <w:pPr>
        <w:jc w:val="both"/>
        <w:ind w:firstLine="1219"/>
        <w:spacing w:after="0" w:line="215" w:lineRule="auto"/>
        <w:tabs>
          <w:tab w:leader="none" w:pos="1857"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 certificate of Borrower in substantially the form of Exhibit F hereto executed by the Secretary of Borrower with appropriate insertions and attachments, including with respect to (i) the Operating Documents of Borrower (which Certificate of Incorporation of Borrower shall be certified by the Secretary of State of the State of Delaware) and (ii) the resolutions adopted by Borrower’s board of directors for the purpose of approving the transactions contemplated by the Loan Documents;</w:t>
      </w:r>
    </w:p>
    <w:p>
      <w:pPr>
        <w:spacing w:after="0" w:line="121" w:lineRule="exact"/>
        <w:rPr>
          <w:rFonts w:ascii="Arial" w:cs="Arial" w:eastAsia="Arial" w:hAnsi="Arial"/>
          <w:sz w:val="19"/>
          <w:szCs w:val="19"/>
          <w:color w:val="auto"/>
        </w:rPr>
      </w:pPr>
    </w:p>
    <w:p>
      <w:pPr>
        <w:jc w:val="both"/>
        <w:ind w:firstLine="1219"/>
        <w:spacing w:after="0" w:line="249" w:lineRule="auto"/>
        <w:tabs>
          <w:tab w:leader="none" w:pos="184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Term Loan, will be terminated or released;</w:t>
      </w:r>
    </w:p>
    <w:p>
      <w:pPr>
        <w:spacing w:after="0" w:line="128" w:lineRule="exact"/>
        <w:rPr>
          <w:rFonts w:ascii="Arial" w:cs="Arial" w:eastAsia="Arial" w:hAnsi="Arial"/>
          <w:sz w:val="17"/>
          <w:szCs w:val="17"/>
          <w:color w:val="auto"/>
        </w:rPr>
      </w:pPr>
    </w:p>
    <w:p>
      <w:pPr>
        <w:ind w:left="1860" w:hanging="641"/>
        <w:spacing w:after="0"/>
        <w:tabs>
          <w:tab w:leader="none" w:pos="186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 duly executed legal opinion of counsel to Borrower dated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1350" w:right="339" w:bottom="1440" w:gutter="0" w:footer="0" w:header="0"/>
        </w:sectPr>
      </w:pPr>
    </w:p>
    <w:bookmarkStart w:id="218" w:name="page219"/>
    <w:bookmarkEnd w:id="218"/>
    <w:p>
      <w:pPr>
        <w:jc w:val="both"/>
        <w:ind w:firstLine="1219"/>
        <w:spacing w:after="0" w:line="220" w:lineRule="auto"/>
        <w:tabs>
          <w:tab w:leader="none" w:pos="1859" w:val="left"/>
        </w:tabs>
        <w:numPr>
          <w:ilvl w:val="0"/>
          <w:numId w:val="171"/>
        </w:numPr>
        <w:rPr>
          <w:rFonts w:ascii="Arial" w:cs="Arial" w:eastAsia="Arial" w:hAnsi="Arial"/>
          <w:sz w:val="19"/>
          <w:szCs w:val="19"/>
          <w:color w:val="auto"/>
        </w:rPr>
      </w:pPr>
      <w:r>
        <w:rPr>
          <w:rFonts w:ascii="Arial" w:cs="Arial" w:eastAsia="Arial" w:hAnsi="Arial"/>
          <w:sz w:val="19"/>
          <w:szCs w:val="19"/>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Secured Parties;</w:t>
      </w:r>
    </w:p>
    <w:p>
      <w:pPr>
        <w:spacing w:after="0" w:line="135" w:lineRule="exact"/>
        <w:rPr>
          <w:rFonts w:ascii="Arial" w:cs="Arial" w:eastAsia="Arial" w:hAnsi="Arial"/>
          <w:sz w:val="19"/>
          <w:szCs w:val="19"/>
          <w:color w:val="auto"/>
        </w:rPr>
      </w:pPr>
    </w:p>
    <w:p>
      <w:pPr>
        <w:ind w:left="1860" w:hanging="641"/>
        <w:spacing w:after="0"/>
        <w:tabs>
          <w:tab w:leader="none" w:pos="186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[Reserved];</w:t>
      </w:r>
    </w:p>
    <w:p>
      <w:pPr>
        <w:spacing w:after="0" w:line="143" w:lineRule="exact"/>
        <w:rPr>
          <w:rFonts w:ascii="Arial" w:cs="Arial" w:eastAsia="Arial" w:hAnsi="Arial"/>
          <w:sz w:val="19"/>
          <w:szCs w:val="19"/>
          <w:color w:val="auto"/>
        </w:rPr>
      </w:pPr>
    </w:p>
    <w:p>
      <w:pPr>
        <w:ind w:left="1860" w:hanging="641"/>
        <w:spacing w:after="0"/>
        <w:tabs>
          <w:tab w:leader="none" w:pos="186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[Reserved]; and</w:t>
      </w:r>
    </w:p>
    <w:p>
      <w:pPr>
        <w:spacing w:after="0" w:line="156" w:lineRule="exact"/>
        <w:rPr>
          <w:rFonts w:ascii="Arial" w:cs="Arial" w:eastAsia="Arial" w:hAnsi="Arial"/>
          <w:sz w:val="19"/>
          <w:szCs w:val="19"/>
          <w:color w:val="auto"/>
        </w:rPr>
      </w:pPr>
    </w:p>
    <w:p>
      <w:pPr>
        <w:ind w:left="1860" w:hanging="641"/>
        <w:spacing w:after="0"/>
        <w:tabs>
          <w:tab w:leader="none" w:pos="18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payment of the fees payable under the terms of the Fee Letter and Lenders’ Expenses then due as specified in Section 2.4</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hereof.</w:t>
      </w:r>
    </w:p>
    <w:p>
      <w:pPr>
        <w:spacing w:after="0" w:line="134" w:lineRule="exact"/>
        <w:rPr>
          <w:sz w:val="20"/>
          <w:szCs w:val="20"/>
          <w:color w:val="auto"/>
        </w:rPr>
      </w:pPr>
    </w:p>
    <w:p>
      <w:pPr>
        <w:ind w:firstLine="595"/>
        <w:spacing w:after="0" w:line="234" w:lineRule="auto"/>
        <w:rPr>
          <w:sz w:val="20"/>
          <w:szCs w:val="20"/>
          <w:color w:val="auto"/>
        </w:rPr>
      </w:pPr>
      <w:r>
        <w:rPr>
          <w:rFonts w:ascii="Arial" w:cs="Arial" w:eastAsia="Arial" w:hAnsi="Arial"/>
          <w:sz w:val="19"/>
          <w:szCs w:val="19"/>
          <w:b w:val="1"/>
          <w:bCs w:val="1"/>
          <w:color w:val="auto"/>
        </w:rPr>
        <w:t xml:space="preserve">3.2 Conditions Precedent to all Term Loans. </w:t>
      </w:r>
      <w:r>
        <w:rPr>
          <w:rFonts w:ascii="Arial" w:cs="Arial" w:eastAsia="Arial" w:hAnsi="Arial"/>
          <w:sz w:val="19"/>
          <w:szCs w:val="19"/>
          <w:color w:val="auto"/>
        </w:rPr>
        <w:t>The obligation of each Lender to extend each Term Loan, including the initial Term</w:t>
      </w:r>
      <w:r>
        <w:rPr>
          <w:rFonts w:ascii="Arial" w:cs="Arial" w:eastAsia="Arial" w:hAnsi="Arial"/>
          <w:sz w:val="19"/>
          <w:szCs w:val="19"/>
          <w:b w:val="1"/>
          <w:bCs w:val="1"/>
          <w:color w:val="auto"/>
        </w:rPr>
        <w:t xml:space="preserve"> </w:t>
      </w:r>
      <w:r>
        <w:rPr>
          <w:rFonts w:ascii="Arial" w:cs="Arial" w:eastAsia="Arial" w:hAnsi="Arial"/>
          <w:sz w:val="19"/>
          <w:szCs w:val="19"/>
          <w:color w:val="auto"/>
        </w:rPr>
        <w:t>Loan, is subject to the following conditions precedent:</w:t>
      </w:r>
    </w:p>
    <w:p>
      <w:pPr>
        <w:spacing w:after="0" w:line="123" w:lineRule="exact"/>
        <w:rPr>
          <w:sz w:val="20"/>
          <w:szCs w:val="20"/>
          <w:color w:val="auto"/>
        </w:rPr>
      </w:pPr>
    </w:p>
    <w:p>
      <w:pPr>
        <w:ind w:left="1860" w:hanging="641"/>
        <w:spacing w:after="0"/>
        <w:tabs>
          <w:tab w:leader="none" w:pos="18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receipt by Collateral Agent of an executed Loan Payment Request Form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pacing w:after="0" w:line="167" w:lineRule="exact"/>
        <w:rPr>
          <w:rFonts w:ascii="Arial" w:cs="Arial" w:eastAsia="Arial" w:hAnsi="Arial"/>
          <w:sz w:val="18"/>
          <w:szCs w:val="18"/>
          <w:color w:val="auto"/>
        </w:rPr>
      </w:pPr>
    </w:p>
    <w:p>
      <w:pPr>
        <w:jc w:val="both"/>
        <w:ind w:firstLine="1219"/>
        <w:spacing w:after="0" w:line="211" w:lineRule="auto"/>
        <w:tabs>
          <w:tab w:leader="none" w:pos="1849"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representations and warranties in Section 5 hereof shall be true, accurate and complete in all material respects on the Funding Date of each Term Loan;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funding of such Term Loan;</w:t>
      </w:r>
    </w:p>
    <w:p>
      <w:pPr>
        <w:spacing w:after="0" w:line="137" w:lineRule="exact"/>
        <w:rPr>
          <w:rFonts w:ascii="Arial" w:cs="Arial" w:eastAsia="Arial" w:hAnsi="Arial"/>
          <w:sz w:val="19"/>
          <w:szCs w:val="19"/>
          <w:color w:val="auto"/>
        </w:rPr>
      </w:pPr>
    </w:p>
    <w:p>
      <w:pPr>
        <w:ind w:left="1860" w:hanging="641"/>
        <w:spacing w:after="0"/>
        <w:tabs>
          <w:tab w:leader="none" w:pos="186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in such Lender’s reasonable discretion, there has not been any Material Adverse Change;</w:t>
      </w:r>
    </w:p>
    <w:p>
      <w:pPr>
        <w:spacing w:after="0" w:line="143" w:lineRule="exact"/>
        <w:rPr>
          <w:rFonts w:ascii="Arial" w:cs="Arial" w:eastAsia="Arial" w:hAnsi="Arial"/>
          <w:sz w:val="19"/>
          <w:szCs w:val="19"/>
          <w:color w:val="auto"/>
        </w:rPr>
      </w:pPr>
    </w:p>
    <w:p>
      <w:pPr>
        <w:ind w:left="1860" w:hanging="641"/>
        <w:spacing w:after="0"/>
        <w:tabs>
          <w:tab w:leader="none" w:pos="186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No Event of Default or Default, shall exist;</w:t>
      </w:r>
    </w:p>
    <w:p>
      <w:pPr>
        <w:spacing w:after="0" w:line="156" w:lineRule="exact"/>
        <w:rPr>
          <w:rFonts w:ascii="Arial" w:cs="Arial" w:eastAsia="Arial" w:hAnsi="Arial"/>
          <w:sz w:val="19"/>
          <w:szCs w:val="19"/>
          <w:color w:val="auto"/>
        </w:rPr>
      </w:pPr>
    </w:p>
    <w:p>
      <w:pPr>
        <w:ind w:firstLine="1219"/>
        <w:spacing w:after="0" w:line="231" w:lineRule="auto"/>
        <w:tabs>
          <w:tab w:leader="none" w:pos="1852" w:val="left"/>
        </w:tabs>
        <w:numPr>
          <w:ilvl w:val="0"/>
          <w:numId w:val="172"/>
        </w:numPr>
        <w:rPr>
          <w:rFonts w:ascii="Arial" w:cs="Arial" w:eastAsia="Arial" w:hAnsi="Arial"/>
          <w:sz w:val="19"/>
          <w:szCs w:val="19"/>
          <w:color w:val="auto"/>
        </w:rPr>
      </w:pPr>
      <w:r>
        <w:rPr>
          <w:rFonts w:ascii="Arial" w:cs="Arial" w:eastAsia="Arial" w:hAnsi="Arial"/>
          <w:sz w:val="19"/>
          <w:szCs w:val="19"/>
          <w:color w:val="auto"/>
        </w:rPr>
        <w:t>payment of the fees and Lenders’ Expenses then due as specified in Section 2.4 hereof (including payment of the fees payable under the terms of the Fee Letter);</w:t>
      </w:r>
    </w:p>
    <w:p>
      <w:pPr>
        <w:spacing w:after="0" w:line="135" w:lineRule="exact"/>
        <w:rPr>
          <w:rFonts w:ascii="Arial" w:cs="Arial" w:eastAsia="Arial" w:hAnsi="Arial"/>
          <w:sz w:val="19"/>
          <w:szCs w:val="19"/>
          <w:color w:val="auto"/>
        </w:rPr>
      </w:pPr>
    </w:p>
    <w:p>
      <w:pPr>
        <w:ind w:left="1860" w:hanging="641"/>
        <w:spacing w:after="0"/>
        <w:tabs>
          <w:tab w:leader="none" w:pos="186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with respect to any Tranche B Term Loan, the Tranche B Term Loan Condition shall be satisfied; and</w:t>
      </w:r>
    </w:p>
    <w:p>
      <w:pPr>
        <w:spacing w:after="0" w:line="143" w:lineRule="exact"/>
        <w:rPr>
          <w:rFonts w:ascii="Arial" w:cs="Arial" w:eastAsia="Arial" w:hAnsi="Arial"/>
          <w:sz w:val="19"/>
          <w:szCs w:val="19"/>
          <w:color w:val="auto"/>
        </w:rPr>
      </w:pPr>
    </w:p>
    <w:p>
      <w:pPr>
        <w:ind w:left="1860" w:hanging="641"/>
        <w:spacing w:after="0"/>
        <w:tabs>
          <w:tab w:leader="none" w:pos="186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with respect to any Tranche C Term Loan, the Tranche C Term Loan Condition shall be satisfied.</w:t>
      </w:r>
    </w:p>
    <w:p>
      <w:pPr>
        <w:spacing w:after="0" w:line="150" w:lineRule="exact"/>
        <w:rPr>
          <w:sz w:val="20"/>
          <w:szCs w:val="20"/>
          <w:color w:val="auto"/>
        </w:rPr>
      </w:pPr>
    </w:p>
    <w:p>
      <w:pPr>
        <w:jc w:val="both"/>
        <w:ind w:firstLine="595"/>
        <w:spacing w:after="0" w:line="228" w:lineRule="auto"/>
        <w:rPr>
          <w:sz w:val="20"/>
          <w:szCs w:val="20"/>
          <w:color w:val="auto"/>
        </w:rPr>
      </w:pPr>
      <w:r>
        <w:rPr>
          <w:rFonts w:ascii="Arial" w:cs="Arial" w:eastAsia="Arial" w:hAnsi="Arial"/>
          <w:sz w:val="18"/>
          <w:szCs w:val="18"/>
          <w:b w:val="1"/>
          <w:bCs w:val="1"/>
          <w:color w:val="auto"/>
        </w:rPr>
        <w:t xml:space="preserve">3.3 Covenant to Deliver. </w:t>
      </w:r>
      <w:r>
        <w:rPr>
          <w:rFonts w:ascii="Arial" w:cs="Arial" w:eastAsia="Arial" w:hAnsi="Arial"/>
          <w:sz w:val="18"/>
          <w:szCs w:val="18"/>
          <w:color w:val="auto"/>
        </w:rPr>
        <w:t>Borrower agrees to deliver to Collateral Agent and the Lenders each item required to be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under this Agreement as a condition precedent to any Term Loan. Borrower expressly agrees that a Term Loan made prior to the receipt by Collateral Agent or any Lender of any such item shall not constitute a waiver by Collateral Agent or any Lender of Borrower’s obligation to deliver such item, and any such Term Loan in the absence of a required item shall be made in each Lender’s sole discretion.</w:t>
      </w:r>
    </w:p>
    <w:p>
      <w:pPr>
        <w:spacing w:after="0" w:line="131" w:lineRule="exact"/>
        <w:rPr>
          <w:sz w:val="20"/>
          <w:szCs w:val="20"/>
          <w:color w:val="auto"/>
        </w:rPr>
      </w:pPr>
    </w:p>
    <w:p>
      <w:pPr>
        <w:jc w:val="both"/>
        <w:ind w:firstLine="595"/>
        <w:spacing w:after="0" w:line="209" w:lineRule="auto"/>
        <w:rPr>
          <w:sz w:val="20"/>
          <w:szCs w:val="20"/>
          <w:color w:val="auto"/>
        </w:rPr>
      </w:pPr>
      <w:r>
        <w:rPr>
          <w:rFonts w:ascii="Arial" w:cs="Arial" w:eastAsia="Arial" w:hAnsi="Arial"/>
          <w:sz w:val="19"/>
          <w:szCs w:val="19"/>
          <w:b w:val="1"/>
          <w:bCs w:val="1"/>
          <w:color w:val="auto"/>
        </w:rPr>
        <w:t xml:space="preserve">3.4 Procedures for Borrowing. </w:t>
      </w:r>
      <w:r>
        <w:rPr>
          <w:rFonts w:ascii="Arial" w:cs="Arial" w:eastAsia="Arial" w:hAnsi="Arial"/>
          <w:sz w:val="19"/>
          <w:szCs w:val="19"/>
          <w:color w:val="auto"/>
        </w:rPr>
        <w:t>Subject to the prior satisfaction of all other applicable conditions to the making of a Term Loan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in this Agreement, to obtain a Term Loan (other than the Term Loan funded on the Effective Date), Borrower shall notify the Lenders (which notice shall be irrevocable) by electronic mail, facsimile, or telephone by 2:00 p.m. New York City time three (3) Business Days prior to the date the applicable Term Loan is to be made. Together with any such electronic, facsimile or telephonic notification, Borrower shall deliver to Collateral Agent by electronic mail or facsimile a completed Loan Payment Request Form executed by a Responsible Officer or his or her designee. The Collateral Agent may rely on any telephone notice given by a person whom Collateral Agent reasonably believes is a Responsible Officer or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1350" w:right="339" w:bottom="1440" w:gutter="0" w:footer="0" w:header="0"/>
        </w:sectPr>
      </w:pPr>
    </w:p>
    <w:bookmarkStart w:id="219" w:name="page220"/>
    <w:bookmarkEnd w:id="219"/>
    <w:p>
      <w:pPr>
        <w:ind w:left="620" w:hanging="617"/>
        <w:spacing w:after="0"/>
        <w:tabs>
          <w:tab w:leader="none" w:pos="620" w:val="left"/>
        </w:tabs>
        <w:numPr>
          <w:ilvl w:val="0"/>
          <w:numId w:val="173"/>
        </w:numPr>
        <w:rPr>
          <w:rFonts w:ascii="Arial" w:cs="Arial" w:eastAsia="Arial" w:hAnsi="Arial"/>
          <w:sz w:val="19"/>
          <w:szCs w:val="19"/>
          <w:b w:val="1"/>
          <w:bCs w:val="1"/>
          <w:color w:val="auto"/>
        </w:rPr>
      </w:pPr>
      <w:r>
        <w:rPr>
          <w:rFonts w:ascii="Arial" w:cs="Arial" w:eastAsia="Arial" w:hAnsi="Arial"/>
          <w:sz w:val="19"/>
          <w:szCs w:val="19"/>
          <w:b w:val="1"/>
          <w:bCs w:val="1"/>
          <w:color w:val="auto"/>
        </w:rPr>
        <w:t>CREATION OF SECURITY INTEREST</w:t>
      </w:r>
    </w:p>
    <w:p>
      <w:pPr>
        <w:spacing w:after="0" w:line="156" w:lineRule="exact"/>
        <w:rPr>
          <w:sz w:val="20"/>
          <w:szCs w:val="20"/>
          <w:color w:val="auto"/>
        </w:rPr>
      </w:pPr>
    </w:p>
    <w:p>
      <w:pPr>
        <w:jc w:val="both"/>
        <w:ind w:firstLine="595"/>
        <w:spacing w:after="0" w:line="231" w:lineRule="auto"/>
        <w:rPr>
          <w:sz w:val="20"/>
          <w:szCs w:val="20"/>
          <w:color w:val="auto"/>
        </w:rPr>
      </w:pPr>
      <w:r>
        <w:rPr>
          <w:rFonts w:ascii="Arial" w:cs="Arial" w:eastAsia="Arial" w:hAnsi="Arial"/>
          <w:sz w:val="17"/>
          <w:szCs w:val="17"/>
          <w:b w:val="1"/>
          <w:bCs w:val="1"/>
          <w:color w:val="auto"/>
        </w:rPr>
        <w:t xml:space="preserve">4.1 Grant of Security Interest. </w:t>
      </w:r>
      <w:r>
        <w:rPr>
          <w:rFonts w:ascii="Arial" w:cs="Arial" w:eastAsia="Arial" w:hAnsi="Arial"/>
          <w:sz w:val="17"/>
          <w:szCs w:val="17"/>
          <w:color w:val="auto"/>
        </w:rPr>
        <w:t>Borrower hereby grants Collateral Agent, for the ratable benefit of the Secured Parties, to secure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and performance in full of all of the Obligations in full and, until payment in cash of all Obligations (other than (a)(i) inchoate indemnity obligations, and (ii) other obligations that, by their terms, survive termination of this Agreement, in each case, for which no claim has been made, and (b) all obligations under the Exit Fee Agreement), a continuing first priority security interest in, and pledges to Collateral Agent, for the ratable benefit of the Secured Parties, the Collateral, wherever located, whether now owned or hereafter acquired or arising, and all proceeds and products and supporting obligations (as defined in the Code) in respect thereof. If Borrower shall acquire any commercial tort claim (as defined in the Code) in an amount greater than Fifty Thousand Dollars ($50,000.00), Borrower shall grant to Collateral Agent, for the ratable benefit of the Secured Parties, a first priority security interest therein and in the proceeds and products and supporting obligations (as defined in the Code) thereof, all upon the terms of this Agreement, with such writing to be in form and substance reasonably satisfactory to Collateral Agent.</w:t>
      </w:r>
    </w:p>
    <w:p>
      <w:pPr>
        <w:spacing w:after="0" w:line="122" w:lineRule="exact"/>
        <w:rPr>
          <w:sz w:val="20"/>
          <w:szCs w:val="20"/>
          <w:color w:val="auto"/>
        </w:rPr>
      </w:pPr>
    </w:p>
    <w:p>
      <w:pPr>
        <w:jc w:val="both"/>
        <w:ind w:firstLine="620"/>
        <w:spacing w:after="0" w:line="219" w:lineRule="auto"/>
        <w:rPr>
          <w:sz w:val="20"/>
          <w:szCs w:val="20"/>
          <w:color w:val="auto"/>
        </w:rPr>
      </w:pPr>
      <w:r>
        <w:rPr>
          <w:rFonts w:ascii="Arial" w:cs="Arial" w:eastAsia="Arial" w:hAnsi="Arial"/>
          <w:sz w:val="18"/>
          <w:szCs w:val="18"/>
          <w:color w:val="auto"/>
        </w:rPr>
        <w:t>If this Agreement is terminated, Collateral Agent’s Lien in the Collateral shall continue until the Obligations (other than (a)(i) inchoate indemnity obligations, and (ii) other obligations that, by their terms, survive termination of this Agreement, in each case, for which no claim has been made, and (b) all obligations under the Exit Fee Agreement) are repaid in full in cash. Upon payment in full in cash of the Obligations (other than (a) inchoate indemnity obligations, and (ii) other obligations that, by their terms, survive termination of this Agreement, in each case, for which no claim has been made, and (b) all obligations under the Exit Fee Agreement) and at such time as the Lenders’ obligation to extend Term Loans has terminated, Collateral Agent shall, at the sole cost and expense of Borrower, release its Liens in the Collateral (and enter into any related documentation reasonably requested by Borrower) and all rights therein shall revert to Borrower.</w:t>
      </w:r>
    </w:p>
    <w:p>
      <w:pPr>
        <w:spacing w:after="0" w:line="132" w:lineRule="exact"/>
        <w:rPr>
          <w:sz w:val="20"/>
          <w:szCs w:val="20"/>
          <w:color w:val="auto"/>
        </w:rPr>
      </w:pPr>
    </w:p>
    <w:p>
      <w:pPr>
        <w:jc w:val="both"/>
        <w:ind w:firstLine="595"/>
        <w:spacing w:after="0" w:line="213" w:lineRule="auto"/>
        <w:rPr>
          <w:sz w:val="20"/>
          <w:szCs w:val="20"/>
          <w:color w:val="auto"/>
        </w:rPr>
      </w:pPr>
      <w:r>
        <w:rPr>
          <w:rFonts w:ascii="Arial" w:cs="Arial" w:eastAsia="Arial" w:hAnsi="Arial"/>
          <w:sz w:val="19"/>
          <w:szCs w:val="19"/>
          <w:b w:val="1"/>
          <w:bCs w:val="1"/>
          <w:color w:val="auto"/>
        </w:rPr>
        <w:t xml:space="preserve">4.2 Authorization to File Financing Statements. </w:t>
      </w:r>
      <w:r>
        <w:rPr>
          <w:rFonts w:ascii="Arial" w:cs="Arial" w:eastAsia="Arial" w:hAnsi="Arial"/>
          <w:sz w:val="19"/>
          <w:szCs w:val="19"/>
          <w:color w:val="auto"/>
        </w:rPr>
        <w:t>Borrower hereby authorizes Collateral Agent to file financing statements or take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action required to perfect Collateral Agent’s security interests in the Collateral (held for the ratable benefit of the Secured Parties), without notice to Borrower, with all appropriate jurisdictions to perfect or protect Collateral Agent’s interest or rights under the Loan Documents. Such financing statements may include an indication that the financing statement covers “all assets or all personal property” of such Loan Party in accordance with Section 9-504 of the Code.</w:t>
      </w:r>
    </w:p>
    <w:p>
      <w:pPr>
        <w:spacing w:after="0" w:line="129" w:lineRule="exact"/>
        <w:rPr>
          <w:sz w:val="20"/>
          <w:szCs w:val="20"/>
          <w:color w:val="auto"/>
        </w:rPr>
      </w:pPr>
    </w:p>
    <w:p>
      <w:pPr>
        <w:ind w:left="620" w:hanging="617"/>
        <w:spacing w:after="0"/>
        <w:tabs>
          <w:tab w:leader="none" w:pos="620" w:val="left"/>
        </w:tabs>
        <w:numPr>
          <w:ilvl w:val="0"/>
          <w:numId w:val="174"/>
        </w:numPr>
        <w:rPr>
          <w:rFonts w:ascii="Arial" w:cs="Arial" w:eastAsia="Arial" w:hAnsi="Arial"/>
          <w:sz w:val="19"/>
          <w:szCs w:val="19"/>
          <w:b w:val="1"/>
          <w:bCs w:val="1"/>
          <w:color w:val="auto"/>
        </w:rPr>
      </w:pPr>
      <w:r>
        <w:rPr>
          <w:rFonts w:ascii="Arial" w:cs="Arial" w:eastAsia="Arial" w:hAnsi="Arial"/>
          <w:sz w:val="19"/>
          <w:szCs w:val="19"/>
          <w:b w:val="1"/>
          <w:bCs w:val="1"/>
          <w:color w:val="auto"/>
        </w:rPr>
        <w:t>REPRESENTATIONS AND WARRANTIES</w:t>
      </w:r>
    </w:p>
    <w:p>
      <w:pPr>
        <w:spacing w:after="0" w:line="149" w:lineRule="exact"/>
        <w:rPr>
          <w:rFonts w:ascii="Arial" w:cs="Arial" w:eastAsia="Arial" w:hAnsi="Arial"/>
          <w:sz w:val="19"/>
          <w:szCs w:val="19"/>
          <w:b w:val="1"/>
          <w:bCs w:val="1"/>
          <w:color w:val="auto"/>
        </w:rPr>
      </w:pPr>
    </w:p>
    <w:p>
      <w:pPr>
        <w:ind w:left="620"/>
        <w:spacing w:after="0"/>
        <w:rPr>
          <w:rFonts w:ascii="Arial" w:cs="Arial" w:eastAsia="Arial" w:hAnsi="Arial"/>
          <w:sz w:val="19"/>
          <w:szCs w:val="19"/>
          <w:b w:val="1"/>
          <w:bCs w:val="1"/>
          <w:color w:val="auto"/>
        </w:rPr>
      </w:pPr>
      <w:r>
        <w:rPr>
          <w:rFonts w:ascii="Arial" w:cs="Arial" w:eastAsia="Arial" w:hAnsi="Arial"/>
          <w:sz w:val="19"/>
          <w:szCs w:val="19"/>
          <w:color w:val="auto"/>
        </w:rPr>
        <w:t>Borrower represents and warrants to Collateral Agent and the Lenders as follows:</w:t>
      </w:r>
    </w:p>
    <w:p>
      <w:pPr>
        <w:spacing w:after="0" w:line="150" w:lineRule="exact"/>
        <w:rPr>
          <w:sz w:val="20"/>
          <w:szCs w:val="20"/>
          <w:color w:val="auto"/>
        </w:rPr>
      </w:pPr>
    </w:p>
    <w:p>
      <w:pPr>
        <w:jc w:val="both"/>
        <w:ind w:firstLine="595"/>
        <w:spacing w:after="0" w:line="217" w:lineRule="auto"/>
        <w:rPr>
          <w:sz w:val="20"/>
          <w:szCs w:val="20"/>
          <w:color w:val="auto"/>
        </w:rPr>
      </w:pPr>
      <w:r>
        <w:rPr>
          <w:rFonts w:ascii="Arial" w:cs="Arial" w:eastAsia="Arial" w:hAnsi="Arial"/>
          <w:sz w:val="18"/>
          <w:szCs w:val="18"/>
          <w:b w:val="1"/>
          <w:bCs w:val="1"/>
          <w:color w:val="auto"/>
        </w:rPr>
        <w:t xml:space="preserve">5.1 Due Organization, Authorization: Power and Authority. </w:t>
      </w:r>
      <w:r>
        <w:rPr>
          <w:rFonts w:ascii="Arial" w:cs="Arial" w:eastAsia="Arial" w:hAnsi="Arial"/>
          <w:sz w:val="18"/>
          <w:szCs w:val="18"/>
          <w:color w:val="auto"/>
        </w:rPr>
        <w:t>Borrower and each of its Subsidiaries is duly existing and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standing as a 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so qualified except where the failure to do so could not reasonably be expected to have a Material Adverse Change. In connection with this Agreement, Borrower and each of its Subsidiaries has delivered to Collateral Agent a completed perfection certificate and any updates or supplements thereto on, before or after the Effective Date (each a “</w:t>
      </w:r>
      <w:r>
        <w:rPr>
          <w:rFonts w:ascii="Arial" w:cs="Arial" w:eastAsia="Arial" w:hAnsi="Arial"/>
          <w:sz w:val="18"/>
          <w:szCs w:val="18"/>
          <w:b w:val="1"/>
          <w:bCs w:val="1"/>
          <w:color w:val="auto"/>
        </w:rPr>
        <w:t>Perfection Certificate</w:t>
      </w:r>
      <w:r>
        <w:rPr>
          <w:rFonts w:ascii="Arial" w:cs="Arial" w:eastAsia="Arial" w:hAnsi="Arial"/>
          <w:sz w:val="18"/>
          <w:szCs w:val="18"/>
          <w:color w:val="auto"/>
        </w:rPr>
        <w:t>” and collectively, the “</w:t>
      </w:r>
      <w:r>
        <w:rPr>
          <w:rFonts w:ascii="Arial" w:cs="Arial" w:eastAsia="Arial" w:hAnsi="Arial"/>
          <w:sz w:val="18"/>
          <w:szCs w:val="18"/>
          <w:b w:val="1"/>
          <w:bCs w:val="1"/>
          <w:color w:val="auto"/>
        </w:rPr>
        <w:t>Perfection Certificates</w:t>
      </w:r>
      <w:r>
        <w:rPr>
          <w:rFonts w:ascii="Arial" w:cs="Arial" w:eastAsia="Arial" w:hAnsi="Arial"/>
          <w:sz w:val="18"/>
          <w:szCs w:val="18"/>
          <w:color w:val="auto"/>
        </w:rPr>
        <w:t>”). For the avoidance of doubt, Collateral Agent and Lenders agree that the Borrower may from time-to-time update certain information in the Perfection Certificates after the Effective Date to the extent permitted by one or more specific provisions in this Agreement. Borrower represents and warrants that all the information set forth on the Perfection Certificates pertaining to Borrower and each of its Subsidiaries is accurate and complete (other than clerical mistakes in addresses and other contact information).</w:t>
      </w:r>
    </w:p>
    <w:p>
      <w:pPr>
        <w:spacing w:after="0" w:line="137" w:lineRule="exact"/>
        <w:rPr>
          <w:sz w:val="20"/>
          <w:szCs w:val="20"/>
          <w:color w:val="auto"/>
        </w:rPr>
      </w:pPr>
    </w:p>
    <w:p>
      <w:pPr>
        <w:jc w:val="both"/>
        <w:ind w:firstLine="620"/>
        <w:spacing w:after="0" w:line="211" w:lineRule="auto"/>
        <w:rPr>
          <w:sz w:val="20"/>
          <w:szCs w:val="20"/>
          <w:color w:val="auto"/>
        </w:rPr>
      </w:pPr>
      <w:r>
        <w:rPr>
          <w:rFonts w:ascii="Arial" w:cs="Arial" w:eastAsia="Arial" w:hAnsi="Arial"/>
          <w:sz w:val="19"/>
          <w:szCs w:val="19"/>
          <w:color w:val="auto"/>
        </w:rPr>
        <w:t>The execution, delivery and performance by Borrower and each of its Subsidiaries of the Loan Documents to which it is, or they are, a party have been duly authorized, and do not (i) conflict with any of Borrower’s or such Subsidiaries’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1344" w:right="339" w:bottom="1440" w:gutter="0" w:footer="0" w:header="0"/>
        </w:sectPr>
      </w:pPr>
    </w:p>
    <w:bookmarkStart w:id="220" w:name="page221"/>
    <w:bookmarkEnd w:id="220"/>
    <w:p>
      <w:pPr>
        <w:jc w:val="both"/>
        <w:spacing w:after="0" w:line="209" w:lineRule="auto"/>
        <w:rPr>
          <w:sz w:val="20"/>
          <w:szCs w:val="20"/>
          <w:color w:val="auto"/>
        </w:rPr>
      </w:pPr>
      <w:r>
        <w:rPr>
          <w:rFonts w:ascii="Arial" w:cs="Arial" w:eastAsia="Arial" w:hAnsi="Arial"/>
          <w:sz w:val="19"/>
          <w:szCs w:val="19"/>
          <w:color w:val="auto"/>
        </w:rPr>
        <w:t>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any of its Subsidiaries or any of their respective properties, is bound. Neither Borrower nor any of its Subsidiaries is in default under any Material Agreement to which it is a party or by which it or any of its assets is bound in which such default could reasonably be expected to have a Material Adverse Change.</w:t>
      </w:r>
    </w:p>
    <w:p>
      <w:pPr>
        <w:spacing w:after="0" w:line="132" w:lineRule="exact"/>
        <w:rPr>
          <w:sz w:val="20"/>
          <w:szCs w:val="20"/>
          <w:color w:val="auto"/>
        </w:rPr>
      </w:pPr>
    </w:p>
    <w:p>
      <w:pPr>
        <w:ind w:left="600"/>
        <w:spacing w:after="0"/>
        <w:tabs>
          <w:tab w:leader="none" w:pos="1220" w:val="left"/>
        </w:tabs>
        <w:rPr>
          <w:sz w:val="20"/>
          <w:szCs w:val="20"/>
          <w:color w:val="auto"/>
        </w:rPr>
      </w:pPr>
      <w:r>
        <w:rPr>
          <w:rFonts w:ascii="Arial" w:cs="Arial" w:eastAsia="Arial" w:hAnsi="Arial"/>
          <w:sz w:val="19"/>
          <w:szCs w:val="19"/>
          <w:b w:val="1"/>
          <w:bCs w:val="1"/>
          <w:color w:val="auto"/>
        </w:rPr>
        <w:t>5.2</w:t>
      </w:r>
      <w:r>
        <w:rPr>
          <w:sz w:val="20"/>
          <w:szCs w:val="20"/>
          <w:color w:val="auto"/>
        </w:rPr>
        <w:tab/>
      </w:r>
      <w:r>
        <w:rPr>
          <w:rFonts w:ascii="Arial" w:cs="Arial" w:eastAsia="Arial" w:hAnsi="Arial"/>
          <w:sz w:val="17"/>
          <w:szCs w:val="17"/>
          <w:b w:val="1"/>
          <w:bCs w:val="1"/>
          <w:color w:val="auto"/>
        </w:rPr>
        <w:t>Collateral</w:t>
      </w:r>
      <w:r>
        <w:rPr>
          <w:rFonts w:ascii="Arial" w:cs="Arial" w:eastAsia="Arial" w:hAnsi="Arial"/>
          <w:sz w:val="17"/>
          <w:szCs w:val="17"/>
          <w:color w:val="auto"/>
        </w:rPr>
        <w:t>.</w:t>
      </w:r>
    </w:p>
    <w:p>
      <w:pPr>
        <w:spacing w:after="0" w:line="149" w:lineRule="exact"/>
        <w:rPr>
          <w:sz w:val="20"/>
          <w:szCs w:val="20"/>
          <w:color w:val="auto"/>
        </w:rPr>
      </w:pPr>
    </w:p>
    <w:p>
      <w:pPr>
        <w:jc w:val="both"/>
        <w:ind w:firstLine="1219"/>
        <w:spacing w:after="0" w:line="208" w:lineRule="auto"/>
        <w:tabs>
          <w:tab w:leader="none" w:pos="185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Borrower and each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in respect of which Borrower or such Subsidiary has given Collateral Agent notice and taken such actions as are necessary to give Collateral Agent a perfected security interest therein as required under this Agreement. The Accounts are bona fide, existing obligations of the Account Debtors.</w:t>
      </w:r>
    </w:p>
    <w:p>
      <w:pPr>
        <w:spacing w:after="0" w:line="134" w:lineRule="exact"/>
        <w:rPr>
          <w:rFonts w:ascii="Arial" w:cs="Arial" w:eastAsia="Arial" w:hAnsi="Arial"/>
          <w:sz w:val="19"/>
          <w:szCs w:val="19"/>
          <w:color w:val="auto"/>
        </w:rPr>
      </w:pPr>
    </w:p>
    <w:p>
      <w:pPr>
        <w:ind w:firstLine="1219"/>
        <w:spacing w:after="0" w:line="231" w:lineRule="auto"/>
        <w:tabs>
          <w:tab w:leader="none" w:pos="1849"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security interest granted herein is and shall at all times continue to be a first priority perfected security interest in the Collateral, subject only to Permitted Liens that, under applicable law, have priority over Collateral Agent’s Lien.</w:t>
      </w:r>
    </w:p>
    <w:p>
      <w:pPr>
        <w:spacing w:after="0" w:line="135" w:lineRule="exact"/>
        <w:rPr>
          <w:rFonts w:ascii="Arial" w:cs="Arial" w:eastAsia="Arial" w:hAnsi="Arial"/>
          <w:sz w:val="19"/>
          <w:szCs w:val="19"/>
          <w:color w:val="auto"/>
        </w:rPr>
      </w:pPr>
    </w:p>
    <w:p>
      <w:pPr>
        <w:jc w:val="both"/>
        <w:ind w:firstLine="1219"/>
        <w:spacing w:after="0" w:line="220" w:lineRule="auto"/>
        <w:tabs>
          <w:tab w:leader="none" w:pos="185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On the Effective Date, and except as disclosed on the Perfection Certificate (i) the Collateral is not in the possession of any third party bailee, and (ii) no such third party bailee possesses components of the Collateral in excess of One Million Dollars ($1,000,000.00) in book value.</w:t>
      </w:r>
    </w:p>
    <w:p>
      <w:pPr>
        <w:spacing w:after="0" w:line="122" w:lineRule="exact"/>
        <w:rPr>
          <w:rFonts w:ascii="Arial" w:cs="Arial" w:eastAsia="Arial" w:hAnsi="Arial"/>
          <w:sz w:val="19"/>
          <w:szCs w:val="19"/>
          <w:color w:val="auto"/>
        </w:rPr>
      </w:pPr>
    </w:p>
    <w:p>
      <w:pPr>
        <w:ind w:left="1860" w:hanging="641"/>
        <w:spacing w:after="0"/>
        <w:tabs>
          <w:tab w:leader="none" w:pos="18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All Inventory and Equipment is in all material respects of good and marketable quality, free from material defects.</w:t>
      </w:r>
    </w:p>
    <w:p>
      <w:pPr>
        <w:spacing w:after="0" w:line="167" w:lineRule="exact"/>
        <w:rPr>
          <w:rFonts w:ascii="Arial" w:cs="Arial" w:eastAsia="Arial" w:hAnsi="Arial"/>
          <w:sz w:val="18"/>
          <w:szCs w:val="18"/>
          <w:color w:val="auto"/>
        </w:rPr>
      </w:pPr>
    </w:p>
    <w:p>
      <w:pPr>
        <w:jc w:val="both"/>
        <w:ind w:firstLine="1219"/>
        <w:spacing w:after="0" w:line="215" w:lineRule="auto"/>
        <w:tabs>
          <w:tab w:leader="none" w:pos="185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Borrower and each of its Subsidiaries is the sole owner of the Intellectual Property (other than Intellectual Property that has no material value) each respectively purports to own, free and clear of all Liens other than Permitted Liens. Except as noted on the Perfection Certificate on the Effective Date, neither Borrower nor any of its Subsidiaries is a party to, nor is bound by, any material license or other Material Agreement.</w:t>
      </w:r>
    </w:p>
    <w:p>
      <w:pPr>
        <w:spacing w:after="0" w:line="128" w:lineRule="exact"/>
        <w:rPr>
          <w:sz w:val="20"/>
          <w:szCs w:val="20"/>
          <w:color w:val="auto"/>
        </w:rPr>
      </w:pPr>
    </w:p>
    <w:p>
      <w:pPr>
        <w:jc w:val="both"/>
        <w:ind w:firstLine="595"/>
        <w:spacing w:after="0" w:line="235" w:lineRule="auto"/>
        <w:rPr>
          <w:sz w:val="20"/>
          <w:szCs w:val="20"/>
          <w:color w:val="auto"/>
        </w:rPr>
      </w:pPr>
      <w:r>
        <w:rPr>
          <w:rFonts w:ascii="Arial" w:cs="Arial" w:eastAsia="Arial" w:hAnsi="Arial"/>
          <w:sz w:val="18"/>
          <w:szCs w:val="18"/>
          <w:b w:val="1"/>
          <w:bCs w:val="1"/>
          <w:color w:val="auto"/>
        </w:rPr>
        <w:t xml:space="preserve">5.3 Litigation. </w:t>
      </w:r>
      <w:r>
        <w:rPr>
          <w:rFonts w:ascii="Arial" w:cs="Arial" w:eastAsia="Arial" w:hAnsi="Arial"/>
          <w:sz w:val="18"/>
          <w:szCs w:val="18"/>
          <w:color w:val="auto"/>
        </w:rPr>
        <w:t>Except as disclosed on the Perfection Certificate or with respect to which Borrower has provided notice as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there are no actions, suits, investigations, or proceedings pending or, to the Knowledge of the Responsible Officers, threatened in writing by or against Borrower or any of its Subsidiaries involving more than One Million Dollars ($1,000,000.00).</w:t>
      </w:r>
    </w:p>
    <w:p>
      <w:pPr>
        <w:spacing w:after="0" w:line="116" w:lineRule="exact"/>
        <w:rPr>
          <w:sz w:val="20"/>
          <w:szCs w:val="20"/>
          <w:color w:val="auto"/>
        </w:rPr>
      </w:pPr>
    </w:p>
    <w:p>
      <w:pPr>
        <w:jc w:val="both"/>
        <w:ind w:firstLine="595"/>
        <w:spacing w:after="0" w:line="216" w:lineRule="auto"/>
        <w:rPr>
          <w:sz w:val="20"/>
          <w:szCs w:val="20"/>
          <w:color w:val="auto"/>
        </w:rPr>
      </w:pPr>
      <w:r>
        <w:rPr>
          <w:rFonts w:ascii="Arial" w:cs="Arial" w:eastAsia="Arial" w:hAnsi="Arial"/>
          <w:sz w:val="19"/>
          <w:szCs w:val="19"/>
          <w:b w:val="1"/>
          <w:bCs w:val="1"/>
          <w:color w:val="auto"/>
        </w:rPr>
        <w:t xml:space="preserve">5.4 No Material Adverse Change; Financial Statements. </w:t>
      </w:r>
      <w:r>
        <w:rPr>
          <w:rFonts w:ascii="Arial" w:cs="Arial" w:eastAsia="Arial" w:hAnsi="Arial"/>
          <w:sz w:val="19"/>
          <w:szCs w:val="19"/>
          <w:color w:val="auto"/>
        </w:rPr>
        <w:t>All consolidated financial statements for Borrower and its consolidated</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delivered to Collateral Agent fairly present, in conformity with GAAP, and in all material respects the consolidated financial condition of Borrower and its consolidated Subsidiaries, and the consolidated results of operations of Borrower and its consolidated Subsidiaries. Since December 31, 2020, there has not been a Material Adverse Change.</w:t>
      </w:r>
    </w:p>
    <w:p>
      <w:pPr>
        <w:spacing w:after="0" w:line="131" w:lineRule="exact"/>
        <w:rPr>
          <w:sz w:val="20"/>
          <w:szCs w:val="20"/>
          <w:color w:val="auto"/>
        </w:rPr>
      </w:pPr>
    </w:p>
    <w:p>
      <w:pPr>
        <w:ind w:left="600"/>
        <w:spacing w:after="0"/>
        <w:tabs>
          <w:tab w:leader="none" w:pos="1220" w:val="left"/>
        </w:tabs>
        <w:rPr>
          <w:sz w:val="20"/>
          <w:szCs w:val="20"/>
          <w:color w:val="auto"/>
        </w:rPr>
      </w:pPr>
      <w:r>
        <w:rPr>
          <w:rFonts w:ascii="Arial" w:cs="Arial" w:eastAsia="Arial" w:hAnsi="Arial"/>
          <w:sz w:val="19"/>
          <w:szCs w:val="19"/>
          <w:b w:val="1"/>
          <w:bCs w:val="1"/>
          <w:color w:val="auto"/>
        </w:rPr>
        <w:t>5.5</w:t>
      </w:r>
      <w:r>
        <w:rPr>
          <w:sz w:val="20"/>
          <w:szCs w:val="20"/>
          <w:color w:val="auto"/>
        </w:rPr>
        <w:tab/>
      </w:r>
      <w:r>
        <w:rPr>
          <w:rFonts w:ascii="Arial" w:cs="Arial" w:eastAsia="Arial" w:hAnsi="Arial"/>
          <w:sz w:val="17"/>
          <w:szCs w:val="17"/>
          <w:b w:val="1"/>
          <w:bCs w:val="1"/>
          <w:color w:val="auto"/>
        </w:rPr>
        <w:t xml:space="preserve">Solvency. </w:t>
      </w:r>
      <w:r>
        <w:rPr>
          <w:rFonts w:ascii="Arial" w:cs="Arial" w:eastAsia="Arial" w:hAnsi="Arial"/>
          <w:sz w:val="17"/>
          <w:szCs w:val="17"/>
          <w:color w:val="auto"/>
        </w:rPr>
        <w:t>Borrower is Solvent. Borrower and each of its Subsidiaries, when taken as a whole, is Solvent.</w:t>
      </w:r>
    </w:p>
    <w:p>
      <w:pPr>
        <w:spacing w:after="0" w:line="156" w:lineRule="exact"/>
        <w:rPr>
          <w:sz w:val="20"/>
          <w:szCs w:val="20"/>
          <w:color w:val="auto"/>
        </w:rPr>
      </w:pPr>
    </w:p>
    <w:p>
      <w:pPr>
        <w:jc w:val="both"/>
        <w:ind w:firstLine="595"/>
        <w:spacing w:after="0" w:line="238" w:lineRule="auto"/>
        <w:rPr>
          <w:sz w:val="20"/>
          <w:szCs w:val="20"/>
          <w:color w:val="auto"/>
        </w:rPr>
      </w:pPr>
      <w:r>
        <w:rPr>
          <w:rFonts w:ascii="Arial" w:cs="Arial" w:eastAsia="Arial" w:hAnsi="Arial"/>
          <w:sz w:val="17"/>
          <w:szCs w:val="17"/>
          <w:b w:val="1"/>
          <w:bCs w:val="1"/>
          <w:color w:val="auto"/>
        </w:rPr>
        <w:t xml:space="preserve">5.6 Regulatory Compliance. </w:t>
      </w:r>
      <w:r>
        <w:rPr>
          <w:rFonts w:ascii="Arial" w:cs="Arial" w:eastAsia="Arial" w:hAnsi="Arial"/>
          <w:sz w:val="17"/>
          <w:szCs w:val="17"/>
          <w:color w:val="auto"/>
        </w:rPr>
        <w:t>Neither Borrower nor any of its Subsidiaries is an “investment company” or a company “controlled” by</w:t>
      </w:r>
      <w:r>
        <w:rPr>
          <w:rFonts w:ascii="Arial" w:cs="Arial" w:eastAsia="Arial" w:hAnsi="Arial"/>
          <w:sz w:val="17"/>
          <w:szCs w:val="17"/>
          <w:b w:val="1"/>
          <w:bCs w:val="1"/>
          <w:color w:val="auto"/>
        </w:rPr>
        <w:t xml:space="preserve"> </w:t>
      </w:r>
      <w:r>
        <w:rPr>
          <w:rFonts w:ascii="Arial" w:cs="Arial" w:eastAsia="Arial" w:hAnsi="Arial"/>
          <w:sz w:val="17"/>
          <w:szCs w:val="17"/>
          <w:color w:val="auto"/>
        </w:rPr>
        <w:t>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40"/>
          </w:cols>
          <w:pgMar w:left="320" w:top="1351" w:right="339" w:bottom="1440" w:gutter="0" w:footer="0" w:header="0"/>
        </w:sectPr>
      </w:pPr>
    </w:p>
    <w:bookmarkStart w:id="221" w:name="page222"/>
    <w:bookmarkEnd w:id="221"/>
    <w:p>
      <w:pPr>
        <w:jc w:val="both"/>
        <w:spacing w:after="0" w:line="221" w:lineRule="auto"/>
        <w:rPr>
          <w:sz w:val="20"/>
          <w:szCs w:val="20"/>
          <w:color w:val="auto"/>
        </w:rPr>
      </w:pPr>
      <w:r>
        <w:rPr>
          <w:rFonts w:ascii="Arial" w:cs="Arial" w:eastAsia="Arial" w:hAnsi="Arial"/>
          <w:sz w:val="18"/>
          <w:szCs w:val="18"/>
          <w:color w:val="auto"/>
        </w:rPr>
        <w:t>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36" w:lineRule="exact"/>
        <w:rPr>
          <w:sz w:val="20"/>
          <w:szCs w:val="20"/>
          <w:color w:val="auto"/>
        </w:rPr>
      </w:pPr>
    </w:p>
    <w:p>
      <w:pPr>
        <w:jc w:val="both"/>
        <w:ind w:firstLine="620"/>
        <w:spacing w:after="0" w:line="219" w:lineRule="auto"/>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w:t>
      </w:r>
    </w:p>
    <w:p>
      <w:pPr>
        <w:jc w:val="both"/>
        <w:ind w:firstLine="3"/>
        <w:spacing w:after="0" w:line="218" w:lineRule="auto"/>
        <w:tabs>
          <w:tab w:leader="none" w:pos="28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16" w:lineRule="exact"/>
        <w:rPr>
          <w:sz w:val="20"/>
          <w:szCs w:val="20"/>
          <w:color w:val="auto"/>
        </w:rPr>
      </w:pPr>
    </w:p>
    <w:p>
      <w:pPr>
        <w:jc w:val="both"/>
        <w:ind w:firstLine="595"/>
        <w:spacing w:after="0" w:line="234" w:lineRule="auto"/>
        <w:rPr>
          <w:sz w:val="20"/>
          <w:szCs w:val="20"/>
          <w:color w:val="auto"/>
        </w:rPr>
      </w:pPr>
      <w:r>
        <w:rPr>
          <w:rFonts w:ascii="Arial" w:cs="Arial" w:eastAsia="Arial" w:hAnsi="Arial"/>
          <w:sz w:val="19"/>
          <w:szCs w:val="19"/>
          <w:b w:val="1"/>
          <w:bCs w:val="1"/>
          <w:color w:val="auto"/>
        </w:rPr>
        <w:t xml:space="preserve">5.7 Investments. </w:t>
      </w:r>
      <w:r>
        <w:rPr>
          <w:rFonts w:ascii="Arial" w:cs="Arial" w:eastAsia="Arial" w:hAnsi="Arial"/>
          <w:sz w:val="19"/>
          <w:szCs w:val="19"/>
          <w:color w:val="auto"/>
        </w:rPr>
        <w:t>Neither Borrower nor any of its Subsidiaries owns any stock, shares, partnership interests or other equity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for Permitted Investments.</w:t>
      </w:r>
    </w:p>
    <w:p>
      <w:pPr>
        <w:spacing w:after="0" w:line="130" w:lineRule="exact"/>
        <w:rPr>
          <w:sz w:val="20"/>
          <w:szCs w:val="20"/>
          <w:color w:val="auto"/>
        </w:rPr>
      </w:pPr>
    </w:p>
    <w:p>
      <w:pPr>
        <w:jc w:val="both"/>
        <w:ind w:firstLine="595"/>
        <w:spacing w:after="0" w:line="214" w:lineRule="auto"/>
        <w:rPr>
          <w:sz w:val="20"/>
          <w:szCs w:val="20"/>
          <w:color w:val="auto"/>
        </w:rPr>
      </w:pPr>
      <w:r>
        <w:rPr>
          <w:rFonts w:ascii="Arial" w:cs="Arial" w:eastAsia="Arial" w:hAnsi="Arial"/>
          <w:sz w:val="18"/>
          <w:szCs w:val="18"/>
          <w:b w:val="1"/>
          <w:bCs w:val="1"/>
          <w:color w:val="auto"/>
        </w:rPr>
        <w:t xml:space="preserve">5.8 Tax Returns and Payments; Pension Contributions. </w:t>
      </w:r>
      <w:r>
        <w:rPr>
          <w:rFonts w:ascii="Arial" w:cs="Arial" w:eastAsia="Arial" w:hAnsi="Arial"/>
          <w:sz w:val="18"/>
          <w:szCs w:val="18"/>
          <w:color w:val="auto"/>
        </w:rPr>
        <w:t>Borrower and each of its Subsidiaries have timely filed all required tax</w:t>
      </w:r>
      <w:r>
        <w:rPr>
          <w:rFonts w:ascii="Arial" w:cs="Arial" w:eastAsia="Arial" w:hAnsi="Arial"/>
          <w:sz w:val="18"/>
          <w:szCs w:val="18"/>
          <w:b w:val="1"/>
          <w:bCs w:val="1"/>
          <w:color w:val="auto"/>
        </w:rPr>
        <w:t xml:space="preserve"> </w:t>
      </w:r>
      <w:r>
        <w:rPr>
          <w:rFonts w:ascii="Arial" w:cs="Arial" w:eastAsia="Arial" w:hAnsi="Arial"/>
          <w:sz w:val="18"/>
          <w:szCs w:val="18"/>
          <w:color w:val="auto"/>
        </w:rPr>
        <w:t>returns and reports (or extensions thereof), and Borrower and each of its Subsidiaries have timely paid all foreign, federal, state, and local Taxes, assessments, deposits and contributions owed by Borrower and such Subsidiaries in an amount greater than Fifty Thousand Dollars ($50,000.00), in all jurisdictions in which Borrower or any such Subsidiary is subject to Taxes, including the United States, unless such Taxes are being contested in accordance with the next sentence.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of the commencement of, and any material development in, the proceeding; and (c) maintains adequate reserves or other appropriate provisions on its books in accordance with GAAP, provided, further, that such action would not involve, in the reasonable judgment of Collateral Agent, any risk of the sale, forfeiture or loss of any material portion of the Collateral. Neither Borrower nor any of its Subsidiaries is aware of any claims or adjustments proposed for any of Borrower’s or such Subsidiary’s prior Tax years which could result in additional Taxes greater than Fifty Thousand Dollars ($50,000.00)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has withdrawn from participation in, has permitted partial or complete termination of, or has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35" w:lineRule="exact"/>
        <w:rPr>
          <w:sz w:val="20"/>
          <w:szCs w:val="20"/>
          <w:color w:val="auto"/>
        </w:rPr>
      </w:pPr>
    </w:p>
    <w:p>
      <w:pPr>
        <w:jc w:val="both"/>
        <w:ind w:firstLine="595"/>
        <w:spacing w:after="0" w:line="222" w:lineRule="auto"/>
        <w:rPr>
          <w:sz w:val="20"/>
          <w:szCs w:val="20"/>
          <w:color w:val="auto"/>
        </w:rPr>
      </w:pPr>
      <w:r>
        <w:rPr>
          <w:rFonts w:ascii="Arial" w:cs="Arial" w:eastAsia="Arial" w:hAnsi="Arial"/>
          <w:sz w:val="19"/>
          <w:szCs w:val="19"/>
          <w:b w:val="1"/>
          <w:bCs w:val="1"/>
          <w:color w:val="auto"/>
        </w:rPr>
        <w:t xml:space="preserve">5.9 Use of Proceeds. </w:t>
      </w:r>
      <w:r>
        <w:rPr>
          <w:rFonts w:ascii="Arial" w:cs="Arial" w:eastAsia="Arial" w:hAnsi="Arial"/>
          <w:sz w:val="19"/>
          <w:szCs w:val="19"/>
          <w:color w:val="auto"/>
        </w:rPr>
        <w:t>Borrower shall use the proceeds of the Term Loans to repay existing Indebtedness, as working capital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limitation, to fund Permitted Acquisitions) and to fund its general business requirements, and not for personal, family, household or agricultural purposes.</w:t>
      </w:r>
    </w:p>
    <w:p>
      <w:pPr>
        <w:spacing w:after="0" w:line="117" w:lineRule="exact"/>
        <w:rPr>
          <w:sz w:val="20"/>
          <w:szCs w:val="20"/>
          <w:color w:val="auto"/>
        </w:rPr>
      </w:pPr>
    </w:p>
    <w:p>
      <w:pPr>
        <w:jc w:val="both"/>
        <w:ind w:firstLine="595"/>
        <w:spacing w:after="0" w:line="210" w:lineRule="auto"/>
        <w:rPr>
          <w:sz w:val="20"/>
          <w:szCs w:val="20"/>
          <w:color w:val="auto"/>
        </w:rPr>
      </w:pPr>
      <w:r>
        <w:rPr>
          <w:rFonts w:ascii="Arial" w:cs="Arial" w:eastAsia="Arial" w:hAnsi="Arial"/>
          <w:sz w:val="19"/>
          <w:szCs w:val="19"/>
          <w:b w:val="1"/>
          <w:bCs w:val="1"/>
          <w:color w:val="auto"/>
        </w:rPr>
        <w:t xml:space="preserve">5.10 Full Disclosure. </w:t>
      </w:r>
      <w:r>
        <w:rPr>
          <w:rFonts w:ascii="Arial" w:cs="Arial" w:eastAsia="Arial" w:hAnsi="Arial"/>
          <w:sz w:val="19"/>
          <w:szCs w:val="19"/>
          <w:color w:val="auto"/>
        </w:rPr>
        <w:t>No written representation, warranty or other statement of Borrower or any of its Subsidiaries in any certificate or</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statement, when taken as a whole,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projections and forecasts provided by Borrower in good faith and based upon reasonable assumptions are not viewed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40"/>
          </w:cols>
          <w:pgMar w:left="320" w:top="1350" w:right="339" w:bottom="1440" w:gutter="0" w:footer="0" w:header="0"/>
        </w:sectPr>
      </w:pPr>
    </w:p>
    <w:bookmarkStart w:id="222" w:name="page223"/>
    <w:bookmarkEnd w:id="222"/>
    <w:p>
      <w:pPr>
        <w:spacing w:after="0" w:line="231" w:lineRule="auto"/>
        <w:rPr>
          <w:sz w:val="20"/>
          <w:szCs w:val="20"/>
          <w:color w:val="auto"/>
        </w:rPr>
      </w:pPr>
      <w:r>
        <w:rPr>
          <w:rFonts w:ascii="Arial" w:cs="Arial" w:eastAsia="Arial" w:hAnsi="Arial"/>
          <w:sz w:val="19"/>
          <w:szCs w:val="19"/>
          <w:color w:val="auto"/>
        </w:rPr>
        <w:t>as facts and that actual results during the period or periods covered by such projections and forecasts may differ from the projected or forecasted results).</w:t>
      </w:r>
    </w:p>
    <w:p>
      <w:pPr>
        <w:spacing w:after="0" w:line="129" w:lineRule="exact"/>
        <w:rPr>
          <w:sz w:val="20"/>
          <w:szCs w:val="20"/>
          <w:color w:val="auto"/>
        </w:rPr>
      </w:pPr>
    </w:p>
    <w:p>
      <w:pPr>
        <w:ind w:left="600"/>
        <w:spacing w:after="0"/>
        <w:tabs>
          <w:tab w:leader="none" w:pos="1200" w:val="left"/>
        </w:tabs>
        <w:rPr>
          <w:sz w:val="20"/>
          <w:szCs w:val="20"/>
          <w:color w:val="auto"/>
        </w:rPr>
      </w:pPr>
      <w:r>
        <w:rPr>
          <w:rFonts w:ascii="Arial" w:cs="Arial" w:eastAsia="Arial" w:hAnsi="Arial"/>
          <w:sz w:val="19"/>
          <w:szCs w:val="19"/>
          <w:b w:val="1"/>
          <w:bCs w:val="1"/>
          <w:color w:val="auto"/>
        </w:rPr>
        <w:t>5.11</w:t>
      </w:r>
      <w:r>
        <w:rPr>
          <w:sz w:val="20"/>
          <w:szCs w:val="20"/>
          <w:color w:val="auto"/>
        </w:rPr>
        <w:tab/>
      </w:r>
      <w:r>
        <w:rPr>
          <w:rFonts w:ascii="Arial" w:cs="Arial" w:eastAsia="Arial" w:hAnsi="Arial"/>
          <w:sz w:val="16"/>
          <w:szCs w:val="16"/>
          <w:b w:val="1"/>
          <w:bCs w:val="1"/>
          <w:color w:val="auto"/>
        </w:rPr>
        <w:t>[Reserved].</w:t>
      </w:r>
    </w:p>
    <w:p>
      <w:pPr>
        <w:spacing w:after="0" w:line="143" w:lineRule="exact"/>
        <w:rPr>
          <w:sz w:val="20"/>
          <w:szCs w:val="20"/>
          <w:color w:val="auto"/>
        </w:rPr>
      </w:pPr>
    </w:p>
    <w:p>
      <w:pPr>
        <w:ind w:left="600"/>
        <w:spacing w:after="0"/>
        <w:tabs>
          <w:tab w:leader="none" w:pos="1220" w:val="left"/>
        </w:tabs>
        <w:rPr>
          <w:sz w:val="20"/>
          <w:szCs w:val="20"/>
          <w:color w:val="auto"/>
        </w:rPr>
      </w:pPr>
      <w:r>
        <w:rPr>
          <w:rFonts w:ascii="Arial" w:cs="Arial" w:eastAsia="Arial" w:hAnsi="Arial"/>
          <w:sz w:val="19"/>
          <w:szCs w:val="19"/>
          <w:b w:val="1"/>
          <w:bCs w:val="1"/>
          <w:color w:val="auto"/>
        </w:rPr>
        <w:t>5.12</w:t>
      </w:r>
      <w:r>
        <w:rPr>
          <w:sz w:val="20"/>
          <w:szCs w:val="20"/>
          <w:color w:val="auto"/>
        </w:rPr>
        <w:tab/>
      </w:r>
      <w:r>
        <w:rPr>
          <w:rFonts w:ascii="Arial" w:cs="Arial" w:eastAsia="Arial" w:hAnsi="Arial"/>
          <w:sz w:val="17"/>
          <w:szCs w:val="17"/>
          <w:b w:val="1"/>
          <w:bCs w:val="1"/>
          <w:color w:val="auto"/>
        </w:rPr>
        <w:t>Healthcare Regulatory Matters.</w:t>
      </w:r>
    </w:p>
    <w:p>
      <w:pPr>
        <w:spacing w:after="0" w:line="162" w:lineRule="exact"/>
        <w:rPr>
          <w:sz w:val="20"/>
          <w:szCs w:val="20"/>
          <w:color w:val="auto"/>
        </w:rPr>
      </w:pPr>
    </w:p>
    <w:p>
      <w:pPr>
        <w:jc w:val="both"/>
        <w:ind w:firstLine="1219"/>
        <w:spacing w:after="0" w:line="231" w:lineRule="auto"/>
        <w:tabs>
          <w:tab w:leader="none" w:pos="1852" w:val="left"/>
        </w:tabs>
        <w:numPr>
          <w:ilvl w:val="1"/>
          <w:numId w:val="177"/>
        </w:numPr>
        <w:rPr>
          <w:rFonts w:ascii="Arial" w:cs="Arial" w:eastAsia="Arial" w:hAnsi="Arial"/>
          <w:sz w:val="17"/>
          <w:szCs w:val="17"/>
          <w:color w:val="auto"/>
        </w:rPr>
      </w:pPr>
      <w:r>
        <w:rPr>
          <w:rFonts w:ascii="Arial" w:cs="Arial" w:eastAsia="Arial" w:hAnsi="Arial"/>
          <w:sz w:val="17"/>
          <w:szCs w:val="17"/>
          <w:color w:val="auto"/>
        </w:rPr>
        <w:t>Borrower and each Subsidiary is in compliance with all applicable Healthcare Laws, the noncompliance with which could reasonably be expected to have a Material Adverse Change, and, during the past three (3) years, to Borrower’s knowledge, none of Borrower or its Subsidiaries have engaged in activities which are, as applicable, cause for civil penalties, or mandatory or permissive exclusion from any Governmental Payor which could reasonably be expected to have a Material Adverse Change. Without limiting the generality of the foregoing, during the past three (3) years, none of Borrower or its Subsidiaries has received written notice by a Governmental Authority of any violation (or of any investigation, audit, or other proceeding involving allegations of any violation) of any Healthcare Laws which could reasonably be expected to have a Material Adverse Change, and no such investigation, inspection, audit or other proceeding involving allegations of any such violation is, to Borrower’s Knowledge, threatened in writing or contemplated which could reasonably be expected to have a Material Adverse Change.</w:t>
      </w:r>
    </w:p>
    <w:p>
      <w:pPr>
        <w:spacing w:after="0" w:line="135" w:lineRule="exact"/>
        <w:rPr>
          <w:rFonts w:ascii="Arial" w:cs="Arial" w:eastAsia="Arial" w:hAnsi="Arial"/>
          <w:sz w:val="17"/>
          <w:szCs w:val="17"/>
          <w:color w:val="auto"/>
        </w:rPr>
      </w:pPr>
    </w:p>
    <w:p>
      <w:pPr>
        <w:jc w:val="both"/>
        <w:ind w:firstLine="1219"/>
        <w:spacing w:after="0" w:line="208" w:lineRule="auto"/>
        <w:tabs>
          <w:tab w:leader="none" w:pos="1849" w:val="left"/>
        </w:tabs>
        <w:numPr>
          <w:ilvl w:val="1"/>
          <w:numId w:val="177"/>
        </w:numPr>
        <w:rPr>
          <w:rFonts w:ascii="Arial" w:cs="Arial" w:eastAsia="Arial" w:hAnsi="Arial"/>
          <w:sz w:val="19"/>
          <w:szCs w:val="19"/>
          <w:color w:val="auto"/>
        </w:rPr>
      </w:pPr>
      <w:r>
        <w:rPr>
          <w:rFonts w:ascii="Arial" w:cs="Arial" w:eastAsia="Arial" w:hAnsi="Arial"/>
          <w:sz w:val="19"/>
          <w:szCs w:val="19"/>
          <w:color w:val="auto"/>
        </w:rPr>
        <w:t>Borrower and each Subsidiary, and its respective officers, directors, and employees are not and, during the past three (3) years, has not been, excluded, debarred, suspended or otherwise ineligible to participate in any Governmental Payor where the same could reasonably be expected to have a Material Adverse Change, and no such action is pending or, to Borrower’s Knowledge, threatened in writing. None of the Borrower or its Subsidiaries: (i) is a party to or has any reporting obligations under a corporate integrity agreement, deferred or non-prosecution agreement, monitoring agreement, consent decree, settlement order, or any similar agreement with any Governmental Authority; or (ii) during the past three (3) years, has made or been the subject of any submissions pursuant to the Office of Inspector General’s Self Disclosure Protocol.</w:t>
      </w:r>
    </w:p>
    <w:p>
      <w:pPr>
        <w:spacing w:after="0" w:line="115" w:lineRule="exact"/>
        <w:rPr>
          <w:rFonts w:ascii="Arial" w:cs="Arial" w:eastAsia="Arial" w:hAnsi="Arial"/>
          <w:sz w:val="19"/>
          <w:szCs w:val="19"/>
          <w:color w:val="auto"/>
        </w:rPr>
      </w:pPr>
    </w:p>
    <w:p>
      <w:pPr>
        <w:ind w:left="620" w:hanging="617"/>
        <w:spacing w:after="0"/>
        <w:tabs>
          <w:tab w:leader="none" w:pos="620" w:val="left"/>
        </w:tabs>
        <w:numPr>
          <w:ilvl w:val="0"/>
          <w:numId w:val="178"/>
        </w:numPr>
        <w:rPr>
          <w:rFonts w:ascii="Arial" w:cs="Arial" w:eastAsia="Arial" w:hAnsi="Arial"/>
          <w:sz w:val="19"/>
          <w:szCs w:val="19"/>
          <w:b w:val="1"/>
          <w:bCs w:val="1"/>
          <w:color w:val="auto"/>
        </w:rPr>
      </w:pPr>
      <w:r>
        <w:rPr>
          <w:rFonts w:ascii="Arial" w:cs="Arial" w:eastAsia="Arial" w:hAnsi="Arial"/>
          <w:sz w:val="19"/>
          <w:szCs w:val="19"/>
          <w:b w:val="1"/>
          <w:bCs w:val="1"/>
          <w:color w:val="auto"/>
        </w:rPr>
        <w:t>AFFIRMATIVE COVENANTS</w:t>
      </w:r>
    </w:p>
    <w:p>
      <w:pPr>
        <w:spacing w:after="0" w:line="162" w:lineRule="exact"/>
        <w:rPr>
          <w:rFonts w:ascii="Arial" w:cs="Arial" w:eastAsia="Arial" w:hAnsi="Arial"/>
          <w:sz w:val="19"/>
          <w:szCs w:val="19"/>
          <w:b w:val="1"/>
          <w:bCs w:val="1"/>
          <w:color w:val="auto"/>
        </w:rPr>
      </w:pPr>
    </w:p>
    <w:p>
      <w:pPr>
        <w:ind w:left="620"/>
        <w:spacing w:after="0"/>
        <w:rPr>
          <w:rFonts w:ascii="Arial" w:cs="Arial" w:eastAsia="Arial" w:hAnsi="Arial"/>
          <w:sz w:val="19"/>
          <w:szCs w:val="19"/>
          <w:b w:val="1"/>
          <w:bCs w:val="1"/>
          <w:color w:val="auto"/>
        </w:rPr>
      </w:pPr>
      <w:r>
        <w:rPr>
          <w:rFonts w:ascii="Arial" w:cs="Arial" w:eastAsia="Arial" w:hAnsi="Arial"/>
          <w:sz w:val="19"/>
          <w:szCs w:val="19"/>
          <w:color w:val="auto"/>
        </w:rPr>
        <w:t>Borrower shall, and shall cause each of its Subsidiaries to, do all of the following:</w:t>
      </w:r>
    </w:p>
    <w:p>
      <w:pPr>
        <w:spacing w:after="0" w:line="150" w:lineRule="exact"/>
        <w:rPr>
          <w:rFonts w:ascii="Arial" w:cs="Arial" w:eastAsia="Arial" w:hAnsi="Arial"/>
          <w:sz w:val="19"/>
          <w:szCs w:val="19"/>
          <w:b w:val="1"/>
          <w:bCs w:val="1"/>
          <w:color w:val="auto"/>
        </w:rPr>
      </w:pPr>
    </w:p>
    <w:p>
      <w:pPr>
        <w:ind w:left="60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6.1</w:t>
      </w:r>
      <w:r>
        <w:rPr>
          <w:rFonts w:ascii="Arial" w:cs="Arial" w:eastAsia="Arial" w:hAnsi="Arial"/>
          <w:sz w:val="17"/>
          <w:szCs w:val="17"/>
          <w:b w:val="1"/>
          <w:bCs w:val="1"/>
          <w:color w:val="auto"/>
        </w:rPr>
        <w:t>Government Compliance</w:t>
      </w:r>
      <w:r>
        <w:rPr>
          <w:rFonts w:ascii="Arial" w:cs="Arial" w:eastAsia="Arial" w:hAnsi="Arial"/>
          <w:sz w:val="17"/>
          <w:szCs w:val="17"/>
          <w:color w:val="auto"/>
        </w:rPr>
        <w:t>.</w:t>
      </w:r>
    </w:p>
    <w:p>
      <w:pPr>
        <w:spacing w:after="0" w:line="149" w:lineRule="exact"/>
        <w:rPr>
          <w:rFonts w:ascii="Arial" w:cs="Arial" w:eastAsia="Arial" w:hAnsi="Arial"/>
          <w:sz w:val="19"/>
          <w:szCs w:val="19"/>
          <w:b w:val="1"/>
          <w:bCs w:val="1"/>
          <w:color w:val="auto"/>
        </w:rPr>
      </w:pPr>
    </w:p>
    <w:p>
      <w:pPr>
        <w:jc w:val="both"/>
        <w:ind w:firstLine="1219"/>
        <w:spacing w:after="0"/>
        <w:tabs>
          <w:tab w:leader="none" w:pos="1852" w:val="left"/>
        </w:tabs>
        <w:numPr>
          <w:ilvl w:val="1"/>
          <w:numId w:val="178"/>
        </w:numPr>
        <w:rPr>
          <w:rFonts w:ascii="Arial" w:cs="Arial" w:eastAsia="Arial" w:hAnsi="Arial"/>
          <w:sz w:val="17"/>
          <w:szCs w:val="17"/>
          <w:color w:val="auto"/>
        </w:rPr>
      </w:pPr>
      <w:r>
        <w:rPr>
          <w:rFonts w:ascii="Arial" w:cs="Arial" w:eastAsia="Arial" w:hAnsi="Arial"/>
          <w:sz w:val="17"/>
          <w:szCs w:val="17"/>
          <w:color w:val="auto"/>
        </w:rPr>
        <w:t>Other than specifically permitted hereunder, 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including all Healthcare Laws, to which Borrower or any of its Subsidiaries is subject, the noncompliance with which could reasonably be expected to have a Material Adverse Change.</w:t>
      </w:r>
    </w:p>
    <w:p>
      <w:pPr>
        <w:spacing w:after="0" w:line="135" w:lineRule="exact"/>
        <w:rPr>
          <w:rFonts w:ascii="Arial" w:cs="Arial" w:eastAsia="Arial" w:hAnsi="Arial"/>
          <w:sz w:val="17"/>
          <w:szCs w:val="17"/>
          <w:color w:val="auto"/>
        </w:rPr>
      </w:pPr>
    </w:p>
    <w:p>
      <w:pPr>
        <w:jc w:val="both"/>
        <w:ind w:firstLine="1219"/>
        <w:spacing w:after="0" w:line="220" w:lineRule="auto"/>
        <w:tabs>
          <w:tab w:leader="none" w:pos="1849" w:val="left"/>
        </w:tabs>
        <w:numPr>
          <w:ilvl w:val="1"/>
          <w:numId w:val="178"/>
        </w:numPr>
        <w:rPr>
          <w:rFonts w:ascii="Arial" w:cs="Arial" w:eastAsia="Arial" w:hAnsi="Arial"/>
          <w:sz w:val="19"/>
          <w:szCs w:val="19"/>
          <w:color w:val="auto"/>
        </w:rPr>
      </w:pPr>
      <w:r>
        <w:rPr>
          <w:rFonts w:ascii="Arial" w:cs="Arial" w:eastAsia="Arial" w:hAnsi="Arial"/>
          <w:sz w:val="19"/>
          <w:szCs w:val="19"/>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Secured Parties, in all of the Collateral.</w:t>
      </w:r>
    </w:p>
    <w:p>
      <w:pPr>
        <w:spacing w:after="0" w:line="130" w:lineRule="exact"/>
        <w:rPr>
          <w:sz w:val="20"/>
          <w:szCs w:val="20"/>
          <w:color w:val="auto"/>
        </w:rPr>
      </w:pPr>
    </w:p>
    <w:p>
      <w:pPr>
        <w:ind w:left="600"/>
        <w:spacing w:after="0"/>
        <w:tabs>
          <w:tab w:leader="none" w:pos="1220" w:val="left"/>
        </w:tabs>
        <w:rPr>
          <w:sz w:val="20"/>
          <w:szCs w:val="20"/>
          <w:color w:val="auto"/>
        </w:rPr>
      </w:pPr>
      <w:r>
        <w:rPr>
          <w:rFonts w:ascii="Arial" w:cs="Arial" w:eastAsia="Arial" w:hAnsi="Arial"/>
          <w:sz w:val="19"/>
          <w:szCs w:val="19"/>
          <w:b w:val="1"/>
          <w:bCs w:val="1"/>
          <w:color w:val="auto"/>
        </w:rPr>
        <w:t>6.2</w:t>
      </w:r>
      <w:r>
        <w:rPr>
          <w:sz w:val="20"/>
          <w:szCs w:val="20"/>
          <w:color w:val="auto"/>
        </w:rPr>
        <w:tab/>
      </w:r>
      <w:r>
        <w:rPr>
          <w:rFonts w:ascii="Arial" w:cs="Arial" w:eastAsia="Arial" w:hAnsi="Arial"/>
          <w:sz w:val="16"/>
          <w:szCs w:val="16"/>
          <w:b w:val="1"/>
          <w:bCs w:val="1"/>
          <w:color w:val="auto"/>
        </w:rPr>
        <w:t>Financial Statements, Reports, Certificates; Notices</w:t>
      </w:r>
      <w:r>
        <w:rPr>
          <w:rFonts w:ascii="Arial" w:cs="Arial" w:eastAsia="Arial" w:hAnsi="Arial"/>
          <w:sz w:val="16"/>
          <w:szCs w:val="16"/>
          <w:color w:val="auto"/>
        </w:rPr>
        <w:t>.</w:t>
      </w:r>
    </w:p>
    <w:p>
      <w:pPr>
        <w:spacing w:after="0" w:line="149" w:lineRule="exact"/>
        <w:rPr>
          <w:sz w:val="20"/>
          <w:szCs w:val="20"/>
          <w:color w:val="auto"/>
        </w:rPr>
      </w:pPr>
    </w:p>
    <w:p>
      <w:pPr>
        <w:ind w:left="1860" w:hanging="641"/>
        <w:spacing w:after="0"/>
        <w:tabs>
          <w:tab w:leader="none" w:pos="186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Deliver to Collateral Agent:</w:t>
      </w:r>
    </w:p>
    <w:p>
      <w:pPr>
        <w:spacing w:after="0" w:line="156" w:lineRule="exact"/>
        <w:rPr>
          <w:rFonts w:ascii="Arial" w:cs="Arial" w:eastAsia="Arial" w:hAnsi="Arial"/>
          <w:sz w:val="19"/>
          <w:szCs w:val="19"/>
          <w:color w:val="auto"/>
        </w:rPr>
      </w:pPr>
    </w:p>
    <w:p>
      <w:pPr>
        <w:jc w:val="both"/>
        <w:ind w:firstLine="1864"/>
        <w:spacing w:after="0" w:line="227" w:lineRule="auto"/>
        <w:tabs>
          <w:tab w:leader="none" w:pos="2479"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a company prepared consolidated and, if prepared by Borrower or if reasonably requested by the Lenders, consolidating balance sheet, and income statement, subject to quarter- and year-end adjustments and the absence of footnotes, covering the consolidated operations of Borrower and its consolidated Subsidiaries for such month certified by a Responsible Officer and in a form reasonably acceptable to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1350" w:right="339" w:bottom="1440" w:gutter="0" w:footer="0" w:header="0"/>
        </w:sectPr>
      </w:pPr>
    </w:p>
    <w:bookmarkStart w:id="223" w:name="page224"/>
    <w:bookmarkEnd w:id="223"/>
    <w:p>
      <w:pPr>
        <w:jc w:val="both"/>
        <w:ind w:firstLine="1864"/>
        <w:spacing w:after="0" w:line="215" w:lineRule="auto"/>
        <w:tabs>
          <w:tab w:leader="none" w:pos="2479" w:val="left"/>
        </w:tabs>
        <w:numPr>
          <w:ilvl w:val="1"/>
          <w:numId w:val="180"/>
        </w:numPr>
        <w:rPr>
          <w:rFonts w:ascii="Arial" w:cs="Arial" w:eastAsia="Arial" w:hAnsi="Arial"/>
          <w:sz w:val="19"/>
          <w:szCs w:val="19"/>
          <w:color w:val="auto"/>
        </w:rPr>
      </w:pPr>
      <w:r>
        <w:rPr>
          <w:rFonts w:ascii="Arial" w:cs="Arial" w:eastAsia="Arial" w:hAnsi="Arial"/>
          <w:sz w:val="19"/>
          <w:szCs w:val="19"/>
          <w:color w:val="auto"/>
        </w:rPr>
        <w:t>as soon as available, but no later than forty-five (45) days after the last day of each of Borrower’s fiscal quarters, a company prepared consolidated and, if prepared by Borrower or if reasonably requested by the Lenders, consolidating balance sheet, income statement and cash flow statement covering the consolidated operations of Borrower and its consolidated Subsidiaries for such fiscal quarter certified by a Responsible Officer and in a form reasonably acceptable to the Collateral Agent;</w:t>
      </w:r>
    </w:p>
    <w:p>
      <w:pPr>
        <w:spacing w:after="0" w:line="134" w:lineRule="exact"/>
        <w:rPr>
          <w:rFonts w:ascii="Arial" w:cs="Arial" w:eastAsia="Arial" w:hAnsi="Arial"/>
          <w:sz w:val="19"/>
          <w:szCs w:val="19"/>
          <w:color w:val="auto"/>
        </w:rPr>
      </w:pPr>
    </w:p>
    <w:p>
      <w:pPr>
        <w:jc w:val="both"/>
        <w:ind w:firstLine="1864"/>
        <w:spacing w:after="0" w:line="215" w:lineRule="auto"/>
        <w:tabs>
          <w:tab w:leader="none" w:pos="2480" w:val="left"/>
        </w:tabs>
        <w:numPr>
          <w:ilvl w:val="1"/>
          <w:numId w:val="180"/>
        </w:numPr>
        <w:rPr>
          <w:rFonts w:ascii="Arial" w:cs="Arial" w:eastAsia="Arial" w:hAnsi="Arial"/>
          <w:sz w:val="19"/>
          <w:szCs w:val="19"/>
          <w:color w:val="auto"/>
        </w:rPr>
      </w:pPr>
      <w:r>
        <w:rPr>
          <w:rFonts w:ascii="Arial" w:cs="Arial" w:eastAsia="Arial" w:hAnsi="Arial"/>
          <w:sz w:val="19"/>
          <w:szCs w:val="19"/>
          <w:color w:val="auto"/>
        </w:rPr>
        <w:t>as soon as available, but no later than ninety (90) days after the last day of Borrower’s fiscal year or within five (5) days of filing of the same with the SEC, audited consolidated financial statements covering the consolidated operations of Borrower and its consolidated Subsidiaries for such fiscal year, prepared under GAAP, consistently applied, together with an Unqualified Opinion on the financial statements;</w:t>
      </w:r>
    </w:p>
    <w:p>
      <w:pPr>
        <w:spacing w:after="0" w:line="121" w:lineRule="exact"/>
        <w:rPr>
          <w:rFonts w:ascii="Arial" w:cs="Arial" w:eastAsia="Arial" w:hAnsi="Arial"/>
          <w:sz w:val="19"/>
          <w:szCs w:val="19"/>
          <w:color w:val="auto"/>
        </w:rPr>
      </w:pPr>
    </w:p>
    <w:p>
      <w:pPr>
        <w:ind w:left="2480" w:hanging="616"/>
        <w:spacing w:after="0"/>
        <w:tabs>
          <w:tab w:leader="none" w:pos="248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as soon as available after approval thereof by Borrower’s board of directors, but no later than the earlier of (x) ten</w:t>
      </w:r>
    </w:p>
    <w:p>
      <w:pPr>
        <w:spacing w:after="0" w:line="1" w:lineRule="exact"/>
        <w:rPr>
          <w:rFonts w:ascii="Arial" w:cs="Arial" w:eastAsia="Arial" w:hAnsi="Arial"/>
          <w:sz w:val="17"/>
          <w:szCs w:val="17"/>
          <w:color w:val="auto"/>
        </w:rPr>
      </w:pPr>
    </w:p>
    <w:p>
      <w:pPr>
        <w:jc w:val="both"/>
        <w:ind w:firstLine="3"/>
        <w:spacing w:after="0" w:line="214" w:lineRule="auto"/>
        <w:tabs>
          <w:tab w:leader="none" w:pos="395" w:val="left"/>
        </w:tabs>
        <w:numPr>
          <w:ilvl w:val="0"/>
          <w:numId w:val="181"/>
        </w:numPr>
        <w:rPr>
          <w:rFonts w:ascii="Arial" w:cs="Arial" w:eastAsia="Arial" w:hAnsi="Arial"/>
          <w:sz w:val="19"/>
          <w:szCs w:val="19"/>
          <w:color w:val="auto"/>
        </w:rPr>
      </w:pPr>
      <w:r>
        <w:rPr>
          <w:rFonts w:ascii="Arial" w:cs="Arial" w:eastAsia="Arial" w:hAnsi="Arial"/>
          <w:sz w:val="19"/>
          <w:szCs w:val="19"/>
          <w:color w:val="auto"/>
        </w:rPr>
        <w:t>days’ after such approval and (y) February 28 of such year, Borrower’s annual financial projections for the entire current fiscal year as approved by Borrower’s board of directors; provided that, any revisions to such projections approved by Borrower’s board of directors shall be delivered to Collateral Agent and the Lenders no later than seven (7) days after such approval);</w:t>
      </w:r>
    </w:p>
    <w:p>
      <w:pPr>
        <w:spacing w:after="0" w:line="136" w:lineRule="exact"/>
        <w:rPr>
          <w:rFonts w:ascii="Arial" w:cs="Arial" w:eastAsia="Arial" w:hAnsi="Arial"/>
          <w:sz w:val="19"/>
          <w:szCs w:val="19"/>
          <w:color w:val="auto"/>
        </w:rPr>
      </w:pPr>
    </w:p>
    <w:p>
      <w:pPr>
        <w:jc w:val="both"/>
        <w:ind w:firstLine="1864"/>
        <w:spacing w:after="0" w:line="209" w:lineRule="auto"/>
        <w:tabs>
          <w:tab w:leader="none" w:pos="2469" w:val="left"/>
        </w:tabs>
        <w:numPr>
          <w:ilvl w:val="1"/>
          <w:numId w:val="181"/>
        </w:numPr>
        <w:rPr>
          <w:rFonts w:ascii="Arial" w:cs="Arial" w:eastAsia="Arial" w:hAnsi="Arial"/>
          <w:sz w:val="19"/>
          <w:szCs w:val="19"/>
          <w:color w:val="auto"/>
        </w:rPr>
      </w:pPr>
      <w:r>
        <w:rPr>
          <w:rFonts w:ascii="Arial" w:cs="Arial" w:eastAsia="Arial" w:hAnsi="Arial"/>
          <w:sz w:val="19"/>
          <w:szCs w:val="19"/>
          <w:color w:val="auto"/>
        </w:rPr>
        <w:t>together with the delivery of the Compliance Certificate, copies of all non-ministerial material statements, reports and notices made available generally to Borrower’s security holders or holders of Subordinated Debt (other than materials provided to members of the Borrower’s board of directors solely in their capacities as security holder, holders of Subordinated Debt, board members or management of Borrower); provided, however, the foregoing may be subject to such exclusions and redactions as Borrower deems reasonably necessary, in the exercise of its good faith judgment, in order to (i) preserve the confidentiality of highly sensitive information, (ii) prevent impairment of the attorney client privilege or (iii) conflict of interest with Lenders for new financing;</w:t>
      </w:r>
    </w:p>
    <w:p>
      <w:pPr>
        <w:spacing w:after="0" w:line="127" w:lineRule="exact"/>
        <w:rPr>
          <w:rFonts w:ascii="Arial" w:cs="Arial" w:eastAsia="Arial" w:hAnsi="Arial"/>
          <w:sz w:val="19"/>
          <w:szCs w:val="19"/>
          <w:color w:val="auto"/>
        </w:rPr>
      </w:pPr>
    </w:p>
    <w:p>
      <w:pPr>
        <w:ind w:left="2480" w:hanging="616"/>
        <w:spacing w:after="0"/>
        <w:tabs>
          <w:tab w:leader="none" w:pos="24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within five (5) days of filing, all reports on Form 10-K, 10-Q and 8-K filed with the Securities and Exchange</w:t>
      </w:r>
    </w:p>
    <w:p>
      <w:pPr>
        <w:spacing w:after="0"/>
        <w:rPr>
          <w:rFonts w:ascii="Arial" w:cs="Arial" w:eastAsia="Arial" w:hAnsi="Arial"/>
          <w:sz w:val="18"/>
          <w:szCs w:val="18"/>
          <w:color w:val="auto"/>
        </w:rPr>
      </w:pPr>
      <w:r>
        <w:rPr>
          <w:rFonts w:ascii="Arial" w:cs="Arial" w:eastAsia="Arial" w:hAnsi="Arial"/>
          <w:sz w:val="19"/>
          <w:szCs w:val="19"/>
          <w:color w:val="auto"/>
        </w:rPr>
        <w:t>Commission;</w:t>
      </w:r>
    </w:p>
    <w:p>
      <w:pPr>
        <w:spacing w:after="0" w:line="127" w:lineRule="exact"/>
        <w:rPr>
          <w:rFonts w:ascii="Arial" w:cs="Arial" w:eastAsia="Arial" w:hAnsi="Arial"/>
          <w:sz w:val="18"/>
          <w:szCs w:val="18"/>
          <w:color w:val="auto"/>
        </w:rPr>
      </w:pPr>
    </w:p>
    <w:p>
      <w:pPr>
        <w:ind w:firstLine="1864"/>
        <w:spacing w:after="0" w:line="248" w:lineRule="auto"/>
        <w:tabs>
          <w:tab w:leader="none" w:pos="247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prompt notice of any amendments of or other changes to the respective Operating Documents of Borrower or any of its Subsidiaries, in each case together with any copies reflecting such amendments or changes with respect thereto;</w:t>
      </w:r>
    </w:p>
    <w:p>
      <w:pPr>
        <w:spacing w:after="0" w:line="127" w:lineRule="exact"/>
        <w:rPr>
          <w:rFonts w:ascii="Arial" w:cs="Arial" w:eastAsia="Arial" w:hAnsi="Arial"/>
          <w:sz w:val="18"/>
          <w:szCs w:val="18"/>
          <w:color w:val="auto"/>
        </w:rPr>
      </w:pPr>
    </w:p>
    <w:p>
      <w:pPr>
        <w:jc w:val="both"/>
        <w:ind w:firstLine="1864"/>
        <w:spacing w:after="0" w:line="220" w:lineRule="auto"/>
        <w:tabs>
          <w:tab w:leader="none" w:pos="2472" w:val="left"/>
        </w:tabs>
        <w:numPr>
          <w:ilvl w:val="1"/>
          <w:numId w:val="181"/>
        </w:numPr>
        <w:rPr>
          <w:rFonts w:ascii="Arial" w:cs="Arial" w:eastAsia="Arial" w:hAnsi="Arial"/>
          <w:sz w:val="19"/>
          <w:szCs w:val="19"/>
          <w:color w:val="auto"/>
        </w:rPr>
      </w:pPr>
      <w:r>
        <w:rPr>
          <w:rFonts w:ascii="Arial" w:cs="Arial" w:eastAsia="Arial" w:hAnsi="Arial"/>
          <w:sz w:val="19"/>
          <w:szCs w:val="19"/>
          <w:color w:val="auto"/>
        </w:rPr>
        <w:t>as soon as available, but no later than thirty (30) days after the last day of each month, copies of the month-end account statements for each Collateral Account maintained by Borrower or its Subsidiaries, which statements may be provided to Collateral Agent and each Lender by Borrower or directly from the applicable institution(s);</w:t>
      </w:r>
    </w:p>
    <w:p>
      <w:pPr>
        <w:spacing w:after="0" w:line="135" w:lineRule="exact"/>
        <w:rPr>
          <w:rFonts w:ascii="Arial" w:cs="Arial" w:eastAsia="Arial" w:hAnsi="Arial"/>
          <w:sz w:val="19"/>
          <w:szCs w:val="19"/>
          <w:color w:val="auto"/>
        </w:rPr>
      </w:pPr>
    </w:p>
    <w:p>
      <w:pPr>
        <w:ind w:left="2480" w:hanging="616"/>
        <w:spacing w:after="0"/>
        <w:tabs>
          <w:tab w:leader="none" w:pos="248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[Reserved];</w:t>
      </w:r>
    </w:p>
    <w:p>
      <w:pPr>
        <w:spacing w:after="0" w:line="143" w:lineRule="exact"/>
        <w:rPr>
          <w:rFonts w:ascii="Arial" w:cs="Arial" w:eastAsia="Arial" w:hAnsi="Arial"/>
          <w:sz w:val="19"/>
          <w:szCs w:val="19"/>
          <w:color w:val="auto"/>
        </w:rPr>
      </w:pPr>
    </w:p>
    <w:p>
      <w:pPr>
        <w:jc w:val="both"/>
        <w:ind w:firstLine="1864"/>
        <w:spacing w:after="0" w:line="215" w:lineRule="auto"/>
        <w:tabs>
          <w:tab w:leader="none" w:pos="2469" w:val="left"/>
        </w:tabs>
        <w:numPr>
          <w:ilvl w:val="1"/>
          <w:numId w:val="181"/>
        </w:numPr>
        <w:rPr>
          <w:rFonts w:ascii="Arial" w:cs="Arial" w:eastAsia="Arial" w:hAnsi="Arial"/>
          <w:sz w:val="19"/>
          <w:szCs w:val="19"/>
          <w:color w:val="auto"/>
        </w:rPr>
      </w:pPr>
      <w:r>
        <w:rPr>
          <w:rFonts w:ascii="Arial" w:cs="Arial" w:eastAsia="Arial" w:hAnsi="Arial"/>
          <w:sz w:val="19"/>
          <w:szCs w:val="19"/>
          <w:color w:val="auto"/>
        </w:rPr>
        <w:t>prompt delivery of (and in any event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that otherwise could reasonably be expected to have a Material Adverse Change;</w:t>
      </w:r>
    </w:p>
    <w:p>
      <w:pPr>
        <w:spacing w:after="0" w:line="134" w:lineRule="exact"/>
        <w:rPr>
          <w:rFonts w:ascii="Arial" w:cs="Arial" w:eastAsia="Arial" w:hAnsi="Arial"/>
          <w:sz w:val="19"/>
          <w:szCs w:val="19"/>
          <w:color w:val="auto"/>
        </w:rPr>
      </w:pPr>
    </w:p>
    <w:p>
      <w:pPr>
        <w:ind w:firstLine="1864"/>
        <w:spacing w:after="0" w:line="231" w:lineRule="auto"/>
        <w:tabs>
          <w:tab w:leader="none" w:pos="247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prompt notice of any event that (A) could reasonably be expected to materially and adversely affect the value of the Intellectual Property or (B) could reasonably be expected to result in a Material Adverse Change;</w:t>
      </w:r>
    </w:p>
    <w:p>
      <w:pPr>
        <w:spacing w:after="0" w:line="135" w:lineRule="exact"/>
        <w:rPr>
          <w:rFonts w:ascii="Arial" w:cs="Arial" w:eastAsia="Arial" w:hAnsi="Arial"/>
          <w:sz w:val="19"/>
          <w:szCs w:val="19"/>
          <w:color w:val="auto"/>
        </w:rPr>
      </w:pPr>
    </w:p>
    <w:p>
      <w:pPr>
        <w:ind w:firstLine="1864"/>
        <w:spacing w:after="0" w:line="231" w:lineRule="auto"/>
        <w:tabs>
          <w:tab w:leader="none" w:pos="2471" w:val="left"/>
        </w:tabs>
        <w:numPr>
          <w:ilvl w:val="1"/>
          <w:numId w:val="181"/>
        </w:numPr>
        <w:rPr>
          <w:rFonts w:ascii="Arial" w:cs="Arial" w:eastAsia="Arial" w:hAnsi="Arial"/>
          <w:sz w:val="19"/>
          <w:szCs w:val="19"/>
          <w:color w:val="auto"/>
        </w:rPr>
      </w:pPr>
      <w:r>
        <w:rPr>
          <w:rFonts w:ascii="Arial" w:cs="Arial" w:eastAsia="Arial" w:hAnsi="Arial"/>
          <w:sz w:val="19"/>
          <w:szCs w:val="19"/>
          <w:color w:val="auto"/>
        </w:rPr>
        <w:t>written notice delivered at least five (5) Business Days’ prior to Borrower’s creation of a New Subsidiary in accordance with the terms of Section 6.10;</w:t>
      </w:r>
    </w:p>
    <w:p>
      <w:pPr>
        <w:spacing w:after="0" w:line="122" w:lineRule="exact"/>
        <w:rPr>
          <w:rFonts w:ascii="Arial" w:cs="Arial" w:eastAsia="Arial" w:hAnsi="Arial"/>
          <w:sz w:val="19"/>
          <w:szCs w:val="19"/>
          <w:color w:val="auto"/>
        </w:rPr>
      </w:pPr>
    </w:p>
    <w:p>
      <w:pPr>
        <w:jc w:val="both"/>
        <w:ind w:firstLine="1864"/>
        <w:spacing w:after="0" w:line="220" w:lineRule="auto"/>
        <w:tabs>
          <w:tab w:leader="none" w:pos="2472" w:val="left"/>
        </w:tabs>
        <w:numPr>
          <w:ilvl w:val="1"/>
          <w:numId w:val="181"/>
        </w:numPr>
        <w:rPr>
          <w:rFonts w:ascii="Arial" w:cs="Arial" w:eastAsia="Arial" w:hAnsi="Arial"/>
          <w:sz w:val="19"/>
          <w:szCs w:val="19"/>
          <w:color w:val="auto"/>
        </w:rPr>
      </w:pPr>
      <w:r>
        <w:rPr>
          <w:rFonts w:ascii="Arial" w:cs="Arial" w:eastAsia="Arial" w:hAnsi="Arial"/>
          <w:sz w:val="19"/>
          <w:szCs w:val="19"/>
          <w:color w:val="auto"/>
        </w:rPr>
        <w:t>written notice delivered at least twenty (20) days’ prior to Borrower’s (A) adding any new offices or business locations, including warehouses (unless such new offices or business locations contain less than Five Hundred Thousand Dollars ($500,000.00) in assets or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320" w:top="1350" w:right="339" w:bottom="1440" w:gutter="0" w:footer="0" w:header="0"/>
        </w:sectPr>
      </w:pPr>
    </w:p>
    <w:bookmarkStart w:id="224" w:name="page225"/>
    <w:bookmarkEnd w:id="224"/>
    <w:p>
      <w:pPr>
        <w:spacing w:after="0"/>
        <w:rPr>
          <w:sz w:val="20"/>
          <w:szCs w:val="20"/>
          <w:color w:val="auto"/>
        </w:rPr>
      </w:pPr>
      <w:r>
        <w:rPr>
          <w:rFonts w:ascii="Arial" w:cs="Arial" w:eastAsia="Arial" w:hAnsi="Arial"/>
          <w:sz w:val="17"/>
          <w:szCs w:val="17"/>
          <w:color w:val="auto"/>
        </w:rPr>
        <w:t>of Borrower or any of its Subsidiaries), (B) changing its respective jurisdiction of organization, (C) changing its organizational structure or type,</w:t>
      </w:r>
    </w:p>
    <w:p>
      <w:pPr>
        <w:spacing w:after="0" w:line="1" w:lineRule="exact"/>
        <w:rPr>
          <w:sz w:val="20"/>
          <w:szCs w:val="20"/>
          <w:color w:val="auto"/>
        </w:rPr>
      </w:pPr>
    </w:p>
    <w:p>
      <w:pPr>
        <w:ind w:left="320" w:hanging="317"/>
        <w:spacing w:after="0"/>
        <w:tabs>
          <w:tab w:leader="none" w:pos="3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changing its respective legal name, or (E) changing any organizational number(s) (if any) assigned by its respective jurisdiction of organization;</w:t>
      </w:r>
    </w:p>
    <w:p>
      <w:pPr>
        <w:spacing w:after="0" w:line="163" w:lineRule="exact"/>
        <w:rPr>
          <w:rFonts w:ascii="Arial" w:cs="Arial" w:eastAsia="Arial" w:hAnsi="Arial"/>
          <w:sz w:val="17"/>
          <w:szCs w:val="17"/>
          <w:color w:val="auto"/>
        </w:rPr>
      </w:pPr>
    </w:p>
    <w:p>
      <w:pPr>
        <w:jc w:val="both"/>
        <w:ind w:firstLine="1864"/>
        <w:spacing w:after="0"/>
        <w:tabs>
          <w:tab w:leader="none" w:pos="2474" w:val="left"/>
        </w:tabs>
        <w:numPr>
          <w:ilvl w:val="1"/>
          <w:numId w:val="182"/>
        </w:numPr>
        <w:rPr>
          <w:rFonts w:ascii="Arial" w:cs="Arial" w:eastAsia="Arial" w:hAnsi="Arial"/>
          <w:sz w:val="17"/>
          <w:szCs w:val="17"/>
          <w:color w:val="auto"/>
        </w:rPr>
      </w:pPr>
      <w:r>
        <w:rPr>
          <w:rFonts w:ascii="Arial" w:cs="Arial" w:eastAsia="Arial" w:hAnsi="Arial"/>
          <w:sz w:val="17"/>
          <w:szCs w:val="17"/>
          <w:color w:val="auto"/>
        </w:rPr>
        <w:t>upon Borrower becoming aware of the existence of any Event of Default or event which, with the giving of notice or passage of time, or both, would constitute an Event of Default, prompt (and in any event within three (3) Business Days) written notice of such occurrence, which such notice shall include a reasonably detailed description of such Event of Default or event which, with the giving of notice or passage of time, or both, would constitute an Event of Default, and Borrower’s proposal regarding how to cure such Event of Default or event;</w:t>
      </w:r>
    </w:p>
    <w:p>
      <w:pPr>
        <w:spacing w:after="0" w:line="122" w:lineRule="exact"/>
        <w:rPr>
          <w:rFonts w:ascii="Arial" w:cs="Arial" w:eastAsia="Arial" w:hAnsi="Arial"/>
          <w:sz w:val="17"/>
          <w:szCs w:val="17"/>
          <w:color w:val="auto"/>
        </w:rPr>
      </w:pPr>
    </w:p>
    <w:p>
      <w:pPr>
        <w:jc w:val="both"/>
        <w:ind w:firstLine="1864"/>
        <w:spacing w:after="0" w:line="220" w:lineRule="auto"/>
        <w:tabs>
          <w:tab w:leader="none" w:pos="2473" w:val="left"/>
        </w:tabs>
        <w:numPr>
          <w:ilvl w:val="1"/>
          <w:numId w:val="182"/>
        </w:numPr>
        <w:rPr>
          <w:rFonts w:ascii="Arial" w:cs="Arial" w:eastAsia="Arial" w:hAnsi="Arial"/>
          <w:sz w:val="19"/>
          <w:szCs w:val="19"/>
          <w:color w:val="auto"/>
        </w:rPr>
      </w:pPr>
      <w:r>
        <w:rPr>
          <w:rFonts w:ascii="Arial" w:cs="Arial" w:eastAsia="Arial" w:hAnsi="Arial"/>
          <w:sz w:val="19"/>
          <w:szCs w:val="19"/>
          <w:color w:val="auto"/>
        </w:rPr>
        <w:t xml:space="preserve">immediate notice if Borrower or such Subsidiary has Knowledge that Borrower, or any Subsidiary or Affiliate of Borrower, is listed on the OFAC Lists or (a) is convicted on, (b) pleads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(c) is indicted on, or (d) is arraigned and held over on charges involving money laundering or predicate crimes to money laundering;</w:t>
      </w:r>
    </w:p>
    <w:p>
      <w:pPr>
        <w:spacing w:after="0" w:line="135" w:lineRule="exact"/>
        <w:rPr>
          <w:rFonts w:ascii="Arial" w:cs="Arial" w:eastAsia="Arial" w:hAnsi="Arial"/>
          <w:sz w:val="19"/>
          <w:szCs w:val="19"/>
          <w:color w:val="auto"/>
        </w:rPr>
      </w:pPr>
    </w:p>
    <w:p>
      <w:pPr>
        <w:jc w:val="both"/>
        <w:ind w:firstLine="1864"/>
        <w:spacing w:after="0" w:line="220" w:lineRule="auto"/>
        <w:tabs>
          <w:tab w:leader="none" w:pos="2474" w:val="left"/>
        </w:tabs>
        <w:numPr>
          <w:ilvl w:val="1"/>
          <w:numId w:val="182"/>
        </w:numPr>
        <w:rPr>
          <w:rFonts w:ascii="Arial" w:cs="Arial" w:eastAsia="Arial" w:hAnsi="Arial"/>
          <w:sz w:val="19"/>
          <w:szCs w:val="19"/>
          <w:color w:val="auto"/>
        </w:rPr>
      </w:pPr>
      <w:r>
        <w:rPr>
          <w:rFonts w:ascii="Arial" w:cs="Arial" w:eastAsia="Arial" w:hAnsi="Arial"/>
          <w:sz w:val="19"/>
          <w:szCs w:val="19"/>
          <w:color w:val="auto"/>
        </w:rPr>
        <w:t>notice of any commercial tort claim (as defined in the Code) or letter of credit rights (as defined in the Code) held by Borrower or any Guarantor, in each case in an amount greater than Five Hundred Thousand Dollars ($500,000.00) and of the general details thereof;</w:t>
      </w:r>
    </w:p>
    <w:p>
      <w:pPr>
        <w:spacing w:after="0" w:line="135" w:lineRule="exact"/>
        <w:rPr>
          <w:rFonts w:ascii="Arial" w:cs="Arial" w:eastAsia="Arial" w:hAnsi="Arial"/>
          <w:sz w:val="19"/>
          <w:szCs w:val="19"/>
          <w:color w:val="auto"/>
        </w:rPr>
      </w:pPr>
    </w:p>
    <w:p>
      <w:pPr>
        <w:jc w:val="both"/>
        <w:ind w:firstLine="1864"/>
        <w:spacing w:after="0" w:line="220" w:lineRule="auto"/>
        <w:tabs>
          <w:tab w:leader="none" w:pos="2475" w:val="left"/>
        </w:tabs>
        <w:numPr>
          <w:ilvl w:val="1"/>
          <w:numId w:val="182"/>
        </w:numPr>
        <w:rPr>
          <w:rFonts w:ascii="Arial" w:cs="Arial" w:eastAsia="Arial" w:hAnsi="Arial"/>
          <w:sz w:val="19"/>
          <w:szCs w:val="19"/>
          <w:color w:val="auto"/>
        </w:rPr>
      </w:pPr>
      <w:r>
        <w:rPr>
          <w:rFonts w:ascii="Arial" w:cs="Arial" w:eastAsia="Arial" w:hAnsi="Arial"/>
          <w:sz w:val="19"/>
          <w:szCs w:val="19"/>
          <w:color w:val="auto"/>
        </w:rPr>
        <w:t>if Borrower or any of its Subsidiaries is not now a Registered Organization but later becomes one, written notice of such occurrence and information regarding such Person’s organizational identification number within seven (7) Business Days of receiving such organizational identification number;</w:t>
      </w:r>
    </w:p>
    <w:p>
      <w:pPr>
        <w:spacing w:after="0" w:line="122" w:lineRule="exact"/>
        <w:rPr>
          <w:rFonts w:ascii="Arial" w:cs="Arial" w:eastAsia="Arial" w:hAnsi="Arial"/>
          <w:sz w:val="19"/>
          <w:szCs w:val="19"/>
          <w:color w:val="auto"/>
        </w:rPr>
      </w:pPr>
    </w:p>
    <w:p>
      <w:pPr>
        <w:ind w:firstLine="1864"/>
        <w:spacing w:after="0" w:line="231" w:lineRule="auto"/>
        <w:tabs>
          <w:tab w:leader="none" w:pos="2476" w:val="left"/>
        </w:tabs>
        <w:numPr>
          <w:ilvl w:val="1"/>
          <w:numId w:val="182"/>
        </w:numPr>
        <w:rPr>
          <w:rFonts w:ascii="Arial" w:cs="Arial" w:eastAsia="Arial" w:hAnsi="Arial"/>
          <w:sz w:val="19"/>
          <w:szCs w:val="19"/>
          <w:color w:val="auto"/>
        </w:rPr>
      </w:pPr>
      <w:r>
        <w:rPr>
          <w:rFonts w:ascii="Arial" w:cs="Arial" w:eastAsia="Arial" w:hAnsi="Arial"/>
          <w:sz w:val="19"/>
          <w:szCs w:val="19"/>
          <w:color w:val="auto"/>
        </w:rPr>
        <w:t>prompt notice of the execution any Material Agreement or any amendment to, modification of, termination of or waiver under any Material Agreement; and</w:t>
      </w:r>
    </w:p>
    <w:p>
      <w:pPr>
        <w:spacing w:after="0" w:line="135" w:lineRule="exact"/>
        <w:rPr>
          <w:rFonts w:ascii="Arial" w:cs="Arial" w:eastAsia="Arial" w:hAnsi="Arial"/>
          <w:sz w:val="19"/>
          <w:szCs w:val="19"/>
          <w:color w:val="auto"/>
        </w:rPr>
      </w:pPr>
    </w:p>
    <w:p>
      <w:pPr>
        <w:ind w:left="2480" w:hanging="616"/>
        <w:spacing w:after="0"/>
        <w:tabs>
          <w:tab w:leader="none" w:pos="2480" w:val="left"/>
        </w:tabs>
        <w:numPr>
          <w:ilvl w:val="1"/>
          <w:numId w:val="182"/>
        </w:numPr>
        <w:rPr>
          <w:rFonts w:ascii="Arial" w:cs="Arial" w:eastAsia="Arial" w:hAnsi="Arial"/>
          <w:sz w:val="19"/>
          <w:szCs w:val="19"/>
          <w:color w:val="auto"/>
        </w:rPr>
      </w:pPr>
      <w:r>
        <w:rPr>
          <w:rFonts w:ascii="Arial" w:cs="Arial" w:eastAsia="Arial" w:hAnsi="Arial"/>
          <w:sz w:val="19"/>
          <w:szCs w:val="19"/>
          <w:color w:val="auto"/>
        </w:rPr>
        <w:t>other information as reasonably requested by Collateral Agent or any Lender.</w:t>
      </w:r>
    </w:p>
    <w:p>
      <w:pPr>
        <w:spacing w:after="0" w:line="156" w:lineRule="exact"/>
        <w:rPr>
          <w:sz w:val="20"/>
          <w:szCs w:val="20"/>
          <w:color w:val="auto"/>
        </w:rPr>
      </w:pPr>
    </w:p>
    <w:p>
      <w:pPr>
        <w:jc w:val="both"/>
        <w:spacing w:after="0" w:line="220" w:lineRule="auto"/>
        <w:rPr>
          <w:sz w:val="20"/>
          <w:szCs w:val="20"/>
          <w:color w:val="auto"/>
        </w:rPr>
      </w:pPr>
      <w:r>
        <w:rPr>
          <w:rFonts w:ascii="Arial" w:cs="Arial" w:eastAsia="Arial" w:hAnsi="Arial"/>
          <w:sz w:val="19"/>
          <w:szCs w:val="19"/>
          <w:color w:val="auto"/>
        </w:rPr>
        <w:t>Notwithstanding the foregoing, the materials required to be delivered pursuant to clauses (ii), (iii), (vi) and (xviii) above may be delivered electronically and if so delivered, shall be deemed to have been delivered on the date on which Borrower posts such documents, or provides a link thereto, on Borrower’s website on the internet at Borrower’s website address.</w:t>
      </w:r>
    </w:p>
    <w:p>
      <w:pPr>
        <w:spacing w:after="0" w:line="123" w:lineRule="exact"/>
        <w:rPr>
          <w:sz w:val="20"/>
          <w:szCs w:val="20"/>
          <w:color w:val="auto"/>
        </w:rPr>
      </w:pPr>
    </w:p>
    <w:p>
      <w:pPr>
        <w:ind w:firstLine="1219"/>
        <w:spacing w:after="0" w:line="231" w:lineRule="auto"/>
        <w:tabs>
          <w:tab w:leader="none" w:pos="1849" w:val="left"/>
        </w:tabs>
        <w:numPr>
          <w:ilvl w:val="0"/>
          <w:numId w:val="183"/>
        </w:numPr>
        <w:rPr>
          <w:rFonts w:ascii="Arial" w:cs="Arial" w:eastAsia="Arial" w:hAnsi="Arial"/>
          <w:sz w:val="19"/>
          <w:szCs w:val="19"/>
          <w:color w:val="auto"/>
        </w:rPr>
      </w:pPr>
      <w:r>
        <w:rPr>
          <w:rFonts w:ascii="Arial" w:cs="Arial" w:eastAsia="Arial" w:hAnsi="Arial"/>
          <w:sz w:val="19"/>
          <w:szCs w:val="19"/>
          <w:color w:val="auto"/>
        </w:rPr>
        <w:t>Concurrently with the delivery of the financial statements specified in Section 6.2(a)(i) above but no later than thirty (30) days after the last day of each month, deliver to Collateral Agent:</w:t>
      </w:r>
    </w:p>
    <w:p>
      <w:pPr>
        <w:spacing w:after="0" w:line="135" w:lineRule="exact"/>
        <w:rPr>
          <w:rFonts w:ascii="Arial" w:cs="Arial" w:eastAsia="Arial" w:hAnsi="Arial"/>
          <w:sz w:val="19"/>
          <w:szCs w:val="19"/>
          <w:color w:val="auto"/>
        </w:rPr>
      </w:pPr>
    </w:p>
    <w:p>
      <w:pPr>
        <w:ind w:left="2480" w:hanging="616"/>
        <w:spacing w:after="0"/>
        <w:tabs>
          <w:tab w:leader="none" w:pos="2480" w:val="left"/>
        </w:tabs>
        <w:numPr>
          <w:ilvl w:val="1"/>
          <w:numId w:val="183"/>
        </w:numPr>
        <w:rPr>
          <w:rFonts w:ascii="Arial" w:cs="Arial" w:eastAsia="Arial" w:hAnsi="Arial"/>
          <w:sz w:val="19"/>
          <w:szCs w:val="19"/>
          <w:color w:val="auto"/>
        </w:rPr>
      </w:pPr>
      <w:r>
        <w:rPr>
          <w:rFonts w:ascii="Arial" w:cs="Arial" w:eastAsia="Arial" w:hAnsi="Arial"/>
          <w:sz w:val="19"/>
          <w:szCs w:val="19"/>
          <w:color w:val="auto"/>
        </w:rPr>
        <w:t>a duly completed Compliance Certificate signed by a Responsible Officer;</w:t>
      </w:r>
    </w:p>
    <w:p>
      <w:pPr>
        <w:spacing w:after="0" w:line="156" w:lineRule="exact"/>
        <w:rPr>
          <w:rFonts w:ascii="Arial" w:cs="Arial" w:eastAsia="Arial" w:hAnsi="Arial"/>
          <w:sz w:val="19"/>
          <w:szCs w:val="19"/>
          <w:color w:val="auto"/>
        </w:rPr>
      </w:pPr>
    </w:p>
    <w:p>
      <w:pPr>
        <w:ind w:left="2480" w:hanging="616"/>
        <w:spacing w:after="0"/>
        <w:tabs>
          <w:tab w:leader="none" w:pos="2480" w:val="left"/>
        </w:tabs>
        <w:numPr>
          <w:ilvl w:val="1"/>
          <w:numId w:val="183"/>
        </w:numPr>
        <w:rPr>
          <w:rFonts w:ascii="Arial" w:cs="Arial" w:eastAsia="Arial" w:hAnsi="Arial"/>
          <w:sz w:val="19"/>
          <w:szCs w:val="19"/>
          <w:color w:val="auto"/>
        </w:rPr>
      </w:pPr>
      <w:r>
        <w:rPr>
          <w:rFonts w:ascii="Arial" w:cs="Arial" w:eastAsia="Arial" w:hAnsi="Arial"/>
          <w:sz w:val="19"/>
          <w:szCs w:val="19"/>
          <w:color w:val="auto"/>
        </w:rPr>
        <w:t>copies of any material Governmental Approvals obtained by Borrower or any of its Subsidiaries;</w:t>
      </w:r>
    </w:p>
    <w:p>
      <w:pPr>
        <w:spacing w:after="0" w:line="133" w:lineRule="exact"/>
        <w:rPr>
          <w:rFonts w:ascii="Arial" w:cs="Arial" w:eastAsia="Arial" w:hAnsi="Arial"/>
          <w:sz w:val="19"/>
          <w:szCs w:val="19"/>
          <w:color w:val="auto"/>
        </w:rPr>
      </w:pPr>
    </w:p>
    <w:p>
      <w:pPr>
        <w:ind w:left="2480" w:hanging="616"/>
        <w:spacing w:after="0"/>
        <w:tabs>
          <w:tab w:leader="none" w:pos="24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written notice of the commencement of, and any material development in, the proceedings contemplated by</w:t>
      </w:r>
    </w:p>
    <w:p>
      <w:pPr>
        <w:spacing w:after="0"/>
        <w:rPr>
          <w:rFonts w:ascii="Arial" w:cs="Arial" w:eastAsia="Arial" w:hAnsi="Arial"/>
          <w:sz w:val="18"/>
          <w:szCs w:val="18"/>
          <w:color w:val="auto"/>
        </w:rPr>
      </w:pPr>
      <w:r>
        <w:rPr>
          <w:rFonts w:ascii="Arial" w:cs="Arial" w:eastAsia="Arial" w:hAnsi="Arial"/>
          <w:sz w:val="19"/>
          <w:szCs w:val="19"/>
          <w:color w:val="auto"/>
        </w:rPr>
        <w:t>Section 5.8 hereof;</w:t>
      </w:r>
    </w:p>
    <w:p>
      <w:pPr>
        <w:spacing w:after="0" w:line="140" w:lineRule="exact"/>
        <w:rPr>
          <w:rFonts w:ascii="Arial" w:cs="Arial" w:eastAsia="Arial" w:hAnsi="Arial"/>
          <w:sz w:val="18"/>
          <w:szCs w:val="18"/>
          <w:color w:val="auto"/>
        </w:rPr>
      </w:pPr>
    </w:p>
    <w:p>
      <w:pPr>
        <w:jc w:val="both"/>
        <w:ind w:firstLine="1864"/>
        <w:spacing w:after="0" w:line="220" w:lineRule="auto"/>
        <w:tabs>
          <w:tab w:leader="none" w:pos="2470" w:val="left"/>
        </w:tabs>
        <w:numPr>
          <w:ilvl w:val="1"/>
          <w:numId w:val="183"/>
        </w:numPr>
        <w:rPr>
          <w:rFonts w:ascii="Arial" w:cs="Arial" w:eastAsia="Arial" w:hAnsi="Arial"/>
          <w:sz w:val="19"/>
          <w:szCs w:val="19"/>
          <w:color w:val="auto"/>
        </w:rPr>
      </w:pPr>
      <w:r>
        <w:rPr>
          <w:rFonts w:ascii="Arial" w:cs="Arial" w:eastAsia="Arial" w:hAnsi="Arial"/>
          <w:sz w:val="19"/>
          <w:szCs w:val="19"/>
          <w:color w:val="auto"/>
        </w:rPr>
        <w:t>prompt written notice of any litigation or governmental proceedings pending or threatened (in writing) against Borrower or any of its Subsidiaries, which could reasonably be expected to result in damages or costs to Borrower or any of its Subsidiaries of One Million Dollars ($1,000,000.00); and</w:t>
      </w:r>
    </w:p>
    <w:p>
      <w:pPr>
        <w:spacing w:after="0" w:line="135" w:lineRule="exact"/>
        <w:rPr>
          <w:rFonts w:ascii="Arial" w:cs="Arial" w:eastAsia="Arial" w:hAnsi="Arial"/>
          <w:sz w:val="19"/>
          <w:szCs w:val="19"/>
          <w:color w:val="auto"/>
        </w:rPr>
      </w:pPr>
    </w:p>
    <w:p>
      <w:pPr>
        <w:ind w:firstLine="1864"/>
        <w:spacing w:after="0" w:line="231" w:lineRule="auto"/>
        <w:tabs>
          <w:tab w:leader="none" w:pos="2469" w:val="left"/>
        </w:tabs>
        <w:numPr>
          <w:ilvl w:val="1"/>
          <w:numId w:val="183"/>
        </w:numPr>
        <w:rPr>
          <w:rFonts w:ascii="Arial" w:cs="Arial" w:eastAsia="Arial" w:hAnsi="Arial"/>
          <w:sz w:val="19"/>
          <w:szCs w:val="19"/>
          <w:color w:val="auto"/>
        </w:rPr>
      </w:pPr>
      <w:r>
        <w:rPr>
          <w:rFonts w:ascii="Arial" w:cs="Arial" w:eastAsia="Arial" w:hAnsi="Arial"/>
          <w:sz w:val="19"/>
          <w:szCs w:val="19"/>
          <w:color w:val="auto"/>
        </w:rPr>
        <w:t>written notice of all returns, recoveries, disputes and claims regarding Inventory that involve more than One Million Dollars ($1,000,000.00) individually or in the aggregate in any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1351" w:right="339" w:bottom="1440" w:gutter="0" w:footer="0" w:header="0"/>
        </w:sectPr>
      </w:pPr>
    </w:p>
    <w:bookmarkStart w:id="225" w:name="page226"/>
    <w:bookmarkEnd w:id="225"/>
    <w:p>
      <w:pPr>
        <w:jc w:val="both"/>
        <w:ind w:firstLine="1219"/>
        <w:spacing w:after="0" w:line="209" w:lineRule="auto"/>
        <w:tabs>
          <w:tab w:leader="none" w:pos="1852" w:val="left"/>
        </w:tabs>
        <w:numPr>
          <w:ilvl w:val="0"/>
          <w:numId w:val="184"/>
        </w:numPr>
        <w:rPr>
          <w:rFonts w:ascii="Arial" w:cs="Arial" w:eastAsia="Arial" w:hAnsi="Arial"/>
          <w:sz w:val="19"/>
          <w:szCs w:val="19"/>
          <w:color w:val="auto"/>
        </w:rPr>
      </w:pPr>
      <w:r>
        <w:rPr>
          <w:rFonts w:ascii="Arial" w:cs="Arial" w:eastAsia="Arial" w:hAnsi="Arial"/>
          <w:sz w:val="19"/>
          <w:szCs w:val="19"/>
          <w:color w:val="auto"/>
        </w:rPr>
        <w:t>Keep proper, complete and true books of record and account in accordance with GAAP in all material respects.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twice every year unless (and more frequently if) an Event of Default has occurred and is continuing.</w:t>
      </w:r>
    </w:p>
    <w:p>
      <w:pPr>
        <w:spacing w:after="0" w:line="132" w:lineRule="exact"/>
        <w:rPr>
          <w:sz w:val="20"/>
          <w:szCs w:val="20"/>
          <w:color w:val="auto"/>
        </w:rPr>
      </w:pPr>
    </w:p>
    <w:p>
      <w:pPr>
        <w:jc w:val="both"/>
        <w:ind w:firstLine="595"/>
        <w:spacing w:after="0" w:line="222" w:lineRule="auto"/>
        <w:rPr>
          <w:sz w:val="20"/>
          <w:szCs w:val="20"/>
          <w:color w:val="auto"/>
        </w:rPr>
      </w:pPr>
      <w:r>
        <w:rPr>
          <w:rFonts w:ascii="Arial" w:cs="Arial" w:eastAsia="Arial" w:hAnsi="Arial"/>
          <w:sz w:val="19"/>
          <w:szCs w:val="19"/>
          <w:b w:val="1"/>
          <w:bCs w:val="1"/>
          <w:color w:val="auto"/>
        </w:rPr>
        <w:t xml:space="preserve">6.3 Inventory; Returns. </w:t>
      </w:r>
      <w:r>
        <w:rPr>
          <w:rFonts w:ascii="Arial" w:cs="Arial" w:eastAsia="Arial" w:hAnsi="Arial"/>
          <w:sz w:val="19"/>
          <w:szCs w:val="19"/>
          <w:color w:val="auto"/>
        </w:rPr>
        <w:t>Keep all Inventory in good and marketable condition, free from material defects. Returns and allowances</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Borrower, or any of its Subsidiaries, as applicable, and their respective Account Debtors shall follow Borrower’s, or such Subsidiary’s, customary practices, as applicable.</w:t>
      </w:r>
    </w:p>
    <w:p>
      <w:pPr>
        <w:spacing w:after="0" w:line="117" w:lineRule="exact"/>
        <w:rPr>
          <w:sz w:val="20"/>
          <w:szCs w:val="20"/>
          <w:color w:val="auto"/>
        </w:rPr>
      </w:pPr>
    </w:p>
    <w:p>
      <w:pPr>
        <w:jc w:val="both"/>
        <w:ind w:firstLine="595"/>
        <w:spacing w:after="0" w:line="225" w:lineRule="auto"/>
        <w:rPr>
          <w:sz w:val="20"/>
          <w:szCs w:val="20"/>
          <w:color w:val="auto"/>
        </w:rPr>
      </w:pPr>
      <w:r>
        <w:rPr>
          <w:rFonts w:ascii="Arial" w:cs="Arial" w:eastAsia="Arial" w:hAnsi="Arial"/>
          <w:sz w:val="18"/>
          <w:szCs w:val="18"/>
          <w:b w:val="1"/>
          <w:bCs w:val="1"/>
          <w:color w:val="auto"/>
        </w:rPr>
        <w:t xml:space="preserve">6.4 Taxes; Pensions. </w:t>
      </w:r>
      <w:r>
        <w:rPr>
          <w:rFonts w:ascii="Arial" w:cs="Arial" w:eastAsia="Arial" w:hAnsi="Arial"/>
          <w:sz w:val="18"/>
          <w:szCs w:val="18"/>
          <w:color w:val="auto"/>
        </w:rPr>
        <w:t>Timely file, and require each of its Subsidiaries to timely file (or obtain timely extensions therefor), all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tax returns and reports, and timely pay, and require each of its Subsidiaries to timely pay, all foreign, federal, state, and local Taxes, assessments, deposits and contributions owed by Borrower or its Subsidiaries, except as otherwise permitted pursuant to the terms of Section 5.8 hereof; deliver to the Collateral Agent, on demand, appropriate certificates attesting to such payments; and pay all amounts necessary to fund all present pension, profit sharing and deferred compensation plans in accordance with the terms of such plans.</w:t>
      </w:r>
    </w:p>
    <w:p>
      <w:pPr>
        <w:spacing w:after="0" w:line="128" w:lineRule="exact"/>
        <w:rPr>
          <w:sz w:val="20"/>
          <w:szCs w:val="20"/>
          <w:color w:val="auto"/>
        </w:rPr>
      </w:pPr>
    </w:p>
    <w:p>
      <w:pPr>
        <w:jc w:val="both"/>
        <w:ind w:firstLine="595"/>
        <w:spacing w:after="0" w:line="224" w:lineRule="auto"/>
        <w:rPr>
          <w:sz w:val="20"/>
          <w:szCs w:val="20"/>
          <w:color w:val="auto"/>
        </w:rPr>
      </w:pPr>
      <w:r>
        <w:rPr>
          <w:rFonts w:ascii="Arial" w:cs="Arial" w:eastAsia="Arial" w:hAnsi="Arial"/>
          <w:sz w:val="17"/>
          <w:szCs w:val="17"/>
          <w:b w:val="1"/>
          <w:bCs w:val="1"/>
          <w:color w:val="auto"/>
        </w:rPr>
        <w:t xml:space="preserve">6.5 Insurance. </w:t>
      </w:r>
      <w:r>
        <w:rPr>
          <w:rFonts w:ascii="Arial" w:cs="Arial" w:eastAsia="Arial" w:hAnsi="Arial"/>
          <w:sz w:val="17"/>
          <w:szCs w:val="17"/>
          <w:color w:val="auto"/>
        </w:rPr>
        <w:t>Keep Borrower’s and its Subsidiaries’ business and the Collateral insured for risks and in amounts standard for</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in Borrower’s and its Subsidiaries’ industry and location and as Collateral Agent may reasonably request. Insurance policies shall be in a form, with companies, and in amounts that are standard for companies in Borrower’s industry and location. All property policies shall have a lender’s loss payable endorsement showing Collateral Agent as lender loss payee and shall waive subrogation against Collateral Agent, and all liability policies shall show, or have endorsements showing, Collateral Agent (for the ratable benefit of the Secured Parties),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cancelled (except in the case of non-payment). At Collateral Agent’s request, Borrower shall deliver to the Collateral Agent certified copies of policies and evidence of all premium payments. Proceeds payable under any policy shall, at Collateral Agent’s option, be payable to Collateral Agent, for the ratable benefit of the Secured Parties, on account of the then-outstanding Obligations. Notwithstanding the foregoing,</w:t>
      </w:r>
    </w:p>
    <w:p>
      <w:pPr>
        <w:spacing w:after="0" w:line="5" w:lineRule="exact"/>
        <w:rPr>
          <w:sz w:val="20"/>
          <w:szCs w:val="20"/>
          <w:color w:val="auto"/>
        </w:rPr>
      </w:pPr>
    </w:p>
    <w:p>
      <w:pPr>
        <w:jc w:val="both"/>
        <w:ind w:firstLine="3"/>
        <w:spacing w:after="0" w:line="227" w:lineRule="auto"/>
        <w:tabs>
          <w:tab w:leader="none" w:pos="26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so long as no Event of Default has occurred and is continuing, Borrower shall have the option of applying the proceeds of any casualty policy within one-hundred eighty (180) days of receipt thereof up to Two Million Dollars ($2,000,000.00) with respect to any loss, but not exceeding Two Million Five Hundred Thousand Dollars ($2,500,000.00), in the aggregate for all losses under all casualty policies in any one year, toward the replacement promptly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may make (but has no obligation to do so), at Borrower’s expense, all or part of such payment or obtain such insurance policies required in this Section 6.5, and take any action under the policies Collateral Agent deems prudent.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1351" w:right="339" w:bottom="1440" w:gutter="0" w:footer="0" w:header="0"/>
        </w:sectPr>
      </w:pPr>
    </w:p>
    <w:bookmarkStart w:id="226" w:name="page227"/>
    <w:bookmarkEnd w:id="226"/>
    <w:p>
      <w:pPr>
        <w:ind w:left="600"/>
        <w:spacing w:after="0"/>
        <w:tabs>
          <w:tab w:leader="none" w:pos="1220" w:val="left"/>
        </w:tabs>
        <w:rPr>
          <w:sz w:val="20"/>
          <w:szCs w:val="20"/>
          <w:color w:val="auto"/>
        </w:rPr>
      </w:pPr>
      <w:r>
        <w:rPr>
          <w:rFonts w:ascii="Arial" w:cs="Arial" w:eastAsia="Arial" w:hAnsi="Arial"/>
          <w:sz w:val="19"/>
          <w:szCs w:val="19"/>
          <w:b w:val="1"/>
          <w:bCs w:val="1"/>
          <w:color w:val="auto"/>
        </w:rPr>
        <w:t>6.6</w:t>
      </w:r>
      <w:r>
        <w:rPr>
          <w:sz w:val="20"/>
          <w:szCs w:val="20"/>
          <w:color w:val="auto"/>
        </w:rPr>
        <w:tab/>
      </w:r>
      <w:r>
        <w:rPr>
          <w:rFonts w:ascii="Arial" w:cs="Arial" w:eastAsia="Arial" w:hAnsi="Arial"/>
          <w:sz w:val="16"/>
          <w:szCs w:val="16"/>
          <w:b w:val="1"/>
          <w:bCs w:val="1"/>
          <w:color w:val="auto"/>
        </w:rPr>
        <w:t>Operating Accounts</w:t>
      </w:r>
      <w:r>
        <w:rPr>
          <w:rFonts w:ascii="Arial" w:cs="Arial" w:eastAsia="Arial" w:hAnsi="Arial"/>
          <w:sz w:val="16"/>
          <w:szCs w:val="16"/>
          <w:color w:val="auto"/>
        </w:rPr>
        <w:t>.</w:t>
      </w:r>
    </w:p>
    <w:p>
      <w:pPr>
        <w:spacing w:after="0" w:line="162" w:lineRule="exact"/>
        <w:rPr>
          <w:sz w:val="20"/>
          <w:szCs w:val="20"/>
          <w:color w:val="auto"/>
        </w:rPr>
      </w:pPr>
    </w:p>
    <w:p>
      <w:pPr>
        <w:jc w:val="both"/>
        <w:ind w:firstLine="1219"/>
        <w:spacing w:after="0" w:line="209" w:lineRule="auto"/>
        <w:tabs>
          <w:tab w:leader="none" w:pos="1852" w:val="left"/>
        </w:tabs>
        <w:numPr>
          <w:ilvl w:val="0"/>
          <w:numId w:val="186"/>
        </w:numPr>
        <w:rPr>
          <w:rFonts w:ascii="Arial" w:cs="Arial" w:eastAsia="Arial" w:hAnsi="Arial"/>
          <w:sz w:val="19"/>
          <w:szCs w:val="19"/>
          <w:color w:val="auto"/>
        </w:rPr>
      </w:pPr>
      <w:r>
        <w:rPr>
          <w:rFonts w:ascii="Arial" w:cs="Arial" w:eastAsia="Arial" w:hAnsi="Arial"/>
          <w:sz w:val="19"/>
          <w:szCs w:val="19"/>
          <w:color w:val="auto"/>
        </w:rPr>
        <w:t>Maintain Borrower’s and Guarantors Collateral Accounts with depositary institutions that have agreed to execute Control Agreements in favor of Collateral Agent with respect to such Collateral Accounts. The provisions of the previous sentence shall not apply to Deposit Accounts exclusively used for cash collateral for Permitted Liens under clause (i) of the definition thereof, payroll, payroll Taxes and other employee wage and benefit payments to or for the benefit of Borrower’s, or any Guarantor’s, employees, in an aggregate amount not to exceed the amount reasonably expected to be due and payable for the next two (2) succeeding pay periods to Collateral Agent by Borrower as such in the Perfection Certificate.</w:t>
      </w:r>
    </w:p>
    <w:p>
      <w:pPr>
        <w:spacing w:after="0" w:line="124" w:lineRule="exact"/>
        <w:rPr>
          <w:rFonts w:ascii="Arial" w:cs="Arial" w:eastAsia="Arial" w:hAnsi="Arial"/>
          <w:sz w:val="19"/>
          <w:szCs w:val="19"/>
          <w:color w:val="auto"/>
        </w:rPr>
      </w:pPr>
    </w:p>
    <w:p>
      <w:pPr>
        <w:jc w:val="both"/>
        <w:ind w:firstLine="1219"/>
        <w:spacing w:after="0" w:line="230" w:lineRule="auto"/>
        <w:tabs>
          <w:tab w:leader="none" w:pos="1849" w:val="left"/>
        </w:tabs>
        <w:numPr>
          <w:ilvl w:val="0"/>
          <w:numId w:val="186"/>
        </w:numPr>
        <w:rPr>
          <w:rFonts w:ascii="Arial" w:cs="Arial" w:eastAsia="Arial" w:hAnsi="Arial"/>
          <w:sz w:val="17"/>
          <w:szCs w:val="17"/>
          <w:color w:val="auto"/>
        </w:rPr>
      </w:pPr>
      <w:r>
        <w:rPr>
          <w:rFonts w:ascii="Arial" w:cs="Arial" w:eastAsia="Arial" w:hAnsi="Arial"/>
          <w:sz w:val="17"/>
          <w:szCs w:val="17"/>
          <w:color w:val="auto"/>
        </w:rPr>
        <w:t>Borrower shall provide Collateral Agent ten (10) days’ prior written notice before Borrower or any Guarantor establishes any Collateral Account. In addition, for each Collateral Account that Borrower or any Guarantor, at any time maintains, Borrower or such Guarantor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(held for the ratable benefit of the Secured Parties) in accordance with the terms hereunder prior to the establishment of such Collateral Account. The provisions of the previous sentence shall not apply to Deposit Accounts exclusively used for cash collateral for Permitted Liens under clause (i) of the definition thereof, payroll, payroll Taxes and other employee wage and benefit payments to or for the benefit of Borrower’s, or any Guarantor’s, employees and identified to Collateral Agent by Borrower as such in the Perfection Certificate, provided that the amount deposited therein shall not exceed the amount reasonably expected to be due and payable for the next two (2) succeeding pay periods.</w:t>
      </w:r>
    </w:p>
    <w:p>
      <w:pPr>
        <w:spacing w:after="0" w:line="135" w:lineRule="exact"/>
        <w:rPr>
          <w:rFonts w:ascii="Arial" w:cs="Arial" w:eastAsia="Arial" w:hAnsi="Arial"/>
          <w:sz w:val="17"/>
          <w:szCs w:val="17"/>
          <w:color w:val="auto"/>
        </w:rPr>
      </w:pPr>
    </w:p>
    <w:p>
      <w:pPr>
        <w:ind w:firstLine="1219"/>
        <w:spacing w:after="0" w:line="231" w:lineRule="auto"/>
        <w:tabs>
          <w:tab w:leader="none" w:pos="1852" w:val="left"/>
        </w:tabs>
        <w:numPr>
          <w:ilvl w:val="0"/>
          <w:numId w:val="186"/>
        </w:numPr>
        <w:rPr>
          <w:rFonts w:ascii="Arial" w:cs="Arial" w:eastAsia="Arial" w:hAnsi="Arial"/>
          <w:sz w:val="19"/>
          <w:szCs w:val="19"/>
          <w:color w:val="auto"/>
        </w:rPr>
      </w:pPr>
      <w:r>
        <w:rPr>
          <w:rFonts w:ascii="Arial" w:cs="Arial" w:eastAsia="Arial" w:hAnsi="Arial"/>
          <w:sz w:val="19"/>
          <w:szCs w:val="19"/>
          <w:color w:val="auto"/>
        </w:rPr>
        <w:t>Neither Borrower nor any Guarantor shall maintain any Collateral Accounts except Collateral Accounts maintained in accordance with this Section 6.6.</w:t>
      </w:r>
    </w:p>
    <w:p>
      <w:pPr>
        <w:spacing w:after="0" w:line="129" w:lineRule="exact"/>
        <w:rPr>
          <w:sz w:val="20"/>
          <w:szCs w:val="20"/>
          <w:color w:val="auto"/>
        </w:rPr>
      </w:pPr>
    </w:p>
    <w:p>
      <w:pPr>
        <w:jc w:val="both"/>
        <w:ind w:firstLine="595"/>
        <w:spacing w:after="0" w:line="228" w:lineRule="auto"/>
        <w:rPr>
          <w:sz w:val="20"/>
          <w:szCs w:val="20"/>
          <w:color w:val="auto"/>
        </w:rPr>
      </w:pPr>
      <w:r>
        <w:rPr>
          <w:rFonts w:ascii="Arial" w:cs="Arial" w:eastAsia="Arial" w:hAnsi="Arial"/>
          <w:sz w:val="18"/>
          <w:szCs w:val="18"/>
          <w:b w:val="1"/>
          <w:bCs w:val="1"/>
          <w:color w:val="auto"/>
        </w:rPr>
        <w:t xml:space="preserve">6.7 Protection of Intellectual Property Rights. </w:t>
      </w:r>
      <w:r>
        <w:rPr>
          <w:rFonts w:ascii="Arial" w:cs="Arial" w:eastAsia="Arial" w:hAnsi="Arial"/>
          <w:sz w:val="18"/>
          <w:szCs w:val="18"/>
          <w:color w:val="auto"/>
        </w:rPr>
        <w:t>Borrower and each of its Subsidiaries shall: (a) protect, defend and maintain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and enforceability of its respective Intellectual Property that is material to its business; (b) promptly advise Collateral Agent in writing of material infringement by a third party of its respective Intellectual Property; and (c) not allow any of its respective Intellectual Property material to its respective business to be abandoned, forfeited or dedicated to the public without Collateral Agent’s prior written consent.</w:t>
      </w:r>
    </w:p>
    <w:p>
      <w:pPr>
        <w:spacing w:after="0" w:line="118" w:lineRule="exact"/>
        <w:rPr>
          <w:sz w:val="20"/>
          <w:szCs w:val="20"/>
          <w:color w:val="auto"/>
        </w:rPr>
      </w:pPr>
    </w:p>
    <w:p>
      <w:pPr>
        <w:jc w:val="both"/>
        <w:ind w:firstLine="595"/>
        <w:spacing w:after="0" w:line="228" w:lineRule="auto"/>
        <w:rPr>
          <w:sz w:val="20"/>
          <w:szCs w:val="20"/>
          <w:color w:val="auto"/>
        </w:rPr>
      </w:pPr>
      <w:r>
        <w:rPr>
          <w:rFonts w:ascii="Arial" w:cs="Arial" w:eastAsia="Arial" w:hAnsi="Arial"/>
          <w:sz w:val="18"/>
          <w:szCs w:val="18"/>
          <w:b w:val="1"/>
          <w:bCs w:val="1"/>
          <w:color w:val="auto"/>
        </w:rPr>
        <w:t xml:space="preserve">6.8 Litigation Cooperation. </w:t>
      </w:r>
      <w:r>
        <w:rPr>
          <w:rFonts w:ascii="Arial" w:cs="Arial" w:eastAsia="Arial" w:hAnsi="Arial"/>
          <w:sz w:val="18"/>
          <w:szCs w:val="18"/>
          <w:color w:val="auto"/>
        </w:rPr>
        <w:t>Commencing on the Effective Date and continuing through the termination of this Agreement, make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Collateral Agent, without expense to Collateral Agent or the Lenders, Borrower and each of Borrower’s officers, employees and agents and Borrower’s Books, to the extent that Collateral Agent may reasonably deem them necessary to prosecute or defend any third-party suit or proceeding instituted by or against Collateral Agent with respect to any Collateral or relating to Borrower.</w:t>
      </w:r>
    </w:p>
    <w:p>
      <w:pPr>
        <w:spacing w:after="0" w:line="131" w:lineRule="exact"/>
        <w:rPr>
          <w:sz w:val="20"/>
          <w:szCs w:val="20"/>
          <w:color w:val="auto"/>
        </w:rPr>
      </w:pPr>
    </w:p>
    <w:p>
      <w:pPr>
        <w:jc w:val="both"/>
        <w:ind w:firstLine="595"/>
        <w:spacing w:after="0" w:line="207" w:lineRule="auto"/>
        <w:rPr>
          <w:sz w:val="20"/>
          <w:szCs w:val="20"/>
          <w:color w:val="auto"/>
        </w:rPr>
      </w:pPr>
      <w:r>
        <w:rPr>
          <w:rFonts w:ascii="Arial" w:cs="Arial" w:eastAsia="Arial" w:hAnsi="Arial"/>
          <w:sz w:val="19"/>
          <w:szCs w:val="19"/>
          <w:b w:val="1"/>
          <w:bCs w:val="1"/>
          <w:color w:val="auto"/>
        </w:rPr>
        <w:t xml:space="preserve">6.9 Landlord Waivers; Bailee Waivers. </w:t>
      </w:r>
      <w:r>
        <w:rPr>
          <w:rFonts w:ascii="Arial" w:cs="Arial" w:eastAsia="Arial" w:hAnsi="Arial"/>
          <w:sz w:val="19"/>
          <w:szCs w:val="19"/>
          <w:color w:val="auto"/>
        </w:rPr>
        <w:t>In the event that Borrower or any of its Subsidiaries, after the Effective Date, intends to add</w:t>
      </w:r>
      <w:r>
        <w:rPr>
          <w:rFonts w:ascii="Arial" w:cs="Arial" w:eastAsia="Arial" w:hAnsi="Arial"/>
          <w:sz w:val="19"/>
          <w:szCs w:val="19"/>
          <w:b w:val="1"/>
          <w:bCs w:val="1"/>
          <w:color w:val="auto"/>
        </w:rPr>
        <w:t xml:space="preserve"> </w:t>
      </w:r>
      <w:r>
        <w:rPr>
          <w:rFonts w:ascii="Arial" w:cs="Arial" w:eastAsia="Arial" w:hAnsi="Arial"/>
          <w:sz w:val="19"/>
          <w:szCs w:val="19"/>
          <w:color w:val="auto"/>
        </w:rPr>
        <w:t>any new offices or business locations, including warehouses, or otherwise store any portion of the Collateral with, or deliver any portion of the Collateral to, a bailee, in each case pursuant to Section 7.2, then, in the event that the Collateral at any new location is valued (based on book value) in excess of One Million Dollars ($1,000,000.00) in the aggregate, at Collateral Agent’s election, Borrower shall use commercially reasonable efforts to cause such bailee or landlord, as applicable, to execute and deliver a bailee waiver or landlord waiver, as applicable, in form and substance reasonably satisfactory to Collateral Agent prior to the addition of any new offices or business locations, or any such storage with or delivery to any such bailee, as the case may be; provided, that this Section 6.9 shall not be applicable to any locations owned or controlled by any contract research organization.</w:t>
      </w:r>
    </w:p>
    <w:p>
      <w:pPr>
        <w:spacing w:after="0" w:line="133" w:lineRule="exact"/>
        <w:rPr>
          <w:sz w:val="20"/>
          <w:szCs w:val="20"/>
          <w:color w:val="auto"/>
        </w:rPr>
      </w:pPr>
    </w:p>
    <w:p>
      <w:pPr>
        <w:jc w:val="both"/>
        <w:ind w:firstLine="595"/>
        <w:spacing w:after="0" w:line="216" w:lineRule="auto"/>
        <w:rPr>
          <w:sz w:val="20"/>
          <w:szCs w:val="20"/>
          <w:color w:val="auto"/>
        </w:rPr>
      </w:pPr>
      <w:r>
        <w:rPr>
          <w:rFonts w:ascii="Arial" w:cs="Arial" w:eastAsia="Arial" w:hAnsi="Arial"/>
          <w:sz w:val="19"/>
          <w:szCs w:val="19"/>
          <w:b w:val="1"/>
          <w:bCs w:val="1"/>
          <w:color w:val="auto"/>
        </w:rPr>
        <w:t xml:space="preserve">6.10 Creation/Acquisition of Subsidiaries. </w:t>
      </w:r>
      <w:r>
        <w:rPr>
          <w:rFonts w:ascii="Arial" w:cs="Arial" w:eastAsia="Arial" w:hAnsi="Arial"/>
          <w:sz w:val="19"/>
          <w:szCs w:val="19"/>
          <w:color w:val="auto"/>
        </w:rPr>
        <w:t>In the event any Borrower or any Subsidiary of any Borrower creates or acquires any</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Subsidiary after the Effective Date, Borrower or such Subsidiary shall promptly notify the Collateral Agent of such creation or acquisition, and Borrower or such Subsidiary shall take all actions reasonably requested by the Collateral Agent to achieve any of the following with respect to such “</w:t>
      </w:r>
      <w:r>
        <w:rPr>
          <w:rFonts w:ascii="Arial" w:cs="Arial" w:eastAsia="Arial" w:hAnsi="Arial"/>
          <w:sz w:val="19"/>
          <w:szCs w:val="19"/>
          <w:b w:val="1"/>
          <w:bCs w:val="1"/>
          <w:color w:val="auto"/>
        </w:rPr>
        <w:t>New Subsidiary</w:t>
      </w:r>
      <w:r>
        <w:rPr>
          <w:rFonts w:ascii="Arial" w:cs="Arial" w:eastAsia="Arial" w:hAnsi="Arial"/>
          <w:sz w:val="19"/>
          <w:szCs w:val="19"/>
          <w:color w:val="auto"/>
        </w:rPr>
        <w:t>” (defined as a Subsidiary formed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1344" w:right="339" w:bottom="1440" w:gutter="0" w:footer="0" w:header="0"/>
        </w:sectPr>
      </w:pPr>
    </w:p>
    <w:bookmarkStart w:id="227" w:name="page228"/>
    <w:bookmarkEnd w:id="227"/>
    <w:p>
      <w:pPr>
        <w:jc w:val="both"/>
        <w:spacing w:after="0" w:line="228" w:lineRule="auto"/>
        <w:rPr>
          <w:sz w:val="20"/>
          <w:szCs w:val="20"/>
          <w:color w:val="auto"/>
        </w:rPr>
      </w:pPr>
      <w:r>
        <w:rPr>
          <w:rFonts w:ascii="Arial" w:cs="Arial" w:eastAsia="Arial" w:hAnsi="Arial"/>
          <w:sz w:val="17"/>
          <w:szCs w:val="17"/>
          <w:color w:val="auto"/>
        </w:rPr>
        <w:t>during the term of this Agreement): (i) if such New Subsidiary is not an Excluded Subsidiary, to cause such New Subsidiary to become either a co-Borrower hereunder, or a secured guarantor with respect to the Obligations; and (ii) to grant and pledge to Collateral Agent a perfected security interest in (A) one hundred percent (100%) of the stock, units or other evidence of ownership held by Borrower or its Subsidiaries of any such New Subsidiary that is not an Excluded Subsidiary, or (B)(1) sixty-five percent (65%) of the stock, units or other evidence of ownership which entitle the holder thereof to vote for directors or any other matter and (2) one hundred percent (100%) of the stock, units or other evidence of ownership which do not entitle the holder thereof to vote for directors or any other matter, in each case held by Borrower or its Subsidiaries of any such New Subsidiary which is an Excluded Subsidiary. Notwithstanding the foregoing, immediately upon any change in the U.S. tax laws that would (i) result in such New Subsidiary ceasing to be an Excluded Subsidiary, Borrower shall cause such New Subsidiary to become either a co-Borrower hereunder or a secured guarantor with respect to the Obligations, or (ii) allow the pledge of a greater percentage of such voting equity interests of such New Subsidiary without material adverse tax consequences to Borrower, Borrower shall cause to be granted and pledged to Collateral Agent a perfected security interest in such greater percentage of voting equity interests of such New Subsidiary, in each case from that time forward.</w:t>
      </w:r>
    </w:p>
    <w:p>
      <w:pPr>
        <w:spacing w:after="0" w:line="135" w:lineRule="exact"/>
        <w:rPr>
          <w:sz w:val="20"/>
          <w:szCs w:val="20"/>
          <w:color w:val="auto"/>
        </w:rPr>
      </w:pPr>
    </w:p>
    <w:p>
      <w:pPr>
        <w:jc w:val="both"/>
        <w:ind w:firstLine="595"/>
        <w:spacing w:after="0" w:line="234" w:lineRule="auto"/>
        <w:rPr>
          <w:sz w:val="20"/>
          <w:szCs w:val="20"/>
          <w:color w:val="auto"/>
        </w:rPr>
      </w:pPr>
      <w:r>
        <w:rPr>
          <w:rFonts w:ascii="Arial" w:cs="Arial" w:eastAsia="Arial" w:hAnsi="Arial"/>
          <w:sz w:val="19"/>
          <w:szCs w:val="19"/>
          <w:b w:val="1"/>
          <w:bCs w:val="1"/>
          <w:color w:val="auto"/>
        </w:rPr>
        <w:t>6.11 Further Assurances</w:t>
      </w:r>
      <w:r>
        <w:rPr>
          <w:rFonts w:ascii="Arial" w:cs="Arial" w:eastAsia="Arial" w:hAnsi="Arial"/>
          <w:sz w:val="19"/>
          <w:szCs w:val="19"/>
          <w:color w:val="auto"/>
        </w:rPr>
        <w:t>. Execute any further instruments and take further action as Collateral Agent or any Lender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requests to perfect or continue Collateral Agent’s Lien in the Collateral or to effect the purposes of this Agreement.</w:t>
      </w:r>
    </w:p>
    <w:p>
      <w:pPr>
        <w:spacing w:after="0" w:line="117" w:lineRule="exact"/>
        <w:rPr>
          <w:sz w:val="20"/>
          <w:szCs w:val="20"/>
          <w:color w:val="auto"/>
        </w:rPr>
      </w:pPr>
    </w:p>
    <w:p>
      <w:pPr>
        <w:jc w:val="both"/>
        <w:ind w:firstLine="595"/>
        <w:spacing w:after="0" w:line="255" w:lineRule="auto"/>
        <w:rPr>
          <w:sz w:val="20"/>
          <w:szCs w:val="20"/>
          <w:color w:val="auto"/>
        </w:rPr>
      </w:pPr>
      <w:r>
        <w:rPr>
          <w:rFonts w:ascii="Arial" w:cs="Arial" w:eastAsia="Arial" w:hAnsi="Arial"/>
          <w:sz w:val="18"/>
          <w:szCs w:val="18"/>
          <w:b w:val="1"/>
          <w:bCs w:val="1"/>
          <w:color w:val="auto"/>
        </w:rPr>
        <w:t>6.12 Post-Effective Date Obligations</w:t>
      </w:r>
      <w:r>
        <w:rPr>
          <w:rFonts w:ascii="Arial" w:cs="Arial" w:eastAsia="Arial" w:hAnsi="Arial"/>
          <w:sz w:val="18"/>
          <w:szCs w:val="18"/>
          <w:color w:val="auto"/>
        </w:rPr>
        <w:t>. Notwithstanding any provision herein or in any other Loan Document to the contrary,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not actually delivered on or prior to the Effective Date, the Borrowers shall, and shall cause each applicable Subsidiary to:</w:t>
      </w:r>
    </w:p>
    <w:p>
      <w:pPr>
        <w:spacing w:after="0" w:line="135" w:lineRule="exact"/>
        <w:rPr>
          <w:sz w:val="20"/>
          <w:szCs w:val="20"/>
          <w:color w:val="auto"/>
        </w:rPr>
      </w:pPr>
    </w:p>
    <w:p>
      <w:pPr>
        <w:ind w:left="1860" w:hanging="616"/>
        <w:spacing w:after="0"/>
        <w:tabs>
          <w:tab w:leader="none" w:pos="186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deliver to Collateral Agent insurance endorsements, in each case satisfying the requirements of Section 6.5 within thirty</w:t>
      </w:r>
    </w:p>
    <w:p>
      <w:pPr>
        <w:spacing w:after="0" w:line="27" w:lineRule="exact"/>
        <w:rPr>
          <w:rFonts w:ascii="Arial" w:cs="Arial" w:eastAsia="Arial" w:hAnsi="Arial"/>
          <w:sz w:val="17"/>
          <w:szCs w:val="17"/>
          <w:color w:val="auto"/>
        </w:rPr>
      </w:pPr>
    </w:p>
    <w:p>
      <w:pPr>
        <w:ind w:left="360" w:hanging="357"/>
        <w:spacing w:after="0"/>
        <w:tabs>
          <w:tab w:leader="none" w:pos="36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days of the Effective Date (as may be extended by Collateral Agent in its sole discretion).</w:t>
      </w:r>
    </w:p>
    <w:p>
      <w:pPr>
        <w:spacing w:after="0" w:line="166" w:lineRule="exact"/>
        <w:rPr>
          <w:rFonts w:ascii="Arial" w:cs="Arial" w:eastAsia="Arial" w:hAnsi="Arial"/>
          <w:sz w:val="19"/>
          <w:szCs w:val="19"/>
          <w:color w:val="auto"/>
        </w:rPr>
      </w:pPr>
    </w:p>
    <w:p>
      <w:pPr>
        <w:jc w:val="both"/>
        <w:ind w:firstLine="1244"/>
        <w:spacing w:after="0" w:line="239" w:lineRule="auto"/>
        <w:tabs>
          <w:tab w:leader="none" w:pos="1849" w:val="left"/>
        </w:tabs>
        <w:numPr>
          <w:ilvl w:val="1"/>
          <w:numId w:val="188"/>
        </w:numPr>
        <w:rPr>
          <w:rFonts w:ascii="Arial" w:cs="Arial" w:eastAsia="Arial" w:hAnsi="Arial"/>
          <w:sz w:val="19"/>
          <w:szCs w:val="19"/>
          <w:color w:val="auto"/>
        </w:rPr>
      </w:pPr>
      <w:r>
        <w:rPr>
          <w:rFonts w:ascii="Arial" w:cs="Arial" w:eastAsia="Arial" w:hAnsi="Arial"/>
          <w:sz w:val="19"/>
          <w:szCs w:val="19"/>
          <w:color w:val="auto"/>
        </w:rPr>
        <w:t>use commercially reasonable efforts to deliver to Collateral Agent a landlord’s consent executed in favor of Collateral Agent in respect Borrower’s leased location at 3027 Townsgate Road Suite 300, Westlake Village, CA 91361 no later than sixty (60) days after the Effective Date (as may be extended by Collateral Agent in its sole discretion)</w:t>
      </w:r>
    </w:p>
    <w:p>
      <w:pPr>
        <w:spacing w:after="0" w:line="148" w:lineRule="exact"/>
        <w:rPr>
          <w:rFonts w:ascii="Arial" w:cs="Arial" w:eastAsia="Arial" w:hAnsi="Arial"/>
          <w:sz w:val="19"/>
          <w:szCs w:val="19"/>
          <w:color w:val="auto"/>
        </w:rPr>
      </w:pPr>
    </w:p>
    <w:p>
      <w:pPr>
        <w:jc w:val="both"/>
        <w:ind w:firstLine="1244"/>
        <w:spacing w:after="0" w:line="272" w:lineRule="auto"/>
        <w:tabs>
          <w:tab w:leader="none" w:pos="1851" w:val="left"/>
        </w:tabs>
        <w:numPr>
          <w:ilvl w:val="1"/>
          <w:numId w:val="188"/>
        </w:numPr>
        <w:rPr>
          <w:rFonts w:ascii="Arial" w:cs="Arial" w:eastAsia="Arial" w:hAnsi="Arial"/>
          <w:sz w:val="17"/>
          <w:szCs w:val="17"/>
          <w:color w:val="auto"/>
        </w:rPr>
      </w:pPr>
      <w:r>
        <w:rPr>
          <w:rFonts w:ascii="Arial" w:cs="Arial" w:eastAsia="Arial" w:hAnsi="Arial"/>
          <w:sz w:val="17"/>
          <w:szCs w:val="17"/>
          <w:color w:val="auto"/>
        </w:rPr>
        <w:t>use commercially reasonable efforts to deliver to Collateral Agent a bailee waiver executed in favor of Collateral Agent in respect of each third party bailee where Borrower or any Subsidiary maintains Collateral having a book value in excess of One Million Dollars ($1,000,000.00) in the aggregate no later than sixty (60) days after the Effective Date (as may be extended by Collateral Agent in its sole discretion); provided that this Section 6.12(c) shall not apply to any locations owned or controlled by any contract research organization.</w:t>
      </w:r>
    </w:p>
    <w:p>
      <w:pPr>
        <w:spacing w:after="0" w:line="348" w:lineRule="exact"/>
        <w:rPr>
          <w:sz w:val="20"/>
          <w:szCs w:val="20"/>
          <w:color w:val="auto"/>
        </w:rPr>
      </w:pPr>
    </w:p>
    <w:p>
      <w:pPr>
        <w:ind w:left="620" w:hanging="617"/>
        <w:spacing w:after="0"/>
        <w:tabs>
          <w:tab w:leader="none" w:pos="620" w:val="left"/>
        </w:tabs>
        <w:numPr>
          <w:ilvl w:val="0"/>
          <w:numId w:val="189"/>
        </w:numPr>
        <w:rPr>
          <w:rFonts w:ascii="Arial" w:cs="Arial" w:eastAsia="Arial" w:hAnsi="Arial"/>
          <w:sz w:val="19"/>
          <w:szCs w:val="19"/>
          <w:b w:val="1"/>
          <w:bCs w:val="1"/>
          <w:color w:val="auto"/>
        </w:rPr>
      </w:pPr>
      <w:r>
        <w:rPr>
          <w:rFonts w:ascii="Arial" w:cs="Arial" w:eastAsia="Arial" w:hAnsi="Arial"/>
          <w:sz w:val="19"/>
          <w:szCs w:val="19"/>
          <w:b w:val="1"/>
          <w:bCs w:val="1"/>
          <w:color w:val="auto"/>
        </w:rPr>
        <w:t>NEGATIVE COVENANTS</w:t>
      </w:r>
    </w:p>
    <w:p>
      <w:pPr>
        <w:spacing w:after="0" w:line="149" w:lineRule="exact"/>
        <w:rPr>
          <w:sz w:val="20"/>
          <w:szCs w:val="20"/>
          <w:color w:val="auto"/>
        </w:rPr>
      </w:pPr>
    </w:p>
    <w:p>
      <w:pPr>
        <w:jc w:val="both"/>
        <w:ind w:firstLine="620"/>
        <w:spacing w:after="0" w:line="231" w:lineRule="auto"/>
        <w:rPr>
          <w:sz w:val="20"/>
          <w:szCs w:val="20"/>
          <w:color w:val="auto"/>
        </w:rPr>
      </w:pPr>
      <w:r>
        <w:rPr>
          <w:rFonts w:ascii="Arial" w:cs="Arial" w:eastAsia="Arial" w:hAnsi="Arial"/>
          <w:sz w:val="19"/>
          <w:szCs w:val="19"/>
          <w:color w:val="auto"/>
        </w:rPr>
        <w:t>Borrower shall not, and shall not permit any of its Subsidiaries to, do any of the following without the prior written consent of the Required Lenders:</w:t>
      </w:r>
    </w:p>
    <w:p>
      <w:pPr>
        <w:spacing w:after="0" w:line="129" w:lineRule="exact"/>
        <w:rPr>
          <w:sz w:val="20"/>
          <w:szCs w:val="20"/>
          <w:color w:val="auto"/>
        </w:rPr>
      </w:pPr>
    </w:p>
    <w:p>
      <w:pPr>
        <w:jc w:val="both"/>
        <w:ind w:firstLine="595"/>
        <w:spacing w:after="0" w:line="225" w:lineRule="auto"/>
        <w:rPr>
          <w:sz w:val="20"/>
          <w:szCs w:val="20"/>
          <w:color w:val="auto"/>
        </w:rPr>
      </w:pPr>
      <w:r>
        <w:rPr>
          <w:rFonts w:ascii="Arial" w:cs="Arial" w:eastAsia="Arial" w:hAnsi="Arial"/>
          <w:sz w:val="18"/>
          <w:szCs w:val="18"/>
          <w:b w:val="1"/>
          <w:bCs w:val="1"/>
          <w:color w:val="auto"/>
        </w:rPr>
        <w:t xml:space="preserve">7.1 Dispositions. </w:t>
      </w:r>
      <w:r>
        <w:rPr>
          <w:rFonts w:ascii="Arial" w:cs="Arial" w:eastAsia="Arial" w:hAnsi="Arial"/>
          <w:sz w:val="18"/>
          <w:szCs w:val="18"/>
          <w:color w:val="auto"/>
        </w:rPr>
        <w:t>Convey, sell, lease, transfer, assign, dispose of, license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all or any part of its business or property, except for Transfers (a) of Inventory in the ordinary course of business; (b) of worn-out, surplus, uneconomic or obsolete Equipment; (c) in connection with Permitted Liens, Permitted Investments and Permitted Licenses; (d) cash or Cash Equivalents pursuant to transactions not prohibited by this Agreement, (e) sales or discounting of delinquent accounts in the ordinary course of business; or (f) other Transfers not to exceed One Million Dollars ($1,000,000.00) during the term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1350" w:right="339" w:bottom="1440" w:gutter="0" w:footer="0" w:header="0"/>
        </w:sectPr>
      </w:pPr>
    </w:p>
    <w:bookmarkStart w:id="228" w:name="page229"/>
    <w:bookmarkEnd w:id="228"/>
    <w:p>
      <w:pPr>
        <w:jc w:val="both"/>
        <w:ind w:firstLine="595"/>
        <w:spacing w:after="0" w:line="227" w:lineRule="auto"/>
        <w:rPr>
          <w:sz w:val="20"/>
          <w:szCs w:val="20"/>
          <w:color w:val="auto"/>
        </w:rPr>
      </w:pPr>
      <w:r>
        <w:rPr>
          <w:rFonts w:ascii="Arial" w:cs="Arial" w:eastAsia="Arial" w:hAnsi="Arial"/>
          <w:sz w:val="17"/>
          <w:szCs w:val="17"/>
          <w:b w:val="1"/>
          <w:bCs w:val="1"/>
          <w:color w:val="auto"/>
        </w:rPr>
        <w:t xml:space="preserve">7.2 Changes in Business, Management, Ownership, or Business Locations. </w:t>
      </w:r>
      <w:r>
        <w:rPr>
          <w:rFonts w:ascii="Arial" w:cs="Arial" w:eastAsia="Arial" w:hAnsi="Arial"/>
          <w:sz w:val="17"/>
          <w:szCs w:val="17"/>
          <w:color w:val="auto"/>
        </w:rPr>
        <w:t>(a) Engage in or permit any of its Subsidiaries to</w:t>
      </w:r>
      <w:r>
        <w:rPr>
          <w:rFonts w:ascii="Arial" w:cs="Arial" w:eastAsia="Arial" w:hAnsi="Arial"/>
          <w:sz w:val="17"/>
          <w:szCs w:val="17"/>
          <w:b w:val="1"/>
          <w:bCs w:val="1"/>
          <w:color w:val="auto"/>
        </w:rPr>
        <w:t xml:space="preserve"> </w:t>
      </w:r>
      <w:r>
        <w:rPr>
          <w:rFonts w:ascii="Arial" w:cs="Arial" w:eastAsia="Arial" w:hAnsi="Arial"/>
          <w:sz w:val="17"/>
          <w:szCs w:val="17"/>
          <w:color w:val="auto"/>
        </w:rPr>
        <w:t>engage in any business other than the businesses engaged in by Borrower or such Subsidiary, as applicable, as of the Effective Date or reasonably related, complimentary or incidental thereto; (b) liquidate or dissolve; or (c) (i) permit any Key Person to cease being actively engaged in the management of Borrower unless written notice thereof is provided to Collateral Agent within ten (10) Business Days of such cessation, or (ii) enter into any transaction or series of related transactions in which (any of the following, a “Change of Control”) (A) the stockholders of Borrower who were not stockholders immediately prior to the first such transaction own more than forty-five percent (45%) of the voting stock of Borrower immediately after giving effect to such transaction or related series of such transactions, (B) that is a change of control or other fundamental change (howsoever defined) under the indenture governing any Permitted Convertible Indebtedness and (C) except as permitted by Section 7.3, Borrower ceases to own, directly or indirectly, one hundred percent (100%) of the ownership interests in each Subsidiary of Borrower. Borrower shall not, and shall not permit any of its Subsidiaries to, without at least twenty (20) days’ prior written notice to Collateral Agent: (A) add any new offices or business locations, including warehouses (unless such new offices or business locations contain less than One Million Dollars ($1,000,000.00) in assets or property of Borrower or any of its Subsidiaries, as applicable); (B) change its respective jurisdiction of organization, (C) except as permitted by Section 7.3, change its respective organizational structure or type, (D) change its respective legal name, or (E) change any organizational number(s) (if any) assigned by its respective jurisdiction of organization.</w:t>
      </w:r>
    </w:p>
    <w:p>
      <w:pPr>
        <w:spacing w:after="0" w:line="138" w:lineRule="exact"/>
        <w:rPr>
          <w:sz w:val="20"/>
          <w:szCs w:val="20"/>
          <w:color w:val="auto"/>
        </w:rPr>
      </w:pPr>
    </w:p>
    <w:p>
      <w:pPr>
        <w:jc w:val="both"/>
        <w:ind w:firstLine="595"/>
        <w:spacing w:after="0" w:line="235" w:lineRule="auto"/>
        <w:rPr>
          <w:sz w:val="20"/>
          <w:szCs w:val="20"/>
          <w:color w:val="auto"/>
        </w:rPr>
      </w:pPr>
      <w:r>
        <w:rPr>
          <w:rFonts w:ascii="Arial" w:cs="Arial" w:eastAsia="Arial" w:hAnsi="Arial"/>
          <w:sz w:val="17"/>
          <w:szCs w:val="17"/>
          <w:b w:val="1"/>
          <w:bCs w:val="1"/>
          <w:color w:val="auto"/>
        </w:rPr>
        <w:t xml:space="preserve">7.3 Mergers or Acquisitions. </w:t>
      </w:r>
      <w:r>
        <w:rPr>
          <w:rFonts w:ascii="Arial" w:cs="Arial" w:eastAsia="Arial" w:hAnsi="Arial"/>
          <w:sz w:val="17"/>
          <w:szCs w:val="17"/>
          <w:color w:val="auto"/>
        </w:rPr>
        <w:t>Merge or consolidate, or permit any of its Subsidiaries to merge or consolidate, with any other Person,</w:t>
      </w:r>
      <w:r>
        <w:rPr>
          <w:rFonts w:ascii="Arial" w:cs="Arial" w:eastAsia="Arial" w:hAnsi="Arial"/>
          <w:sz w:val="17"/>
          <w:szCs w:val="17"/>
          <w:b w:val="1"/>
          <w:bCs w:val="1"/>
          <w:color w:val="auto"/>
        </w:rPr>
        <w:t xml:space="preserve"> </w:t>
      </w:r>
      <w:r>
        <w:rPr>
          <w:rFonts w:ascii="Arial" w:cs="Arial" w:eastAsia="Arial" w:hAnsi="Arial"/>
          <w:sz w:val="17"/>
          <w:szCs w:val="17"/>
          <w:color w:val="auto"/>
        </w:rPr>
        <w:t>or acquire, or permit any of its Subsidiaries to acquire, all or substantially all of the capital stock or shares or any property of another Person (other than Permitted Acquisitions), in each case including for the avoidance of doubt through a merger, purchase, in-licensing arrangement or any similar transaction. A Subsidiary may merge or consolidate into another Subsidiary (provided such surviving Subsidiary is a “co-Borrower” hereunder or has provided a secured Guaranty of Borrower’s Obligations hereunder in accordance with Section 6.10) or with (or into) Borrower provided Borrower is the surviving legal entity, and as long as no Event of Default is occurring prior thereto or arises as a result therefrom.</w:t>
      </w:r>
    </w:p>
    <w:p>
      <w:pPr>
        <w:spacing w:after="0" w:line="118" w:lineRule="exact"/>
        <w:rPr>
          <w:sz w:val="20"/>
          <w:szCs w:val="20"/>
          <w:color w:val="auto"/>
        </w:rPr>
      </w:pPr>
    </w:p>
    <w:p>
      <w:pPr>
        <w:jc w:val="both"/>
        <w:ind w:firstLine="595"/>
        <w:spacing w:after="0" w:line="234" w:lineRule="auto"/>
        <w:rPr>
          <w:sz w:val="20"/>
          <w:szCs w:val="20"/>
          <w:color w:val="auto"/>
        </w:rPr>
      </w:pPr>
      <w:r>
        <w:rPr>
          <w:rFonts w:ascii="Arial" w:cs="Arial" w:eastAsia="Arial" w:hAnsi="Arial"/>
          <w:sz w:val="19"/>
          <w:szCs w:val="19"/>
          <w:b w:val="1"/>
          <w:bCs w:val="1"/>
          <w:color w:val="auto"/>
        </w:rPr>
        <w:t xml:space="preserve">7.4 Indebtedness. </w:t>
      </w:r>
      <w:r>
        <w:rPr>
          <w:rFonts w:ascii="Arial" w:cs="Arial" w:eastAsia="Arial" w:hAnsi="Arial"/>
          <w:sz w:val="19"/>
          <w:szCs w:val="19"/>
          <w:color w:val="auto"/>
        </w:rPr>
        <w:t>Create, incur, assume, or be liable for any Indebtedness, or permit any Subsidiary to do so, other than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Indebtedness.</w:t>
      </w:r>
    </w:p>
    <w:p>
      <w:pPr>
        <w:spacing w:after="0" w:line="130" w:lineRule="exact"/>
        <w:rPr>
          <w:sz w:val="20"/>
          <w:szCs w:val="20"/>
          <w:color w:val="auto"/>
        </w:rPr>
      </w:pPr>
    </w:p>
    <w:p>
      <w:pPr>
        <w:jc w:val="both"/>
        <w:ind w:firstLine="595"/>
        <w:spacing w:after="0" w:line="209" w:lineRule="auto"/>
        <w:rPr>
          <w:sz w:val="20"/>
          <w:szCs w:val="20"/>
          <w:color w:val="auto"/>
        </w:rPr>
      </w:pPr>
      <w:r>
        <w:rPr>
          <w:rFonts w:ascii="Arial" w:cs="Arial" w:eastAsia="Arial" w:hAnsi="Arial"/>
          <w:sz w:val="19"/>
          <w:szCs w:val="19"/>
          <w:b w:val="1"/>
          <w:bCs w:val="1"/>
          <w:color w:val="auto"/>
        </w:rPr>
        <w:t xml:space="preserve">7.5 Encumbrance. </w:t>
      </w:r>
      <w:r>
        <w:rPr>
          <w:rFonts w:ascii="Arial" w:cs="Arial" w:eastAsia="Arial" w:hAnsi="Arial"/>
          <w:sz w:val="19"/>
          <w:szCs w:val="19"/>
          <w:color w:val="auto"/>
        </w:rPr>
        <w:t>Create, incur, allow, or suffer any Lien on any of its property, or assign or convey any right to receive income,</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the sale of any 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Secured Parties)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“Permitted Liens”.</w:t>
      </w:r>
    </w:p>
    <w:p>
      <w:pPr>
        <w:spacing w:after="0" w:line="128" w:lineRule="exact"/>
        <w:rPr>
          <w:sz w:val="20"/>
          <w:szCs w:val="20"/>
          <w:color w:val="auto"/>
        </w:rPr>
      </w:pPr>
    </w:p>
    <w:p>
      <w:pPr>
        <w:jc w:val="both"/>
        <w:ind w:firstLine="595"/>
        <w:spacing w:after="0" w:line="234" w:lineRule="auto"/>
        <w:rPr>
          <w:sz w:val="20"/>
          <w:szCs w:val="20"/>
          <w:color w:val="auto"/>
        </w:rPr>
      </w:pPr>
      <w:r>
        <w:rPr>
          <w:rFonts w:ascii="Arial" w:cs="Arial" w:eastAsia="Arial" w:hAnsi="Arial"/>
          <w:sz w:val="19"/>
          <w:szCs w:val="19"/>
          <w:b w:val="1"/>
          <w:bCs w:val="1"/>
          <w:color w:val="auto"/>
        </w:rPr>
        <w:t xml:space="preserve">7.6 Maintenance of Collateral Accounts. </w:t>
      </w:r>
      <w:r>
        <w:rPr>
          <w:rFonts w:ascii="Arial" w:cs="Arial" w:eastAsia="Arial" w:hAnsi="Arial"/>
          <w:sz w:val="19"/>
          <w:szCs w:val="19"/>
          <w:color w:val="auto"/>
        </w:rPr>
        <w:t>With respect to Borrower and any Guarantors, maintain any Collateral Account except</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terms of Section 6.6 hereof.</w:t>
      </w:r>
    </w:p>
    <w:p>
      <w:pPr>
        <w:spacing w:after="0" w:line="117" w:lineRule="exact"/>
        <w:rPr>
          <w:sz w:val="20"/>
          <w:szCs w:val="20"/>
          <w:color w:val="auto"/>
        </w:rPr>
      </w:pPr>
    </w:p>
    <w:p>
      <w:pPr>
        <w:jc w:val="both"/>
        <w:ind w:firstLine="595"/>
        <w:spacing w:after="0" w:line="218" w:lineRule="auto"/>
        <w:rPr>
          <w:sz w:val="20"/>
          <w:szCs w:val="20"/>
          <w:color w:val="auto"/>
        </w:rPr>
      </w:pPr>
      <w:r>
        <w:rPr>
          <w:rFonts w:ascii="Arial" w:cs="Arial" w:eastAsia="Arial" w:hAnsi="Arial"/>
          <w:sz w:val="18"/>
          <w:szCs w:val="18"/>
          <w:b w:val="1"/>
          <w:bCs w:val="1"/>
          <w:color w:val="auto"/>
        </w:rPr>
        <w:t xml:space="preserve">7.7 Restricted Payments. </w:t>
      </w:r>
      <w:r>
        <w:rPr>
          <w:rFonts w:ascii="Arial" w:cs="Arial" w:eastAsia="Arial" w:hAnsi="Arial"/>
          <w:sz w:val="18"/>
          <w:szCs w:val="18"/>
          <w:color w:val="auto"/>
        </w:rPr>
        <w:t>(a) Declare or pay any dividends (other than dividends payable solely in capital stock) or make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or payment in respect of or redeem, retire or purchase any capital stock or Permitted Convertible Indebtedness (other than (i) the declaration or payment of dividends to Borrower or its Subsidiaries, (ii) so long as no Default or Event of Default exists or would result therefrom, the declaration or payment of any dividends solely in the form of equity securities, and (iii) repurchases pursuant to the terms of employee stock purchase plans, employee restricted stock agreements, stockholder rights plans, director or consultant stock option plans, or similar plans, provided such repurchases do not exceed Five Hundred Thousand Dollars ($500,000.00) in the aggregate per fiscal year), (b) other than the Obligations in accordance with the terms hereof, purchase, redeem, defease or prepay any principal of, premium, if any, interest or other amount payable in respect of any Indebtedness prior to its scheduled maturity unless being replaced with Indebtedness of at least the same principal amount and such new Indebtedness is Permitted Indebtedness, or (c) be a party to or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1344" w:right="339" w:bottom="1440" w:gutter="0" w:footer="0" w:header="0"/>
        </w:sectPr>
      </w:pPr>
    </w:p>
    <w:bookmarkStart w:id="229" w:name="page230"/>
    <w:bookmarkEnd w:id="229"/>
    <w:p>
      <w:pPr>
        <w:jc w:val="both"/>
        <w:spacing w:after="0" w:line="231" w:lineRule="auto"/>
        <w:rPr>
          <w:sz w:val="20"/>
          <w:szCs w:val="20"/>
          <w:color w:val="auto"/>
        </w:rPr>
      </w:pPr>
      <w:r>
        <w:rPr>
          <w:rFonts w:ascii="Arial" w:cs="Arial" w:eastAsia="Arial" w:hAnsi="Arial"/>
          <w:sz w:val="19"/>
          <w:szCs w:val="19"/>
          <w:color w:val="auto"/>
        </w:rPr>
        <w:t>by an agreement that restricts a Subsidiary from paying dividends or otherwise distributing property to Borrower other than this Agreement or any equity or organizational documents of Borrower or such Subsidiary.</w:t>
      </w:r>
    </w:p>
    <w:p>
      <w:pPr>
        <w:spacing w:after="0" w:line="13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 xml:space="preserve">Notwithstanding the foregoing, and for the avoidance of doubt, this Section 7.7 shall not prohibit (i) the conversion by holders (including any cash payment upon conversion) of, or required payment of any principal or premium on, or required payment of any interest with respect to, any Permitted Convertible Indebtedness, in each case, in accordance with the terms of the indenture governing such Permitted Convertible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(i) shall only allow principal payments with respect to any repurchase in connection with the redemption of Permitted Convertible Indebtedness upon satisfaction of a condition related to the stock price of the Borrower’s common stock if the Redemption Conditions are satisfied in respect of such redemption, or (ii) any required payment with respect to, or required early unwind or settlement of, any Permitted Call Spread Agreement, in each case, in accordance with the terms of the agreement governing such Permitted Call Spread Agreement.</w:t>
      </w:r>
    </w:p>
    <w:p>
      <w:pPr>
        <w:spacing w:after="0" w:line="124"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Notwithstanding the restriction in Section 7.7, the Borrower may redeem, repurchase, exchange or induce the conversion of Permitted Convertible Indebtedness by delivery of shares of the Borrower’s common stock and/or a different series of Permitted Convertible Indebtedness (which series</w:t>
      </w:r>
    </w:p>
    <w:p>
      <w:pPr>
        <w:spacing w:after="0" w:line="2" w:lineRule="exact"/>
        <w:rPr>
          <w:sz w:val="20"/>
          <w:szCs w:val="20"/>
          <w:color w:val="auto"/>
        </w:rPr>
      </w:pPr>
    </w:p>
    <w:p>
      <w:pPr>
        <w:jc w:val="both"/>
        <w:ind w:firstLine="3"/>
        <w:spacing w:after="0" w:line="213" w:lineRule="auto"/>
        <w:tabs>
          <w:tab w:leader="none" w:pos="27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matures after, and does not require any scheduled amortization or other scheduled payments of principal prior to, the analogous date under the indenture governing the Permitted Convertible Indebtedness that are so repurchased, exchanged or converted and (y) has terms, conditions and covenants that are no less favorable to the Borrower than the Permitted Convertible Indebtedness that is so repurchased, exchanged or converted (as determined by the Borrower in good faith)) (any such series of Permitted Convertible Indebtedness, “</w:t>
      </w:r>
      <w:r>
        <w:rPr>
          <w:rFonts w:ascii="Arial" w:cs="Arial" w:eastAsia="Arial" w:hAnsi="Arial"/>
          <w:sz w:val="18"/>
          <w:szCs w:val="18"/>
          <w:b w:val="1"/>
          <w:bCs w:val="1"/>
          <w:color w:val="auto"/>
        </w:rPr>
        <w:t>Refinancing Convertible Indebtedness</w:t>
      </w:r>
      <w:r>
        <w:rPr>
          <w:rFonts w:ascii="Arial" w:cs="Arial" w:eastAsia="Arial" w:hAnsi="Arial"/>
          <w:sz w:val="18"/>
          <w:szCs w:val="18"/>
          <w:color w:val="auto"/>
        </w:rPr>
        <w:t>”) and/or by payment of cash (in an amount that does not exceed the proceeds received by the Borrower from the substantially concurrent issuance of shares of the Borrower’s common stock and/or a Refinancing Convertible Indebtedness plus the net cash proceeds, if any, received by the Borrower pursuant to the related exercise or early unwind or termination of the related Permitted Call Spread Agreements pursuant to the immediately following proviso); provided that, substantially concurrently with, or a commercially reasonable period of time before or after, the related settlement date for the Permitted Convertible Indebtedness that is so repurchased, exchanged or converted, the Borrower shall (and, for the avoidance of doubt, shall be permitted under this Section 7.7 to) exercise or unwind or terminate early (whether in cash, shares or any combination thereof) the portion of the Permitted Call Spread Agreements, if any, corresponding to such Permitted Convertible Indebtedness that is so repurchased, exchanged or converted.</w:t>
      </w:r>
    </w:p>
    <w:p>
      <w:pPr>
        <w:spacing w:after="0" w:line="138" w:lineRule="exact"/>
        <w:rPr>
          <w:sz w:val="20"/>
          <w:szCs w:val="20"/>
          <w:color w:val="auto"/>
        </w:rPr>
      </w:pPr>
    </w:p>
    <w:p>
      <w:pPr>
        <w:jc w:val="both"/>
        <w:ind w:firstLine="595"/>
        <w:spacing w:after="0" w:line="234" w:lineRule="auto"/>
        <w:rPr>
          <w:sz w:val="20"/>
          <w:szCs w:val="20"/>
          <w:color w:val="auto"/>
        </w:rPr>
      </w:pPr>
      <w:r>
        <w:rPr>
          <w:rFonts w:ascii="Arial" w:cs="Arial" w:eastAsia="Arial" w:hAnsi="Arial"/>
          <w:sz w:val="19"/>
          <w:szCs w:val="19"/>
          <w:b w:val="1"/>
          <w:bCs w:val="1"/>
          <w:color w:val="auto"/>
        </w:rPr>
        <w:t xml:space="preserve">7.8 Investments. </w:t>
      </w:r>
      <w:r>
        <w:rPr>
          <w:rFonts w:ascii="Arial" w:cs="Arial" w:eastAsia="Arial" w:hAnsi="Arial"/>
          <w:sz w:val="19"/>
          <w:szCs w:val="19"/>
          <w:color w:val="auto"/>
        </w:rPr>
        <w:t>Directly or indirectly make any Investment other than Permitted Investments, or permit any of its Subsidiaries to do</w:t>
      </w:r>
      <w:r>
        <w:rPr>
          <w:rFonts w:ascii="Arial" w:cs="Arial" w:eastAsia="Arial" w:hAnsi="Arial"/>
          <w:sz w:val="19"/>
          <w:szCs w:val="19"/>
          <w:b w:val="1"/>
          <w:bCs w:val="1"/>
          <w:color w:val="auto"/>
        </w:rPr>
        <w:t xml:space="preserve"> </w:t>
      </w:r>
      <w:r>
        <w:rPr>
          <w:rFonts w:ascii="Arial" w:cs="Arial" w:eastAsia="Arial" w:hAnsi="Arial"/>
          <w:sz w:val="19"/>
          <w:szCs w:val="19"/>
          <w:color w:val="auto"/>
        </w:rPr>
        <w:t>so other than Permitted Investments.</w:t>
      </w:r>
    </w:p>
    <w:p>
      <w:pPr>
        <w:spacing w:after="0" w:line="130" w:lineRule="exact"/>
        <w:rPr>
          <w:sz w:val="20"/>
          <w:szCs w:val="20"/>
          <w:color w:val="auto"/>
        </w:rPr>
      </w:pPr>
    </w:p>
    <w:p>
      <w:pPr>
        <w:jc w:val="both"/>
        <w:ind w:firstLine="595"/>
        <w:spacing w:after="0" w:line="210" w:lineRule="auto"/>
        <w:rPr>
          <w:sz w:val="20"/>
          <w:szCs w:val="20"/>
          <w:color w:val="auto"/>
        </w:rPr>
      </w:pPr>
      <w:r>
        <w:rPr>
          <w:rFonts w:ascii="Arial" w:cs="Arial" w:eastAsia="Arial" w:hAnsi="Arial"/>
          <w:sz w:val="19"/>
          <w:szCs w:val="19"/>
          <w:b w:val="1"/>
          <w:bCs w:val="1"/>
          <w:color w:val="auto"/>
        </w:rPr>
        <w:t xml:space="preserve">7.9 Transactions with Affiliates. </w:t>
      </w:r>
      <w:r>
        <w:rPr>
          <w:rFonts w:ascii="Arial" w:cs="Arial" w:eastAsia="Arial" w:hAnsi="Arial"/>
          <w:sz w:val="19"/>
          <w:szCs w:val="19"/>
          <w:color w:val="auto"/>
        </w:rPr>
        <w:t>Directly or indirectly enter into or permit to exist any material transaction with any Affiliate of</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or any of 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(b) Subordinated Debt or equity investments by Borrower’s investors in Borrower or its Subsidiaries, and (c) compensation arrangements for Borrower’s and its Subsidiaries’ officers, directors and employees that are customary in Borrower’s industry and approved by Borrower’s board of directors.</w:t>
      </w:r>
    </w:p>
    <w:p>
      <w:pPr>
        <w:spacing w:after="0" w:line="119" w:lineRule="exact"/>
        <w:rPr>
          <w:sz w:val="20"/>
          <w:szCs w:val="20"/>
          <w:color w:val="auto"/>
        </w:rPr>
      </w:pPr>
    </w:p>
    <w:p>
      <w:pPr>
        <w:jc w:val="both"/>
        <w:ind w:firstLine="595"/>
        <w:spacing w:after="0" w:line="253" w:lineRule="auto"/>
        <w:rPr>
          <w:sz w:val="20"/>
          <w:szCs w:val="20"/>
          <w:color w:val="auto"/>
        </w:rPr>
      </w:pPr>
      <w:r>
        <w:rPr>
          <w:rFonts w:ascii="Arial" w:cs="Arial" w:eastAsia="Arial" w:hAnsi="Arial"/>
          <w:sz w:val="17"/>
          <w:szCs w:val="17"/>
          <w:b w:val="1"/>
          <w:bCs w:val="1"/>
          <w:color w:val="auto"/>
        </w:rPr>
        <w:t xml:space="preserve">7.10 Subordinated Debt. </w:t>
      </w:r>
      <w:r>
        <w:rPr>
          <w:rFonts w:ascii="Arial" w:cs="Arial" w:eastAsia="Arial" w:hAnsi="Arial"/>
          <w:sz w:val="17"/>
          <w:szCs w:val="17"/>
          <w:color w:val="auto"/>
        </w:rPr>
        <w:t>(a) Make or permit any payment on any Subordinated Debt, except under the terms of the subordination,</w:t>
      </w:r>
      <w:r>
        <w:rPr>
          <w:rFonts w:ascii="Arial" w:cs="Arial" w:eastAsia="Arial" w:hAnsi="Arial"/>
          <w:sz w:val="17"/>
          <w:szCs w:val="17"/>
          <w:b w:val="1"/>
          <w:bCs w:val="1"/>
          <w:color w:val="auto"/>
        </w:rPr>
        <w:t xml:space="preserve"> </w:t>
      </w:r>
      <w:r>
        <w:rPr>
          <w:rFonts w:ascii="Arial" w:cs="Arial" w:eastAsia="Arial" w:hAnsi="Arial"/>
          <w:sz w:val="17"/>
          <w:szCs w:val="17"/>
          <w:color w:val="auto"/>
        </w:rPr>
        <w:t>intercreditor, or 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118" w:lineRule="exact"/>
        <w:rPr>
          <w:sz w:val="20"/>
          <w:szCs w:val="20"/>
          <w:color w:val="auto"/>
        </w:rPr>
      </w:pPr>
    </w:p>
    <w:p>
      <w:pPr>
        <w:jc w:val="both"/>
        <w:ind w:firstLine="595"/>
        <w:spacing w:after="0" w:line="213" w:lineRule="auto"/>
        <w:rPr>
          <w:sz w:val="20"/>
          <w:szCs w:val="20"/>
          <w:color w:val="auto"/>
        </w:rPr>
      </w:pPr>
      <w:r>
        <w:rPr>
          <w:rFonts w:ascii="Arial" w:cs="Arial" w:eastAsia="Arial" w:hAnsi="Arial"/>
          <w:sz w:val="19"/>
          <w:szCs w:val="19"/>
          <w:b w:val="1"/>
          <w:bCs w:val="1"/>
          <w:color w:val="auto"/>
        </w:rPr>
        <w:t xml:space="preserve">7.11 Compliance. </w:t>
      </w:r>
      <w:r>
        <w:rPr>
          <w:rFonts w:ascii="Arial" w:cs="Arial" w:eastAsia="Arial" w:hAnsi="Arial"/>
          <w:sz w:val="19"/>
          <w:szCs w:val="19"/>
          <w:color w:val="auto"/>
        </w:rPr>
        <w:t>(a) Become an “investment company” or a company controlled by an “investment company”, under the Investment</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Act of 1940, as amended, or undertake as one of its important activities extending credit to purchase or carry margin stock (as defined in Regulation U of the Board of Governors of the Federal Reserve System), or use the proceeds of any Term Loan for that purpose; (b) fail to meet the minimum funding requirements of ERISA; (c) permit a Reportable Event or Prohibited Transaction, as defined in ERISA, to occur; (d) fail to comply with the Federal Fair Labor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40"/>
          </w:cols>
          <w:pgMar w:left="320" w:top="1350" w:right="339" w:bottom="1440" w:gutter="0" w:footer="0" w:header="0"/>
        </w:sectPr>
      </w:pPr>
    </w:p>
    <w:bookmarkStart w:id="230" w:name="page231"/>
    <w:bookmarkEnd w:id="230"/>
    <w:p>
      <w:pPr>
        <w:jc w:val="both"/>
        <w:spacing w:after="0" w:line="211" w:lineRule="auto"/>
        <w:rPr>
          <w:sz w:val="20"/>
          <w:szCs w:val="20"/>
          <w:color w:val="auto"/>
        </w:rPr>
      </w:pPr>
      <w:r>
        <w:rPr>
          <w:rFonts w:ascii="Arial" w:cs="Arial" w:eastAsia="Arial" w:hAnsi="Arial"/>
          <w:sz w:val="19"/>
          <w:szCs w:val="19"/>
          <w:color w:val="auto"/>
        </w:rPr>
        <w:t>Standards Act or violate any other law or regulation, if the violation could reasonably be expected to have a Material Adverse Change, or permit any of its Subsidiaries to do so; or (e)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32" w:lineRule="exact"/>
        <w:rPr>
          <w:sz w:val="20"/>
          <w:szCs w:val="20"/>
          <w:color w:val="auto"/>
        </w:rPr>
      </w:pPr>
    </w:p>
    <w:p>
      <w:pPr>
        <w:jc w:val="both"/>
        <w:ind w:firstLine="595"/>
        <w:spacing w:after="0" w:line="227" w:lineRule="auto"/>
        <w:rPr>
          <w:sz w:val="20"/>
          <w:szCs w:val="20"/>
          <w:color w:val="auto"/>
        </w:rPr>
      </w:pPr>
      <w:r>
        <w:rPr>
          <w:rFonts w:ascii="Arial" w:cs="Arial" w:eastAsia="Arial" w:hAnsi="Arial"/>
          <w:sz w:val="17"/>
          <w:szCs w:val="17"/>
          <w:b w:val="1"/>
          <w:bCs w:val="1"/>
          <w:color w:val="auto"/>
        </w:rPr>
        <w:t xml:space="preserve">7.12 Compliance with Anti-Terrorism Laws. </w:t>
      </w:r>
      <w:r>
        <w:rPr>
          <w:rFonts w:ascii="Arial" w:cs="Arial" w:eastAsia="Arial" w:hAnsi="Arial"/>
          <w:sz w:val="17"/>
          <w:szCs w:val="17"/>
          <w:color w:val="auto"/>
        </w:rPr>
        <w:t>Directly or indirectly, knowingly or permit any Affiliate to enter into any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instruments, agreements or contracts with any Person listed on the OFAC Lists. Directly or indirectly or permit any Affiliate to, (a) conduct any business or engage in any transaction or dealing with any Blocked Person, including, without limitation, the making or receiving of any contribution of funds, goods or services to or for the benefit of any Blocked Person, (b) deal in, or otherwise engage in any transaction relating to, any property or interests in property blocked pursuant to Executive Order No. 13224 or any similar executive order or other Anti-Terrorism Law, or</w:t>
      </w:r>
    </w:p>
    <w:p>
      <w:pPr>
        <w:spacing w:after="0" w:line="2" w:lineRule="exact"/>
        <w:rPr>
          <w:sz w:val="20"/>
          <w:szCs w:val="20"/>
          <w:color w:val="auto"/>
        </w:rPr>
      </w:pPr>
    </w:p>
    <w:p>
      <w:pPr>
        <w:ind w:firstLine="3"/>
        <w:spacing w:after="0" w:line="222" w:lineRule="auto"/>
        <w:tabs>
          <w:tab w:leader="none" w:pos="258" w:val="left"/>
        </w:tabs>
        <w:numPr>
          <w:ilvl w:val="0"/>
          <w:numId w:val="191"/>
        </w:numPr>
        <w:rPr>
          <w:rFonts w:ascii="Arial" w:cs="Arial" w:eastAsia="Arial" w:hAnsi="Arial"/>
          <w:sz w:val="19"/>
          <w:szCs w:val="19"/>
          <w:color w:val="auto"/>
        </w:rPr>
      </w:pPr>
      <w:r>
        <w:rPr>
          <w:rFonts w:ascii="Arial" w:cs="Arial" w:eastAsia="Arial" w:hAnsi="Arial"/>
          <w:sz w:val="19"/>
          <w:szCs w:val="19"/>
          <w:color w:val="auto"/>
        </w:rPr>
        <w:t>engage in or conspire to engage in any transaction that evades or avoids, or has the purpose of evading or avoiding, or attempts to violate, any of the prohibitions set forth in Executive Order No. 13224 or other Anti-Terrorism Law.</w:t>
      </w:r>
    </w:p>
    <w:p>
      <w:pPr>
        <w:spacing w:after="0" w:line="116" w:lineRule="exact"/>
        <w:rPr>
          <w:sz w:val="20"/>
          <w:szCs w:val="20"/>
          <w:color w:val="auto"/>
        </w:rPr>
      </w:pPr>
    </w:p>
    <w:p>
      <w:pPr>
        <w:jc w:val="both"/>
        <w:ind w:firstLine="595"/>
        <w:spacing w:after="0" w:line="213" w:lineRule="auto"/>
        <w:rPr>
          <w:sz w:val="20"/>
          <w:szCs w:val="20"/>
          <w:color w:val="auto"/>
        </w:rPr>
      </w:pPr>
      <w:r>
        <w:rPr>
          <w:rFonts w:ascii="Arial" w:cs="Arial" w:eastAsia="Arial" w:hAnsi="Arial"/>
          <w:sz w:val="19"/>
          <w:szCs w:val="19"/>
          <w:b w:val="1"/>
          <w:bCs w:val="1"/>
          <w:color w:val="auto"/>
        </w:rPr>
        <w:t xml:space="preserve">7.13 Financial Covenant. </w:t>
      </w:r>
      <w:r>
        <w:rPr>
          <w:rFonts w:ascii="Arial" w:cs="Arial" w:eastAsia="Arial" w:hAnsi="Arial"/>
          <w:sz w:val="19"/>
          <w:szCs w:val="19"/>
          <w:color w:val="auto"/>
        </w:rPr>
        <w:t>Permit Net Product Revenue, measured at the end of the applicable month beginning with the month ending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December 31, 2023, to be lower than the Net Product Revenue set forth opposite the applicable month end for the applicable measuring periods as provided on </w:t>
      </w:r>
      <w:r>
        <w:rPr>
          <w:rFonts w:ascii="Arial" w:cs="Arial" w:eastAsia="Arial" w:hAnsi="Arial"/>
          <w:sz w:val="19"/>
          <w:szCs w:val="19"/>
          <w:u w:val="single" w:color="auto"/>
          <w:color w:val="auto"/>
        </w:rPr>
        <w:t>Schedule 7.13</w:t>
      </w:r>
      <w:r>
        <w:rPr>
          <w:rFonts w:ascii="Arial" w:cs="Arial" w:eastAsia="Arial" w:hAnsi="Arial"/>
          <w:sz w:val="19"/>
          <w:szCs w:val="19"/>
          <w:color w:val="auto"/>
        </w:rPr>
        <w:t xml:space="preserve"> attached hereto; provided, however, that for any such month where Borrower’s Average Market Capitalization measured over the trailing five (5) day period prior to the last day of such month is greater than or equal to Four Hundred Million Dollars ($400,000,000.00), this covenant shall not apply.</w:t>
      </w:r>
    </w:p>
    <w:p>
      <w:pPr>
        <w:spacing w:after="0" w:line="129" w:lineRule="exact"/>
        <w:rPr>
          <w:sz w:val="20"/>
          <w:szCs w:val="20"/>
          <w:color w:val="auto"/>
        </w:rPr>
      </w:pPr>
    </w:p>
    <w:p>
      <w:pPr>
        <w:ind w:left="600"/>
        <w:spacing w:after="0"/>
        <w:tabs>
          <w:tab w:leader="none" w:pos="1220" w:val="left"/>
        </w:tabs>
        <w:rPr>
          <w:sz w:val="20"/>
          <w:szCs w:val="20"/>
          <w:color w:val="auto"/>
        </w:rPr>
      </w:pPr>
      <w:r>
        <w:rPr>
          <w:rFonts w:ascii="Arial" w:cs="Arial" w:eastAsia="Arial" w:hAnsi="Arial"/>
          <w:sz w:val="19"/>
          <w:szCs w:val="19"/>
          <w:b w:val="1"/>
          <w:bCs w:val="1"/>
          <w:color w:val="auto"/>
        </w:rPr>
        <w:t>1.14</w:t>
      </w:r>
      <w:r>
        <w:rPr>
          <w:sz w:val="20"/>
          <w:szCs w:val="20"/>
          <w:color w:val="auto"/>
        </w:rPr>
        <w:tab/>
      </w:r>
      <w:r>
        <w:rPr>
          <w:rFonts w:ascii="Arial" w:cs="Arial" w:eastAsia="Arial" w:hAnsi="Arial"/>
          <w:sz w:val="16"/>
          <w:szCs w:val="16"/>
          <w:b w:val="1"/>
          <w:bCs w:val="1"/>
          <w:color w:val="auto"/>
        </w:rPr>
        <w:t>[Reserved.]</w:t>
      </w:r>
    </w:p>
    <w:p>
      <w:pPr>
        <w:spacing w:after="0" w:line="156" w:lineRule="exact"/>
        <w:rPr>
          <w:sz w:val="20"/>
          <w:szCs w:val="20"/>
          <w:color w:val="auto"/>
        </w:rPr>
      </w:pPr>
    </w:p>
    <w:p>
      <w:pPr>
        <w:jc w:val="both"/>
        <w:ind w:firstLine="620"/>
        <w:spacing w:after="0" w:line="222" w:lineRule="auto"/>
        <w:rPr>
          <w:sz w:val="20"/>
          <w:szCs w:val="20"/>
          <w:color w:val="auto"/>
        </w:rPr>
      </w:pPr>
      <w:r>
        <w:rPr>
          <w:rFonts w:ascii="Arial" w:cs="Arial" w:eastAsia="Arial" w:hAnsi="Arial"/>
          <w:sz w:val="19"/>
          <w:szCs w:val="19"/>
          <w:b w:val="1"/>
          <w:bCs w:val="1"/>
          <w:color w:val="auto"/>
        </w:rPr>
        <w:t xml:space="preserve">7.15 Redemption of Permitted Convertible Debt. </w:t>
      </w:r>
      <w:r>
        <w:rPr>
          <w:rFonts w:ascii="Arial" w:cs="Arial" w:eastAsia="Arial" w:hAnsi="Arial"/>
          <w:sz w:val="19"/>
          <w:szCs w:val="19"/>
          <w:color w:val="auto"/>
        </w:rPr>
        <w:t>Exercise any redemption right with respect to any Permitted Convertible</w:t>
      </w:r>
      <w:r>
        <w:rPr>
          <w:rFonts w:ascii="Arial" w:cs="Arial" w:eastAsia="Arial" w:hAnsi="Arial"/>
          <w:sz w:val="19"/>
          <w:szCs w:val="19"/>
          <w:b w:val="1"/>
          <w:bCs w:val="1"/>
          <w:color w:val="auto"/>
        </w:rPr>
        <w:t xml:space="preserve"> </w:t>
      </w:r>
      <w:r>
        <w:rPr>
          <w:rFonts w:ascii="Arial" w:cs="Arial" w:eastAsia="Arial" w:hAnsi="Arial"/>
          <w:sz w:val="19"/>
          <w:szCs w:val="19"/>
          <w:color w:val="auto"/>
        </w:rPr>
        <w:t>Indebtedness upon satisfaction of a condition related to the stock price of the Borrower’s common stock, unless the Redemption Conditions are satisfied in respect of such redemption.</w:t>
      </w:r>
    </w:p>
    <w:p>
      <w:pPr>
        <w:spacing w:after="0" w:line="117" w:lineRule="exact"/>
        <w:rPr>
          <w:sz w:val="20"/>
          <w:szCs w:val="20"/>
          <w:color w:val="auto"/>
        </w:rPr>
      </w:pPr>
    </w:p>
    <w:p>
      <w:pPr>
        <w:ind w:left="620" w:hanging="617"/>
        <w:spacing w:after="0"/>
        <w:tabs>
          <w:tab w:leader="none" w:pos="620" w:val="left"/>
        </w:tabs>
        <w:numPr>
          <w:ilvl w:val="0"/>
          <w:numId w:val="192"/>
        </w:numPr>
        <w:rPr>
          <w:rFonts w:ascii="Arial" w:cs="Arial" w:eastAsia="Arial" w:hAnsi="Arial"/>
          <w:sz w:val="19"/>
          <w:szCs w:val="19"/>
          <w:b w:val="1"/>
          <w:bCs w:val="1"/>
          <w:color w:val="auto"/>
        </w:rPr>
      </w:pPr>
      <w:r>
        <w:rPr>
          <w:rFonts w:ascii="Arial" w:cs="Arial" w:eastAsia="Arial" w:hAnsi="Arial"/>
          <w:sz w:val="19"/>
          <w:szCs w:val="19"/>
          <w:b w:val="1"/>
          <w:bCs w:val="1"/>
          <w:color w:val="auto"/>
        </w:rPr>
        <w:t>EVENTS OF DEFAULT</w:t>
      </w:r>
    </w:p>
    <w:p>
      <w:pPr>
        <w:spacing w:after="0" w:line="156" w:lineRule="exact"/>
        <w:rPr>
          <w:rFonts w:ascii="Arial" w:cs="Arial" w:eastAsia="Arial" w:hAnsi="Arial"/>
          <w:sz w:val="19"/>
          <w:szCs w:val="19"/>
          <w:b w:val="1"/>
          <w:bCs w:val="1"/>
          <w:color w:val="auto"/>
        </w:rPr>
      </w:pPr>
    </w:p>
    <w:p>
      <w:pPr>
        <w:ind w:left="620"/>
        <w:spacing w:after="0"/>
        <w:rPr>
          <w:rFonts w:ascii="Arial" w:cs="Arial" w:eastAsia="Arial" w:hAnsi="Arial"/>
          <w:sz w:val="19"/>
          <w:szCs w:val="19"/>
          <w:b w:val="1"/>
          <w:bCs w:val="1"/>
          <w:color w:val="auto"/>
        </w:rPr>
      </w:pPr>
      <w:r>
        <w:rPr>
          <w:rFonts w:ascii="Arial" w:cs="Arial" w:eastAsia="Arial" w:hAnsi="Arial"/>
          <w:sz w:val="19"/>
          <w:szCs w:val="19"/>
          <w:color w:val="auto"/>
        </w:rPr>
        <w:t>Any one of the following shall constitute an event of default (an “</w:t>
      </w:r>
      <w:r>
        <w:rPr>
          <w:rFonts w:ascii="Arial" w:cs="Arial" w:eastAsia="Arial" w:hAnsi="Arial"/>
          <w:sz w:val="19"/>
          <w:szCs w:val="19"/>
          <w:b w:val="1"/>
          <w:bCs w:val="1"/>
          <w:color w:val="auto"/>
        </w:rPr>
        <w:t>Event of Default</w:t>
      </w:r>
      <w:r>
        <w:rPr>
          <w:rFonts w:ascii="Arial" w:cs="Arial" w:eastAsia="Arial" w:hAnsi="Arial"/>
          <w:sz w:val="19"/>
          <w:szCs w:val="19"/>
          <w:color w:val="auto"/>
        </w:rPr>
        <w:t>”) under this Agreement:</w:t>
      </w:r>
    </w:p>
    <w:p>
      <w:pPr>
        <w:spacing w:after="0" w:line="156" w:lineRule="exact"/>
        <w:rPr>
          <w:sz w:val="20"/>
          <w:szCs w:val="20"/>
          <w:color w:val="auto"/>
        </w:rPr>
      </w:pPr>
    </w:p>
    <w:p>
      <w:pPr>
        <w:jc w:val="both"/>
        <w:ind w:firstLine="595"/>
        <w:spacing w:after="0" w:line="222" w:lineRule="auto"/>
        <w:rPr>
          <w:sz w:val="20"/>
          <w:szCs w:val="20"/>
          <w:color w:val="auto"/>
        </w:rPr>
      </w:pPr>
      <w:r>
        <w:rPr>
          <w:rFonts w:ascii="Arial" w:cs="Arial" w:eastAsia="Arial" w:hAnsi="Arial"/>
          <w:sz w:val="19"/>
          <w:szCs w:val="19"/>
          <w:b w:val="1"/>
          <w:bCs w:val="1"/>
          <w:color w:val="auto"/>
        </w:rPr>
        <w:t xml:space="preserve">8.1 Payment Default. </w:t>
      </w:r>
      <w:r>
        <w:rPr>
          <w:rFonts w:ascii="Arial" w:cs="Arial" w:eastAsia="Arial" w:hAnsi="Arial"/>
          <w:sz w:val="19"/>
          <w:szCs w:val="19"/>
          <w:color w:val="auto"/>
        </w:rPr>
        <w:t>Borrower fails to (a) make any payment of principal or interest on any Term Loan on its due date, or (b) pay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Obligation within three (3) Business Days after such Obligations are due and payable (which three (3) Business Day grace period shall not apply to payments due on the Maturity Date or the date of acceleration pursuant to Section 9.1 (a) hereof);</w:t>
      </w:r>
    </w:p>
    <w:p>
      <w:pPr>
        <w:spacing w:after="0" w:line="117" w:lineRule="exact"/>
        <w:rPr>
          <w:sz w:val="20"/>
          <w:szCs w:val="20"/>
          <w:color w:val="auto"/>
        </w:rPr>
      </w:pPr>
    </w:p>
    <w:p>
      <w:pPr>
        <w:ind w:left="600"/>
        <w:spacing w:after="0"/>
        <w:tabs>
          <w:tab w:leader="none" w:pos="1220" w:val="left"/>
        </w:tabs>
        <w:rPr>
          <w:sz w:val="20"/>
          <w:szCs w:val="20"/>
          <w:color w:val="auto"/>
        </w:rPr>
      </w:pPr>
      <w:r>
        <w:rPr>
          <w:rFonts w:ascii="Arial" w:cs="Arial" w:eastAsia="Arial" w:hAnsi="Arial"/>
          <w:sz w:val="19"/>
          <w:szCs w:val="19"/>
          <w:b w:val="1"/>
          <w:bCs w:val="1"/>
          <w:color w:val="auto"/>
        </w:rPr>
        <w:t>8.2</w:t>
      </w:r>
      <w:r>
        <w:rPr>
          <w:sz w:val="20"/>
          <w:szCs w:val="20"/>
          <w:color w:val="auto"/>
        </w:rPr>
        <w:tab/>
      </w:r>
      <w:r>
        <w:rPr>
          <w:rFonts w:ascii="Arial" w:cs="Arial" w:eastAsia="Arial" w:hAnsi="Arial"/>
          <w:sz w:val="17"/>
          <w:szCs w:val="17"/>
          <w:b w:val="1"/>
          <w:bCs w:val="1"/>
          <w:color w:val="auto"/>
        </w:rPr>
        <w:t>Covenant Default</w:t>
      </w:r>
      <w:r>
        <w:rPr>
          <w:rFonts w:ascii="Arial" w:cs="Arial" w:eastAsia="Arial" w:hAnsi="Arial"/>
          <w:sz w:val="17"/>
          <w:szCs w:val="17"/>
          <w:color w:val="auto"/>
        </w:rPr>
        <w:t>.</w:t>
      </w:r>
    </w:p>
    <w:p>
      <w:pPr>
        <w:spacing w:after="0" w:line="162" w:lineRule="exact"/>
        <w:rPr>
          <w:sz w:val="20"/>
          <w:szCs w:val="20"/>
          <w:color w:val="auto"/>
        </w:rPr>
      </w:pPr>
    </w:p>
    <w:p>
      <w:pPr>
        <w:jc w:val="both"/>
        <w:ind w:firstLine="1219"/>
        <w:spacing w:after="0" w:line="232" w:lineRule="auto"/>
        <w:tabs>
          <w:tab w:leader="none" w:pos="185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Borrower or any of its Subsidiaries fails or neglects to perform any obligation in Sections 6.2 (Financial Statements, Reports, Certificates), 6.4 (Taxes), 6.5 (Insurance), 6.6 (Operating Accounts), 6.7 (Protection of Intellectual Property Rights), 6.9 (Landlord Waivers; Bailee Waivers), 6.10 (Creation/Acquisition of Subsidiaries) or Borrower violates any provision in Section 7; or</w:t>
      </w:r>
    </w:p>
    <w:p>
      <w:pPr>
        <w:spacing w:after="0" w:line="136" w:lineRule="exact"/>
        <w:rPr>
          <w:rFonts w:ascii="Arial" w:cs="Arial" w:eastAsia="Arial" w:hAnsi="Arial"/>
          <w:sz w:val="18"/>
          <w:szCs w:val="18"/>
          <w:color w:val="auto"/>
        </w:rPr>
      </w:pPr>
    </w:p>
    <w:p>
      <w:pPr>
        <w:jc w:val="both"/>
        <w:ind w:firstLine="1219"/>
        <w:spacing w:after="0" w:line="208" w:lineRule="auto"/>
        <w:tabs>
          <w:tab w:leader="none" w:pos="1849" w:val="left"/>
        </w:tabs>
        <w:numPr>
          <w:ilvl w:val="0"/>
          <w:numId w:val="193"/>
        </w:numPr>
        <w:rPr>
          <w:rFonts w:ascii="Arial" w:cs="Arial" w:eastAsia="Arial" w:hAnsi="Arial"/>
          <w:sz w:val="19"/>
          <w:szCs w:val="19"/>
          <w:color w:val="auto"/>
        </w:rPr>
      </w:pPr>
      <w:r>
        <w:rPr>
          <w:rFonts w:ascii="Arial" w:cs="Arial" w:eastAsia="Arial" w:hAnsi="Arial"/>
          <w:sz w:val="19"/>
          <w:szCs w:val="19"/>
          <w:color w:val="auto"/>
        </w:rPr>
        <w:t>Borrower, or any of its Subsidiaries, fails or neglects to perform, keep, or observe any other term, provision, condition, covenant or agreement contained in this Agreement or any other Loan Document to which such person is a party, and as to any default (other than those specified in this Section 8) under such other term, provision, condition, covenant or agreement that can be cured, has failed to cure the default within twenty (20) days after the occurrence thereof; provided, however, that if the default cannot by its nature be cured within the twenty (20) day period or cannot after diligent attempts by Borrower or such Subsidiary, as applicable, be cured within such twenty (20) day period, and such default is likely to be cured within a reasonable time, then Borrower shall have an additional period (which shall not in any case exceed thirty (30) days) to attempt to cure such default, and within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320" w:top="1350" w:right="339" w:bottom="1440" w:gutter="0" w:footer="0" w:header="0"/>
        </w:sectPr>
      </w:pPr>
    </w:p>
    <w:bookmarkStart w:id="231" w:name="page232"/>
    <w:bookmarkEnd w:id="231"/>
    <w:p>
      <w:pPr>
        <w:spacing w:after="0" w:line="231" w:lineRule="auto"/>
        <w:rPr>
          <w:sz w:val="20"/>
          <w:szCs w:val="20"/>
          <w:color w:val="auto"/>
        </w:rPr>
      </w:pPr>
      <w:r>
        <w:rPr>
          <w:rFonts w:ascii="Arial" w:cs="Arial" w:eastAsia="Arial" w:hAnsi="Arial"/>
          <w:sz w:val="19"/>
          <w:szCs w:val="19"/>
          <w:color w:val="auto"/>
        </w:rPr>
        <w:t>reasonable time period the failure to cure the default shall not be deemed an Event of Default (but no Term Loans shall be made during such cure period).</w:t>
      </w:r>
    </w:p>
    <w:p>
      <w:pPr>
        <w:spacing w:after="0" w:line="129" w:lineRule="exact"/>
        <w:rPr>
          <w:sz w:val="20"/>
          <w:szCs w:val="20"/>
          <w:color w:val="auto"/>
        </w:rPr>
      </w:pPr>
    </w:p>
    <w:p>
      <w:pPr>
        <w:ind w:left="600"/>
        <w:spacing w:after="0"/>
        <w:tabs>
          <w:tab w:leader="none" w:pos="1220" w:val="left"/>
        </w:tabs>
        <w:rPr>
          <w:sz w:val="20"/>
          <w:szCs w:val="20"/>
          <w:color w:val="auto"/>
        </w:rPr>
      </w:pPr>
      <w:r>
        <w:rPr>
          <w:rFonts w:ascii="Arial" w:cs="Arial" w:eastAsia="Arial" w:hAnsi="Arial"/>
          <w:sz w:val="19"/>
          <w:szCs w:val="19"/>
          <w:b w:val="1"/>
          <w:bCs w:val="1"/>
          <w:color w:val="auto"/>
        </w:rPr>
        <w:t>8.3</w:t>
      </w:r>
      <w:r>
        <w:rPr>
          <w:sz w:val="20"/>
          <w:szCs w:val="20"/>
          <w:color w:val="auto"/>
        </w:rPr>
        <w:tab/>
      </w:r>
      <w:r>
        <w:rPr>
          <w:rFonts w:ascii="Arial" w:cs="Arial" w:eastAsia="Arial" w:hAnsi="Arial"/>
          <w:sz w:val="17"/>
          <w:szCs w:val="17"/>
          <w:b w:val="1"/>
          <w:bCs w:val="1"/>
          <w:color w:val="auto"/>
        </w:rPr>
        <w:t xml:space="preserve">Material Adverse Change. </w:t>
      </w:r>
      <w:r>
        <w:rPr>
          <w:rFonts w:ascii="Arial" w:cs="Arial" w:eastAsia="Arial" w:hAnsi="Arial"/>
          <w:sz w:val="17"/>
          <w:szCs w:val="17"/>
          <w:color w:val="auto"/>
        </w:rPr>
        <w:t>A Material Adverse Change has occurred;</w:t>
      </w:r>
    </w:p>
    <w:p>
      <w:pPr>
        <w:spacing w:after="0" w:line="143" w:lineRule="exact"/>
        <w:rPr>
          <w:sz w:val="20"/>
          <w:szCs w:val="20"/>
          <w:color w:val="auto"/>
        </w:rPr>
      </w:pPr>
    </w:p>
    <w:p>
      <w:pPr>
        <w:ind w:left="600"/>
        <w:spacing w:after="0"/>
        <w:tabs>
          <w:tab w:leader="none" w:pos="1220" w:val="left"/>
        </w:tabs>
        <w:rPr>
          <w:sz w:val="20"/>
          <w:szCs w:val="20"/>
          <w:color w:val="auto"/>
        </w:rPr>
      </w:pPr>
      <w:r>
        <w:rPr>
          <w:rFonts w:ascii="Arial" w:cs="Arial" w:eastAsia="Arial" w:hAnsi="Arial"/>
          <w:sz w:val="19"/>
          <w:szCs w:val="19"/>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r>
        <w:rPr>
          <w:rFonts w:ascii="Arial" w:cs="Arial" w:eastAsia="Arial" w:hAnsi="Arial"/>
          <w:sz w:val="16"/>
          <w:szCs w:val="16"/>
          <w:color w:val="auto"/>
        </w:rPr>
        <w:t>.</w:t>
      </w:r>
    </w:p>
    <w:p>
      <w:pPr>
        <w:spacing w:after="0" w:line="162" w:lineRule="exact"/>
        <w:rPr>
          <w:sz w:val="20"/>
          <w:szCs w:val="20"/>
          <w:color w:val="auto"/>
        </w:rPr>
      </w:pPr>
    </w:p>
    <w:p>
      <w:pPr>
        <w:jc w:val="both"/>
        <w:ind w:firstLine="1219"/>
        <w:spacing w:after="0" w:line="223" w:lineRule="auto"/>
        <w:tabs>
          <w:tab w:leader="none" w:pos="185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any of its Subsidiaries or of any entity under control of Borrower or its Subsidiaries on deposit with any institution at which Borrower or any of its Subsidiaries maintains a Collateral Account, or (ii) a notice of lien, levy, or assessment (other than Permitted Lien) is filed against Borrower or any of its Subsidiaries or their respective assets by any government agency, and the same under subclauses (i) and (ii) of this clause (a) are not, within twenty (20) days after the occurrence thereof, discharged or stayed (whether through the posting of a bond or otherwise); and</w:t>
      </w:r>
    </w:p>
    <w:p>
      <w:pPr>
        <w:spacing w:after="0" w:line="136" w:lineRule="exact"/>
        <w:rPr>
          <w:rFonts w:ascii="Arial" w:cs="Arial" w:eastAsia="Arial" w:hAnsi="Arial"/>
          <w:sz w:val="18"/>
          <w:szCs w:val="18"/>
          <w:color w:val="auto"/>
        </w:rPr>
      </w:pPr>
    </w:p>
    <w:p>
      <w:pPr>
        <w:jc w:val="both"/>
        <w:ind w:firstLine="1219"/>
        <w:spacing w:after="0" w:line="220" w:lineRule="auto"/>
        <w:tabs>
          <w:tab w:leader="none" w:pos="1849" w:val="left"/>
        </w:tabs>
        <w:numPr>
          <w:ilvl w:val="0"/>
          <w:numId w:val="194"/>
        </w:numPr>
        <w:rPr>
          <w:rFonts w:ascii="Arial" w:cs="Arial" w:eastAsia="Arial" w:hAnsi="Arial"/>
          <w:sz w:val="19"/>
          <w:szCs w:val="19"/>
          <w:color w:val="auto"/>
        </w:rPr>
      </w:pPr>
      <w:r>
        <w:rPr>
          <w:rFonts w:ascii="Arial" w:cs="Arial" w:eastAsia="Arial" w:hAnsi="Arial"/>
          <w:sz w:val="19"/>
          <w:szCs w:val="19"/>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material part of its business;</w:t>
      </w:r>
    </w:p>
    <w:p>
      <w:pPr>
        <w:spacing w:after="0" w:line="117" w:lineRule="exact"/>
        <w:rPr>
          <w:sz w:val="20"/>
          <w:szCs w:val="20"/>
          <w:color w:val="auto"/>
        </w:rPr>
      </w:pPr>
    </w:p>
    <w:p>
      <w:pPr>
        <w:jc w:val="both"/>
        <w:ind w:firstLine="595"/>
        <w:spacing w:after="0" w:line="216" w:lineRule="auto"/>
        <w:rPr>
          <w:sz w:val="20"/>
          <w:szCs w:val="20"/>
          <w:color w:val="auto"/>
        </w:rPr>
      </w:pPr>
      <w:r>
        <w:rPr>
          <w:rFonts w:ascii="Arial" w:cs="Arial" w:eastAsia="Arial" w:hAnsi="Arial"/>
          <w:sz w:val="19"/>
          <w:szCs w:val="19"/>
          <w:b w:val="1"/>
          <w:bCs w:val="1"/>
          <w:color w:val="auto"/>
        </w:rPr>
        <w:t xml:space="preserve">8.5 Insolvency. </w:t>
      </w:r>
      <w:r>
        <w:rPr>
          <w:rFonts w:ascii="Arial" w:cs="Arial" w:eastAsia="Arial" w:hAnsi="Arial"/>
          <w:sz w:val="19"/>
          <w:szCs w:val="19"/>
          <w:color w:val="auto"/>
        </w:rPr>
        <w:t>(a) Borrower or any of its Subsidiaries is or becomes Insolvent; (b) Borrower or any of its Subsidiaries begins an</w:t>
      </w:r>
      <w:r>
        <w:rPr>
          <w:rFonts w:ascii="Arial" w:cs="Arial" w:eastAsia="Arial" w:hAnsi="Arial"/>
          <w:sz w:val="19"/>
          <w:szCs w:val="19"/>
          <w:b w:val="1"/>
          <w:bCs w:val="1"/>
          <w:color w:val="auto"/>
        </w:rPr>
        <w:t xml:space="preserve"> </w:t>
      </w:r>
      <w:r>
        <w:rPr>
          <w:rFonts w:ascii="Arial" w:cs="Arial" w:eastAsia="Arial" w:hAnsi="Arial"/>
          <w:sz w:val="19"/>
          <w:szCs w:val="19"/>
          <w:color w:val="auto"/>
        </w:rPr>
        <w:t>Insolvency Proceeding; or (c) an Insolvency Proceeding is begun against Borrower or any of its Subsidiaries and not dismissed or stayed within forty-five (45) days (but no Term Loans shall be extended while Borrower or any Subsidiary is Insolvent and/or until any Insolvency Proceeding is dismissed);</w:t>
      </w:r>
    </w:p>
    <w:p>
      <w:pPr>
        <w:spacing w:after="0" w:line="131" w:lineRule="exact"/>
        <w:rPr>
          <w:sz w:val="20"/>
          <w:szCs w:val="20"/>
          <w:color w:val="auto"/>
        </w:rPr>
      </w:pPr>
    </w:p>
    <w:p>
      <w:pPr>
        <w:jc w:val="both"/>
        <w:ind w:firstLine="595"/>
        <w:spacing w:after="0" w:line="217" w:lineRule="auto"/>
        <w:rPr>
          <w:sz w:val="20"/>
          <w:szCs w:val="20"/>
          <w:color w:val="auto"/>
        </w:rPr>
      </w:pPr>
      <w:r>
        <w:rPr>
          <w:rFonts w:ascii="Arial" w:cs="Arial" w:eastAsia="Arial" w:hAnsi="Arial"/>
          <w:sz w:val="18"/>
          <w:szCs w:val="18"/>
          <w:b w:val="1"/>
          <w:bCs w:val="1"/>
          <w:color w:val="auto"/>
        </w:rPr>
        <w:t xml:space="preserve">8.6 Other Agreements. </w:t>
      </w:r>
      <w:r>
        <w:rPr>
          <w:rFonts w:ascii="Arial" w:cs="Arial" w:eastAsia="Arial" w:hAnsi="Arial"/>
          <w:sz w:val="18"/>
          <w:szCs w:val="18"/>
          <w:color w:val="auto"/>
        </w:rPr>
        <w:t>There is a default and such default continues (after the applicable grace, cure or notice period) in (a) 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which Borrower or any of its Subsidiaries is a party with a third party or parties resulting in a right by such third party or parties, whether or not exercised, to accelerate the maturity of any Indebtedness in an amount in excess of One Million Dollars ($1,000,000.00) or that could reasonably be expected to have a Material Adverse Change, or (b) any indenture governing any Permitted Convertible Indebtedness. For the avoidance of doubt, (x) the exchange, repurchase, conversion or settlement with respect to any Permitted Convertible Indebtedness, or satisfaction of any condition giving rise to or permitting the foregoing, pursuant to their terms that does not result from a default thereunder or an event of the type that constitutes an Event of Default, or (y) any early payment requirement or unwinding or termination with respect to any Permitted Call Spread Agreement, or satisfaction of any condition giving rise to or permitting the foregoing, in accordance with the terms thereof where neither the Borrower nor any of its Affiliates is the “defaulting party” (or substantially equivalent term) under the terms of such Permitted Call Spread Agreement, in each case, shall not constitute an Event of Default under this Section 8.6.</w:t>
      </w:r>
    </w:p>
    <w:p>
      <w:pPr>
        <w:spacing w:after="0" w:line="131" w:lineRule="exact"/>
        <w:rPr>
          <w:sz w:val="20"/>
          <w:szCs w:val="20"/>
          <w:color w:val="auto"/>
        </w:rPr>
      </w:pPr>
    </w:p>
    <w:p>
      <w:pPr>
        <w:jc w:val="both"/>
        <w:ind w:firstLine="595"/>
        <w:spacing w:after="0" w:line="213" w:lineRule="auto"/>
        <w:rPr>
          <w:sz w:val="20"/>
          <w:szCs w:val="20"/>
          <w:color w:val="auto"/>
        </w:rPr>
      </w:pPr>
      <w:r>
        <w:rPr>
          <w:rFonts w:ascii="Arial" w:cs="Arial" w:eastAsia="Arial" w:hAnsi="Arial"/>
          <w:sz w:val="19"/>
          <w:szCs w:val="19"/>
          <w:b w:val="1"/>
          <w:bCs w:val="1"/>
          <w:color w:val="auto"/>
        </w:rPr>
        <w:t xml:space="preserve">8.7 Judgments. </w:t>
      </w:r>
      <w:r>
        <w:rPr>
          <w:rFonts w:ascii="Arial" w:cs="Arial" w:eastAsia="Arial" w:hAnsi="Arial"/>
          <w:sz w:val="19"/>
          <w:szCs w:val="19"/>
          <w:color w:val="auto"/>
        </w:rPr>
        <w:t>One or more judgments, orders, or decrees for the payment of money in an amount, individually or in the aggregate, of</w:t>
      </w:r>
      <w:r>
        <w:rPr>
          <w:rFonts w:ascii="Arial" w:cs="Arial" w:eastAsia="Arial" w:hAnsi="Arial"/>
          <w:sz w:val="19"/>
          <w:szCs w:val="19"/>
          <w:b w:val="1"/>
          <w:bCs w:val="1"/>
          <w:color w:val="auto"/>
        </w:rPr>
        <w:t xml:space="preserve"> </w:t>
      </w:r>
      <w:r>
        <w:rPr>
          <w:rFonts w:ascii="Arial" w:cs="Arial" w:eastAsia="Arial" w:hAnsi="Arial"/>
          <w:sz w:val="19"/>
          <w:szCs w:val="19"/>
          <w:color w:val="auto"/>
        </w:rPr>
        <w:t>at least One Million Dollars ($1,000,000.00) (not covered by independent third-party insurance as to which (a) Borrower reasonably believes such insurance carrier will accept liability, (b) Borrower or the applicable Subsidiary has submitted such claim to such insurance carrier and (c) liability has not been rejected by such insurance carrier) shall be rendered against Borrower or any of its Subsidiaries and shall remain unsatisfied, unvacated, or unstayed for a period of thirty (30) days after the entry thereof;</w:t>
      </w:r>
    </w:p>
    <w:p>
      <w:pPr>
        <w:spacing w:after="0" w:line="116" w:lineRule="exact"/>
        <w:rPr>
          <w:sz w:val="20"/>
          <w:szCs w:val="20"/>
          <w:color w:val="auto"/>
        </w:rPr>
      </w:pPr>
    </w:p>
    <w:p>
      <w:pPr>
        <w:jc w:val="both"/>
        <w:ind w:firstLine="595"/>
        <w:spacing w:after="0" w:line="228"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of its Subsidiaries or any Person acting for Borrower or any of its Subsidiaries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warranty, or other statement now or later in this Agreement, any Loan Document or in any writing delivered to Collateral Agent and/or the Lenders or to induce Collateral Agent and/or the Lenders to enter this Agreement or any Loan Document, and such representation, warranty, or other statement, when taken as a whole, is incorrect in any material respect when made;</w:t>
      </w:r>
    </w:p>
    <w:p>
      <w:pPr>
        <w:spacing w:after="0" w:line="131" w:lineRule="exact"/>
        <w:rPr>
          <w:sz w:val="20"/>
          <w:szCs w:val="20"/>
          <w:color w:val="auto"/>
        </w:rPr>
      </w:pPr>
    </w:p>
    <w:p>
      <w:pPr>
        <w:jc w:val="both"/>
        <w:ind w:firstLine="595"/>
        <w:spacing w:after="0" w:line="222" w:lineRule="auto"/>
        <w:rPr>
          <w:sz w:val="20"/>
          <w:szCs w:val="20"/>
          <w:color w:val="auto"/>
        </w:rPr>
      </w:pPr>
      <w:r>
        <w:rPr>
          <w:rFonts w:ascii="Arial" w:cs="Arial" w:eastAsia="Arial" w:hAnsi="Arial"/>
          <w:sz w:val="19"/>
          <w:szCs w:val="19"/>
          <w:b w:val="1"/>
          <w:bCs w:val="1"/>
          <w:color w:val="auto"/>
        </w:rPr>
        <w:t xml:space="preserve">8.9 Subordinated Debt. </w:t>
      </w:r>
      <w:r>
        <w:rPr>
          <w:rFonts w:ascii="Arial" w:cs="Arial" w:eastAsia="Arial" w:hAnsi="Arial"/>
          <w:sz w:val="19"/>
          <w:szCs w:val="19"/>
          <w:color w:val="auto"/>
        </w:rPr>
        <w:t>After giving effect to any grace or cure period, an event of default occurs under any subordination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with Collateral Agent, or any creditor that has signed such an agreement with Collateral Agent or the Lenders breaches any terms of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1350" w:right="339" w:bottom="1440" w:gutter="0" w:footer="0" w:header="0"/>
        </w:sectPr>
      </w:pPr>
    </w:p>
    <w:bookmarkStart w:id="232" w:name="page233"/>
    <w:bookmarkEnd w:id="232"/>
    <w:p>
      <w:pPr>
        <w:jc w:val="both"/>
        <w:ind w:firstLine="595"/>
        <w:spacing w:after="0" w:line="253" w:lineRule="auto"/>
        <w:rPr>
          <w:sz w:val="20"/>
          <w:szCs w:val="20"/>
          <w:color w:val="auto"/>
        </w:rPr>
      </w:pPr>
      <w:r>
        <w:rPr>
          <w:rFonts w:ascii="Arial" w:cs="Arial" w:eastAsia="Arial" w:hAnsi="Arial"/>
          <w:sz w:val="17"/>
          <w:szCs w:val="17"/>
          <w:b w:val="1"/>
          <w:bCs w:val="1"/>
          <w:color w:val="auto"/>
        </w:rPr>
        <w:t xml:space="preserve">8.10 Guaranty. </w:t>
      </w:r>
      <w:r>
        <w:rPr>
          <w:rFonts w:ascii="Arial" w:cs="Arial" w:eastAsia="Arial" w:hAnsi="Arial"/>
          <w:sz w:val="17"/>
          <w:szCs w:val="17"/>
          <w:color w:val="auto"/>
        </w:rPr>
        <w:t>(a) Any Guaranty terminates or ceases for any reason to be in full force and effect other than as a result of a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under this Agreement; (b) any Guarantor does not perform any obligation or covenant under any Guaranty, after any applicable grace or cure period; (c) any circumstance described in Section 8 occurs with respect to any Guarantor, beyond any applicable grace or cure period;</w:t>
      </w:r>
    </w:p>
    <w:p>
      <w:pPr>
        <w:spacing w:after="0" w:line="118" w:lineRule="exact"/>
        <w:rPr>
          <w:sz w:val="20"/>
          <w:szCs w:val="20"/>
          <w:color w:val="auto"/>
        </w:rPr>
      </w:pPr>
    </w:p>
    <w:p>
      <w:pPr>
        <w:jc w:val="both"/>
        <w:ind w:firstLine="595"/>
        <w:spacing w:after="0" w:line="228" w:lineRule="auto"/>
        <w:rPr>
          <w:sz w:val="20"/>
          <w:szCs w:val="20"/>
          <w:color w:val="auto"/>
        </w:rPr>
      </w:pPr>
      <w:r>
        <w:rPr>
          <w:rFonts w:ascii="Arial" w:cs="Arial" w:eastAsia="Arial" w:hAnsi="Arial"/>
          <w:sz w:val="17"/>
          <w:szCs w:val="17"/>
          <w:b w:val="1"/>
          <w:bCs w:val="1"/>
          <w:color w:val="auto"/>
        </w:rPr>
        <w:t xml:space="preserve">8.11 Governmental Approvals; FDA Action. </w:t>
      </w:r>
      <w:r>
        <w:rPr>
          <w:rFonts w:ascii="Arial" w:cs="Arial" w:eastAsia="Arial" w:hAnsi="Arial"/>
          <w:sz w:val="17"/>
          <w:szCs w:val="17"/>
          <w:color w:val="auto"/>
        </w:rPr>
        <w:t>(a) Any Governmental Approval shall have been revoked, rescinded, suspended,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modified in an adverse manner, or not renewed in the ordinary course for a full term </w:t>
      </w:r>
      <w:r>
        <w:rPr>
          <w:rFonts w:ascii="Arial" w:cs="Arial" w:eastAsia="Arial" w:hAnsi="Arial"/>
          <w:sz w:val="17"/>
          <w:szCs w:val="17"/>
          <w:i w:val="1"/>
          <w:iCs w:val="1"/>
          <w:color w:val="auto"/>
        </w:rPr>
        <w:t>and</w:t>
      </w:r>
      <w:r>
        <w:rPr>
          <w:rFonts w:ascii="Arial" w:cs="Arial" w:eastAsia="Arial" w:hAnsi="Arial"/>
          <w:sz w:val="17"/>
          <w:szCs w:val="17"/>
          <w:color w:val="auto"/>
        </w:rPr>
        <w:t xml:space="preserve"> such revocation, rescission, suspension, modification or non-renewal has resulted in or could reasonably be expected to result in a Material Adverse Change; or (b) (i) the FDA, DOJ or other Governmental Authority initiates a Regulatory Action or any other enforcement action against Borrower or any of its Subsidiaries or any supplier of Borrower or any of its Subsidiaries that causes Borrower or any of its Subsidiaries to recall, withdraw, remove or discontinue manufacturing, distributing, and/or marketing any of its products to the extent such action could reasonably be expected to result in a Material Adverse Change, even if such action is based on previously disclosed conduct; (ii) the FDA or any other comparable Governmental Authority issues a warning letter to Borrower or any of its Subsidiaries with respect to any of its activities or products which could reasonably be expected to result in a Material Adverse Change; (iii) Borrower or any of its Subsidiaries conducts a mandatory or voluntary recall which could reasonably be expected to result in a Material Adverse Change; (iv) Borrower or any of its Subsidiaries enters into a settlement agreement with the FDA, DOJ or other Governmental Authority that results in a Material Adverse Change, even if such settlement agreement is based on previously disclosed conduct; or (v) the FDA or any other comparable Governmental Authority revokes any authorization or permission granted under any Registration, or Borrower or any of its Subsidiaries withdraws any Registration, and such revocation or withdrawal that could reasonably be expected to result in a Material Adverse Change.</w:t>
      </w:r>
    </w:p>
    <w:p>
      <w:pPr>
        <w:spacing w:after="0" w:line="118" w:lineRule="exact"/>
        <w:rPr>
          <w:sz w:val="20"/>
          <w:szCs w:val="20"/>
          <w:color w:val="auto"/>
        </w:rPr>
      </w:pPr>
    </w:p>
    <w:p>
      <w:pPr>
        <w:jc w:val="both"/>
        <w:ind w:firstLine="595"/>
        <w:spacing w:after="0" w:line="216" w:lineRule="auto"/>
        <w:rPr>
          <w:sz w:val="20"/>
          <w:szCs w:val="20"/>
          <w:color w:val="auto"/>
        </w:rPr>
      </w:pPr>
      <w:r>
        <w:rPr>
          <w:rFonts w:ascii="Arial" w:cs="Arial" w:eastAsia="Arial" w:hAnsi="Arial"/>
          <w:sz w:val="19"/>
          <w:szCs w:val="19"/>
          <w:b w:val="1"/>
          <w:bCs w:val="1"/>
          <w:color w:val="auto"/>
        </w:rPr>
        <w:t>8.12 Lien Priority</w:t>
      </w:r>
      <w:r>
        <w:rPr>
          <w:rFonts w:ascii="Arial" w:cs="Arial" w:eastAsia="Arial" w:hAnsi="Arial"/>
          <w:sz w:val="19"/>
          <w:szCs w:val="19"/>
          <w:color w:val="auto"/>
        </w:rPr>
        <w:t>. Except as the result of the action or inaction of the Collateral Agent or the Lenders, any Lien created hereunder or</w:t>
      </w:r>
      <w:r>
        <w:rPr>
          <w:rFonts w:ascii="Arial" w:cs="Arial" w:eastAsia="Arial" w:hAnsi="Arial"/>
          <w:sz w:val="19"/>
          <w:szCs w:val="19"/>
          <w:b w:val="1"/>
          <w:bCs w:val="1"/>
          <w:color w:val="auto"/>
        </w:rPr>
        <w:t xml:space="preserve"> </w:t>
      </w:r>
      <w:r>
        <w:rPr>
          <w:rFonts w:ascii="Arial" w:cs="Arial" w:eastAsia="Arial" w:hAnsi="Arial"/>
          <w:sz w:val="19"/>
          <w:szCs w:val="19"/>
          <w:color w:val="auto"/>
        </w:rPr>
        <w:t>by any other Loan Document shall at any time fail to constitute a valid and perfected Lien (to the extent required to be perfected) on any of the Collateral purported to be secured thereby, subject to no prior or equal Lien, other than Permitted Liens arising as a matter of applicable law or that are explicitly permitted to have priority pursuant to this Agreement.</w:t>
      </w:r>
    </w:p>
    <w:p>
      <w:pPr>
        <w:spacing w:after="0" w:line="131" w:lineRule="exact"/>
        <w:rPr>
          <w:sz w:val="20"/>
          <w:szCs w:val="20"/>
          <w:color w:val="auto"/>
        </w:rPr>
      </w:pPr>
    </w:p>
    <w:p>
      <w:pPr>
        <w:ind w:left="620" w:hanging="617"/>
        <w:spacing w:after="0"/>
        <w:tabs>
          <w:tab w:leader="none" w:pos="620" w:val="left"/>
        </w:tabs>
        <w:numPr>
          <w:ilvl w:val="0"/>
          <w:numId w:val="195"/>
        </w:numPr>
        <w:rPr>
          <w:rFonts w:ascii="Arial" w:cs="Arial" w:eastAsia="Arial" w:hAnsi="Arial"/>
          <w:sz w:val="19"/>
          <w:szCs w:val="19"/>
          <w:b w:val="1"/>
          <w:bCs w:val="1"/>
          <w:color w:val="auto"/>
        </w:rPr>
      </w:pPr>
      <w:r>
        <w:rPr>
          <w:rFonts w:ascii="Arial" w:cs="Arial" w:eastAsia="Arial" w:hAnsi="Arial"/>
          <w:sz w:val="19"/>
          <w:szCs w:val="19"/>
          <w:b w:val="1"/>
          <w:bCs w:val="1"/>
          <w:color w:val="auto"/>
        </w:rPr>
        <w:t>RIGHTS AND REMEDIES</w:t>
      </w:r>
    </w:p>
    <w:p>
      <w:pPr>
        <w:spacing w:after="0" w:line="156" w:lineRule="exact"/>
        <w:rPr>
          <w:rFonts w:ascii="Arial" w:cs="Arial" w:eastAsia="Arial" w:hAnsi="Arial"/>
          <w:sz w:val="19"/>
          <w:szCs w:val="19"/>
          <w:b w:val="1"/>
          <w:bCs w:val="1"/>
          <w:color w:val="auto"/>
        </w:rPr>
      </w:pPr>
    </w:p>
    <w:p>
      <w:pPr>
        <w:ind w:left="60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9.1</w:t>
      </w:r>
      <w:r>
        <w:rPr>
          <w:rFonts w:ascii="Arial" w:cs="Arial" w:eastAsia="Arial" w:hAnsi="Arial"/>
          <w:sz w:val="16"/>
          <w:szCs w:val="16"/>
          <w:b w:val="1"/>
          <w:bCs w:val="1"/>
          <w:color w:val="auto"/>
        </w:rPr>
        <w:t>Rights and Remedies</w:t>
      </w:r>
      <w:r>
        <w:rPr>
          <w:rFonts w:ascii="Arial" w:cs="Arial" w:eastAsia="Arial" w:hAnsi="Arial"/>
          <w:sz w:val="16"/>
          <w:szCs w:val="16"/>
          <w:color w:val="auto"/>
        </w:rPr>
        <w:t>.</w:t>
      </w:r>
    </w:p>
    <w:p>
      <w:pPr>
        <w:spacing w:after="0" w:line="149" w:lineRule="exact"/>
        <w:rPr>
          <w:rFonts w:ascii="Arial" w:cs="Arial" w:eastAsia="Arial" w:hAnsi="Arial"/>
          <w:sz w:val="19"/>
          <w:szCs w:val="19"/>
          <w:b w:val="1"/>
          <w:bCs w:val="1"/>
          <w:color w:val="auto"/>
        </w:rPr>
      </w:pPr>
    </w:p>
    <w:p>
      <w:pPr>
        <w:jc w:val="both"/>
        <w:ind w:firstLine="1219"/>
        <w:spacing w:after="0" w:line="231" w:lineRule="auto"/>
        <w:tabs>
          <w:tab w:leader="none" w:pos="1852" w:val="left"/>
        </w:tabs>
        <w:numPr>
          <w:ilvl w:val="1"/>
          <w:numId w:val="195"/>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Collateral Agent shall at the written direction of Required Lenders,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35" w:lineRule="exact"/>
        <w:rPr>
          <w:rFonts w:ascii="Arial" w:cs="Arial" w:eastAsia="Arial" w:hAnsi="Arial"/>
          <w:sz w:val="17"/>
          <w:szCs w:val="17"/>
          <w:color w:val="auto"/>
        </w:rPr>
      </w:pPr>
    </w:p>
    <w:p>
      <w:pPr>
        <w:jc w:val="both"/>
        <w:ind w:firstLine="1219"/>
        <w:spacing w:after="0" w:line="220" w:lineRule="auto"/>
        <w:tabs>
          <w:tab w:leader="none" w:pos="1849" w:val="left"/>
        </w:tabs>
        <w:numPr>
          <w:ilvl w:val="1"/>
          <w:numId w:val="195"/>
        </w:numPr>
        <w:rPr>
          <w:rFonts w:ascii="Arial" w:cs="Arial" w:eastAsia="Arial" w:hAnsi="Arial"/>
          <w:sz w:val="19"/>
          <w:szCs w:val="19"/>
          <w:color w:val="auto"/>
        </w:rPr>
      </w:pPr>
      <w:r>
        <w:rPr>
          <w:rFonts w:ascii="Arial" w:cs="Arial" w:eastAsia="Arial" w:hAnsi="Arial"/>
          <w:sz w:val="19"/>
          <w:szCs w:val="19"/>
          <w:color w:val="auto"/>
        </w:rPr>
        <w:t>Without limiting the rights of Collateral Agent and the Lenders set forth in Section 9.1(a) above, upon the occurrence and during the continuance of an Event of Default, Collateral Agent shall at the written direction of the Required Lenders, without notice or demand, to do any or all of the following:</w:t>
      </w:r>
    </w:p>
    <w:p>
      <w:pPr>
        <w:spacing w:after="0" w:line="135" w:lineRule="exact"/>
        <w:rPr>
          <w:rFonts w:ascii="Arial" w:cs="Arial" w:eastAsia="Arial" w:hAnsi="Arial"/>
          <w:sz w:val="19"/>
          <w:szCs w:val="19"/>
          <w:color w:val="auto"/>
        </w:rPr>
      </w:pPr>
    </w:p>
    <w:p>
      <w:pPr>
        <w:ind w:left="1860" w:hanging="635"/>
        <w:spacing w:after="0"/>
        <w:tabs>
          <w:tab w:leader="none" w:pos="1860" w:val="left"/>
        </w:tabs>
        <w:numPr>
          <w:ilvl w:val="1"/>
          <w:numId w:val="196"/>
        </w:numPr>
        <w:rPr>
          <w:rFonts w:ascii="Arial" w:cs="Arial" w:eastAsia="Arial" w:hAnsi="Arial"/>
          <w:sz w:val="19"/>
          <w:szCs w:val="19"/>
          <w:color w:val="auto"/>
        </w:rPr>
      </w:pPr>
      <w:r>
        <w:rPr>
          <w:rFonts w:ascii="Arial" w:cs="Arial" w:eastAsia="Arial" w:hAnsi="Arial"/>
          <w:sz w:val="19"/>
          <w:szCs w:val="19"/>
          <w:color w:val="auto"/>
        </w:rPr>
        <w:t>foreclose upon and/or sell or otherwise liquidate, the Collateral;</w:t>
      </w:r>
    </w:p>
    <w:p>
      <w:pPr>
        <w:spacing w:after="0" w:line="143" w:lineRule="exact"/>
        <w:rPr>
          <w:rFonts w:ascii="Arial" w:cs="Arial" w:eastAsia="Arial" w:hAnsi="Arial"/>
          <w:sz w:val="19"/>
          <w:szCs w:val="19"/>
          <w:color w:val="auto"/>
        </w:rPr>
      </w:pPr>
    </w:p>
    <w:p>
      <w:pPr>
        <w:ind w:left="1860" w:hanging="635"/>
        <w:spacing w:after="0"/>
        <w:tabs>
          <w:tab w:leader="none" w:pos="186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make a demand for payment upon any Guarantor pursuant to the Guaranty delivered by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0"/>
          </w:cols>
          <w:pgMar w:left="320" w:top="1344" w:right="339" w:bottom="1440" w:gutter="0" w:footer="0" w:header="0"/>
        </w:sectPr>
      </w:pPr>
    </w:p>
    <w:bookmarkStart w:id="233" w:name="page234"/>
    <w:bookmarkEnd w:id="233"/>
    <w:p>
      <w:pPr>
        <w:ind w:left="1860" w:hanging="635"/>
        <w:spacing w:after="0"/>
        <w:tabs>
          <w:tab w:leader="none" w:pos="186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apply to the Obligations any (A) balances and deposits of Borrower that Collateral Agent or any Lender holds or controls,</w:t>
      </w:r>
    </w:p>
    <w:p>
      <w:pPr>
        <w:spacing w:after="0" w:line="1" w:lineRule="exact"/>
        <w:rPr>
          <w:rFonts w:ascii="Arial" w:cs="Arial" w:eastAsia="Arial" w:hAnsi="Arial"/>
          <w:sz w:val="17"/>
          <w:szCs w:val="17"/>
          <w:color w:val="auto"/>
        </w:rPr>
      </w:pPr>
    </w:p>
    <w:p>
      <w:pPr>
        <w:ind w:firstLine="3"/>
        <w:spacing w:after="0" w:line="222" w:lineRule="auto"/>
        <w:tabs>
          <w:tab w:leader="none" w:pos="301" w:val="left"/>
        </w:tabs>
        <w:numPr>
          <w:ilvl w:val="0"/>
          <w:numId w:val="199"/>
        </w:numPr>
        <w:rPr>
          <w:rFonts w:ascii="Arial" w:cs="Arial" w:eastAsia="Arial" w:hAnsi="Arial"/>
          <w:sz w:val="19"/>
          <w:szCs w:val="19"/>
          <w:color w:val="auto"/>
        </w:rPr>
      </w:pPr>
      <w:r>
        <w:rPr>
          <w:rFonts w:ascii="Arial" w:cs="Arial" w:eastAsia="Arial" w:hAnsi="Arial"/>
          <w:sz w:val="19"/>
          <w:szCs w:val="19"/>
          <w:color w:val="auto"/>
        </w:rPr>
        <w:t>any amount held or controlled by Collateral Agent or any Lender owing to or for the credit or the account of Borrower, or (C) amounts received from any Guarantors in accordance with the respective Guaranty delivered by such Guarantor; and/or</w:t>
      </w:r>
    </w:p>
    <w:p>
      <w:pPr>
        <w:spacing w:after="0" w:line="135" w:lineRule="exact"/>
        <w:rPr>
          <w:rFonts w:ascii="Arial" w:cs="Arial" w:eastAsia="Arial" w:hAnsi="Arial"/>
          <w:sz w:val="19"/>
          <w:szCs w:val="19"/>
          <w:color w:val="auto"/>
        </w:rPr>
      </w:pPr>
    </w:p>
    <w:p>
      <w:pPr>
        <w:ind w:left="1860" w:hanging="635"/>
        <w:spacing w:after="0"/>
        <w:tabs>
          <w:tab w:leader="none" w:pos="186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commence and prosecute an Insolvency Proceeding or consent to Borrower commencing any Insolvency Proceeding.</w:t>
      </w:r>
    </w:p>
    <w:p>
      <w:pPr>
        <w:spacing w:after="0" w:line="154" w:lineRule="exact"/>
        <w:rPr>
          <w:rFonts w:ascii="Arial" w:cs="Arial" w:eastAsia="Arial" w:hAnsi="Arial"/>
          <w:sz w:val="18"/>
          <w:szCs w:val="18"/>
          <w:color w:val="auto"/>
        </w:rPr>
      </w:pPr>
    </w:p>
    <w:p>
      <w:pPr>
        <w:jc w:val="both"/>
        <w:ind w:firstLine="1219"/>
        <w:spacing w:after="0" w:line="220" w:lineRule="auto"/>
        <w:tabs>
          <w:tab w:leader="none" w:pos="1852" w:val="left"/>
        </w:tabs>
        <w:numPr>
          <w:ilvl w:val="1"/>
          <w:numId w:val="199"/>
        </w:numPr>
        <w:rPr>
          <w:rFonts w:ascii="Arial" w:cs="Arial" w:eastAsia="Arial" w:hAnsi="Arial"/>
          <w:sz w:val="19"/>
          <w:szCs w:val="19"/>
          <w:color w:val="auto"/>
        </w:rPr>
      </w:pPr>
      <w:r>
        <w:rPr>
          <w:rFonts w:ascii="Arial" w:cs="Arial" w:eastAsia="Arial" w:hAnsi="Arial"/>
          <w:sz w:val="19"/>
          <w:szCs w:val="19"/>
          <w:color w:val="auto"/>
        </w:rPr>
        <w:t>Without limiting the rights of Collateral Agent and the Lenders set forth in Sections 9.1(a) and (b) above, upon the occurrence and during the continuance of an Event of Default, Collateral Agent shall at the written direction of the Required Lenders, without notice or demand, to do any or all of the following:</w:t>
      </w:r>
    </w:p>
    <w:p>
      <w:pPr>
        <w:spacing w:after="0" w:line="135" w:lineRule="exact"/>
        <w:rPr>
          <w:rFonts w:ascii="Arial" w:cs="Arial" w:eastAsia="Arial" w:hAnsi="Arial"/>
          <w:sz w:val="19"/>
          <w:szCs w:val="19"/>
          <w:color w:val="auto"/>
        </w:rPr>
      </w:pPr>
    </w:p>
    <w:p>
      <w:pPr>
        <w:jc w:val="both"/>
        <w:ind w:firstLine="1225"/>
        <w:spacing w:after="0" w:line="220" w:lineRule="auto"/>
        <w:tabs>
          <w:tab w:leader="none" w:pos="1852" w:val="left"/>
        </w:tabs>
        <w:numPr>
          <w:ilvl w:val="1"/>
          <w:numId w:val="200"/>
        </w:numPr>
        <w:rPr>
          <w:rFonts w:ascii="Arial" w:cs="Arial" w:eastAsia="Arial" w:hAnsi="Arial"/>
          <w:sz w:val="19"/>
          <w:szCs w:val="19"/>
          <w:color w:val="auto"/>
        </w:rPr>
      </w:pPr>
      <w:r>
        <w:rPr>
          <w:rFonts w:ascii="Arial" w:cs="Arial" w:eastAsia="Arial" w:hAnsi="Arial"/>
          <w:sz w:val="19"/>
          <w:szCs w:val="19"/>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35" w:lineRule="exact"/>
        <w:rPr>
          <w:rFonts w:ascii="Arial" w:cs="Arial" w:eastAsia="Arial" w:hAnsi="Arial"/>
          <w:sz w:val="19"/>
          <w:szCs w:val="19"/>
          <w:color w:val="auto"/>
        </w:rPr>
      </w:pPr>
    </w:p>
    <w:p>
      <w:pPr>
        <w:jc w:val="both"/>
        <w:ind w:firstLine="1225"/>
        <w:spacing w:after="0" w:line="209" w:lineRule="auto"/>
        <w:tabs>
          <w:tab w:leader="none" w:pos="1853" w:val="left"/>
        </w:tabs>
        <w:numPr>
          <w:ilvl w:val="1"/>
          <w:numId w:val="201"/>
        </w:numPr>
        <w:rPr>
          <w:rFonts w:ascii="Arial" w:cs="Arial" w:eastAsia="Arial" w:hAnsi="Arial"/>
          <w:sz w:val="19"/>
          <w:szCs w:val="19"/>
          <w:color w:val="auto"/>
        </w:rPr>
      </w:pPr>
      <w:r>
        <w:rPr>
          <w:rFonts w:ascii="Arial" w:cs="Arial" w:eastAsia="Arial" w:hAnsi="Arial"/>
          <w:sz w:val="19"/>
          <w:szCs w:val="19"/>
          <w:color w:val="auto"/>
        </w:rPr>
        <w:t>make any payments and do any acts it considers necessary or reasonable to protect the Collateral and/or its Liens in the Collateral (held for the ratable benefit of the Secured Parties). Borrower shall assemble the Collateral if Collateral Agent requests and make it available at such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24" w:lineRule="exact"/>
        <w:rPr>
          <w:rFonts w:ascii="Arial" w:cs="Arial" w:eastAsia="Arial" w:hAnsi="Arial"/>
          <w:sz w:val="19"/>
          <w:szCs w:val="19"/>
          <w:color w:val="auto"/>
        </w:rPr>
      </w:pPr>
    </w:p>
    <w:p>
      <w:pPr>
        <w:jc w:val="both"/>
        <w:ind w:firstLine="1225"/>
        <w:spacing w:after="0" w:line="221" w:lineRule="auto"/>
        <w:tabs>
          <w:tab w:leader="none" w:pos="185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and/or advertise for sale, any of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35" w:lineRule="exact"/>
        <w:rPr>
          <w:rFonts w:ascii="Arial" w:cs="Arial" w:eastAsia="Arial" w:hAnsi="Arial"/>
          <w:sz w:val="18"/>
          <w:szCs w:val="18"/>
          <w:color w:val="auto"/>
        </w:rPr>
      </w:pPr>
    </w:p>
    <w:p>
      <w:pPr>
        <w:jc w:val="both"/>
        <w:ind w:firstLine="1225"/>
        <w:spacing w:after="0" w:line="215" w:lineRule="auto"/>
        <w:tabs>
          <w:tab w:leader="none" w:pos="1857" w:val="left"/>
        </w:tabs>
        <w:numPr>
          <w:ilvl w:val="2"/>
          <w:numId w:val="202"/>
        </w:numPr>
        <w:rPr>
          <w:rFonts w:ascii="Arial" w:cs="Arial" w:eastAsia="Arial" w:hAnsi="Arial"/>
          <w:sz w:val="19"/>
          <w:szCs w:val="19"/>
          <w:color w:val="auto"/>
        </w:rPr>
      </w:pPr>
      <w:r>
        <w:rPr>
          <w:rFonts w:ascii="Arial" w:cs="Arial" w:eastAsia="Arial" w:hAnsi="Arial"/>
          <w:sz w:val="19"/>
          <w:szCs w:val="19"/>
          <w:color w:val="auto"/>
        </w:rPr>
        <w:t>place a “hold” on any Collateral Account maintained with Collateral Agent or any Lender or otherwise in respect of which a Control Agreement has been delivered in favor of Collateral Agent (for the ratable benefit of the Secured Parties) and/or deliver a notice of exclusive control, any entitlement order, or other directions or instructions pursuant to any Control Agreement or similar agreements providing control of any Collateral;</w:t>
      </w:r>
    </w:p>
    <w:p>
      <w:pPr>
        <w:spacing w:after="0" w:line="134" w:lineRule="exact"/>
        <w:rPr>
          <w:rFonts w:ascii="Arial" w:cs="Arial" w:eastAsia="Arial" w:hAnsi="Arial"/>
          <w:sz w:val="19"/>
          <w:szCs w:val="19"/>
          <w:color w:val="auto"/>
        </w:rPr>
      </w:pPr>
    </w:p>
    <w:p>
      <w:pPr>
        <w:ind w:left="1860" w:hanging="635"/>
        <w:spacing w:after="0"/>
        <w:tabs>
          <w:tab w:leader="none" w:pos="1860" w:val="left"/>
        </w:tabs>
        <w:numPr>
          <w:ilvl w:val="2"/>
          <w:numId w:val="202"/>
        </w:numPr>
        <w:rPr>
          <w:rFonts w:ascii="Arial" w:cs="Arial" w:eastAsia="Arial" w:hAnsi="Arial"/>
          <w:sz w:val="19"/>
          <w:szCs w:val="19"/>
          <w:color w:val="auto"/>
        </w:rPr>
      </w:pPr>
      <w:r>
        <w:rPr>
          <w:rFonts w:ascii="Arial" w:cs="Arial" w:eastAsia="Arial" w:hAnsi="Arial"/>
          <w:sz w:val="19"/>
          <w:szCs w:val="19"/>
          <w:color w:val="auto"/>
        </w:rPr>
        <w:t>demand and receive possession of Borrower’s Books;</w:t>
      </w:r>
    </w:p>
    <w:p>
      <w:pPr>
        <w:spacing w:after="0" w:line="143" w:lineRule="exact"/>
        <w:rPr>
          <w:rFonts w:ascii="Arial" w:cs="Arial" w:eastAsia="Arial" w:hAnsi="Arial"/>
          <w:sz w:val="19"/>
          <w:szCs w:val="19"/>
          <w:color w:val="auto"/>
        </w:rPr>
      </w:pPr>
    </w:p>
    <w:p>
      <w:pPr>
        <w:jc w:val="both"/>
        <w:ind w:firstLine="1225"/>
        <w:spacing w:after="0" w:line="220" w:lineRule="auto"/>
        <w:tabs>
          <w:tab w:leader="none" w:pos="1857" w:val="left"/>
        </w:tabs>
        <w:numPr>
          <w:ilvl w:val="2"/>
          <w:numId w:val="202"/>
        </w:numPr>
        <w:rPr>
          <w:rFonts w:ascii="Arial" w:cs="Arial" w:eastAsia="Arial" w:hAnsi="Arial"/>
          <w:sz w:val="19"/>
          <w:szCs w:val="19"/>
          <w:color w:val="auto"/>
        </w:rPr>
      </w:pPr>
      <w:r>
        <w:rPr>
          <w:rFonts w:ascii="Arial" w:cs="Arial" w:eastAsia="Arial" w:hAnsi="Arial"/>
          <w:sz w:val="19"/>
          <w:szCs w:val="19"/>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spacing w:after="0" w:line="135" w:lineRule="exact"/>
        <w:rPr>
          <w:rFonts w:ascii="Arial" w:cs="Arial" w:eastAsia="Arial" w:hAnsi="Arial"/>
          <w:sz w:val="19"/>
          <w:szCs w:val="19"/>
          <w:color w:val="auto"/>
        </w:rPr>
      </w:pPr>
    </w:p>
    <w:p>
      <w:pPr>
        <w:jc w:val="both"/>
        <w:ind w:firstLine="1225"/>
        <w:spacing w:after="0" w:line="220" w:lineRule="auto"/>
        <w:tabs>
          <w:tab w:leader="none" w:pos="1857" w:val="left"/>
        </w:tabs>
        <w:numPr>
          <w:ilvl w:val="2"/>
          <w:numId w:val="202"/>
        </w:numPr>
        <w:rPr>
          <w:rFonts w:ascii="Arial" w:cs="Arial" w:eastAsia="Arial" w:hAnsi="Arial"/>
          <w:sz w:val="19"/>
          <w:szCs w:val="19"/>
          <w:color w:val="auto"/>
        </w:rPr>
      </w:pPr>
      <w:r>
        <w:rPr>
          <w:rFonts w:ascii="Arial" w:cs="Arial" w:eastAsia="Arial" w:hAnsi="Arial"/>
          <w:sz w:val="19"/>
          <w:szCs w:val="19"/>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36" w:lineRule="exact"/>
        <w:rPr>
          <w:sz w:val="20"/>
          <w:szCs w:val="20"/>
          <w:color w:val="auto"/>
        </w:rPr>
      </w:pPr>
    </w:p>
    <w:p>
      <w:pPr>
        <w:jc w:val="both"/>
        <w:ind w:firstLine="620"/>
        <w:spacing w:after="0" w:line="220" w:lineRule="auto"/>
        <w:rPr>
          <w:sz w:val="20"/>
          <w:szCs w:val="20"/>
          <w:color w:val="auto"/>
        </w:rPr>
      </w:pPr>
      <w:r>
        <w:rPr>
          <w:rFonts w:ascii="Arial" w:cs="Arial" w:eastAsia="Arial" w:hAnsi="Arial"/>
          <w:sz w:val="19"/>
          <w:szCs w:val="19"/>
          <w:color w:val="auto"/>
        </w:rPr>
        <w:t>Notwithstanding any provision of this Section 9.1 to the contrary, upon the occurrence and during the continuance of any Event of Default, Collateral Agent shall have the right to exercise any and all remedies referenced in this Section 9.1 without the written consent of Required Lenders following the occurrence of an Exigent Circumstance.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320" w:top="1350" w:right="339" w:bottom="1440" w:gutter="0" w:footer="0" w:header="0"/>
        </w:sectPr>
      </w:pPr>
    </w:p>
    <w:bookmarkStart w:id="234" w:name="page235"/>
    <w:bookmarkEnd w:id="234"/>
    <w:p>
      <w:pPr>
        <w:jc w:val="both"/>
        <w:ind w:firstLine="595"/>
        <w:spacing w:after="0" w:line="214" w:lineRule="auto"/>
        <w:rPr>
          <w:sz w:val="20"/>
          <w:szCs w:val="20"/>
          <w:color w:val="auto"/>
        </w:rPr>
      </w:pPr>
      <w:r>
        <w:rPr>
          <w:rFonts w:ascii="Arial" w:cs="Arial" w:eastAsia="Arial" w:hAnsi="Arial"/>
          <w:sz w:val="18"/>
          <w:szCs w:val="18"/>
          <w:b w:val="1"/>
          <w:bCs w:val="1"/>
          <w:color w:val="auto"/>
        </w:rPr>
        <w:t xml:space="preserve">9.2 Power of Attorney. </w:t>
      </w:r>
      <w:r>
        <w:rPr>
          <w:rFonts w:ascii="Arial" w:cs="Arial" w:eastAsia="Arial" w:hAnsi="Arial"/>
          <w:sz w:val="18"/>
          <w:szCs w:val="18"/>
          <w:color w:val="auto"/>
        </w:rPr>
        <w:t>Borrower hereby irrevocably appoints Collateral Agent as its lawful attorney-in-fact, exercisable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and 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of Borrower directly with the applicable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(a)(i) inchoate indemnity obligations, and (ii) other obligations that, by their terms, survive termination of this Agreement, in each case, for which no claim has been made, and (b) all obligations under the Exit Fee Agreement) have been satisfied in full and Collateral Agent and the Lenders are under no further obligation to make extend Term Loans hereunder. Collateral Agent’s foregoing appointment as Borrower’s or any of its Subsidiaries’ attorney in fact, and all of Collateral Agent’s rights and powers, coupled with an interest, are irrevocable until all Obligations (other than (a)(i) inchoate indemnity obligations, and (ii) other obligations that, by their terms, survive termination of this Agreement, in each case, for which no claim has been made, and (b) all obligations under the Exit Fee Agreement) have been fully repaid and performed and Collateral Agent’s and the Lenders’ obligation to provide Term Loans terminates.</w:t>
      </w:r>
    </w:p>
    <w:p>
      <w:pPr>
        <w:spacing w:after="0" w:line="131" w:lineRule="exact"/>
        <w:rPr>
          <w:sz w:val="20"/>
          <w:szCs w:val="20"/>
          <w:color w:val="auto"/>
        </w:rPr>
      </w:pPr>
    </w:p>
    <w:p>
      <w:pPr>
        <w:jc w:val="both"/>
        <w:ind w:firstLine="595"/>
        <w:spacing w:after="0" w:line="220" w:lineRule="auto"/>
        <w:rPr>
          <w:sz w:val="20"/>
          <w:szCs w:val="20"/>
          <w:color w:val="auto"/>
        </w:rPr>
      </w:pPr>
      <w:r>
        <w:rPr>
          <w:rFonts w:ascii="Arial" w:cs="Arial" w:eastAsia="Arial" w:hAnsi="Arial"/>
          <w:sz w:val="18"/>
          <w:szCs w:val="18"/>
          <w:b w:val="1"/>
          <w:bCs w:val="1"/>
          <w:color w:val="auto"/>
        </w:rPr>
        <w:t xml:space="preserve">9.3 Protective Payments. </w:t>
      </w:r>
      <w:r>
        <w:rPr>
          <w:rFonts w:ascii="Arial" w:cs="Arial" w:eastAsia="Arial" w:hAnsi="Arial"/>
          <w:sz w:val="18"/>
          <w:szCs w:val="18"/>
          <w:color w:val="auto"/>
        </w:rPr>
        <w:t>If Borrower or any of its Subsidiaries fail to obtain the insurance called for by Section 6.5 or fails to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premium 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19" w:lineRule="exact"/>
        <w:rPr>
          <w:sz w:val="20"/>
          <w:szCs w:val="20"/>
          <w:color w:val="auto"/>
        </w:rPr>
      </w:pPr>
    </w:p>
    <w:p>
      <w:pPr>
        <w:jc w:val="both"/>
        <w:ind w:firstLine="595"/>
        <w:spacing w:after="0" w:line="213" w:lineRule="auto"/>
        <w:rPr>
          <w:sz w:val="20"/>
          <w:szCs w:val="20"/>
          <w:color w:val="auto"/>
        </w:rPr>
      </w:pPr>
      <w:r>
        <w:rPr>
          <w:rFonts w:ascii="Arial" w:cs="Arial" w:eastAsia="Arial" w:hAnsi="Arial"/>
          <w:sz w:val="18"/>
          <w:szCs w:val="18"/>
          <w:b w:val="1"/>
          <w:bCs w:val="1"/>
          <w:color w:val="auto"/>
        </w:rPr>
        <w:t xml:space="preserve">9.4 Application of Payments and Proceeds. </w:t>
      </w:r>
      <w:r>
        <w:rPr>
          <w:rFonts w:ascii="Arial" w:cs="Arial" w:eastAsia="Arial" w:hAnsi="Arial"/>
          <w:sz w:val="18"/>
          <w:szCs w:val="18"/>
          <w:color w:val="auto"/>
        </w:rPr>
        <w:t>Notwithstanding anything to the contrary contained in this Agreement,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and 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Obligations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the Lenders’ Pro Rata Shares unless expressly provided otherwise. Collateral Agent, or if applicable, each Lender, shall promptly remit to the other Lenders such sums as may be necessary to ensure the ratable repayment of each Lender’s Pro Rata Share of any Term Loan and the ratable distribution of interest, fees and reimbursements paid or made by Borrower. Notwithstanding the foregoing, a Lender receiving a scheduled payment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1345" w:right="339" w:bottom="1440" w:gutter="0" w:footer="0" w:header="0"/>
        </w:sectPr>
      </w:pPr>
    </w:p>
    <w:bookmarkStart w:id="235" w:name="page236"/>
    <w:bookmarkEnd w:id="235"/>
    <w:p>
      <w:pPr>
        <w:jc w:val="both"/>
        <w:spacing w:after="0" w:line="229" w:lineRule="auto"/>
        <w:rPr>
          <w:sz w:val="20"/>
          <w:szCs w:val="20"/>
          <w:color w:val="auto"/>
        </w:rPr>
      </w:pPr>
      <w:r>
        <w:rPr>
          <w:rFonts w:ascii="Arial" w:cs="Arial" w:eastAsia="Arial" w:hAnsi="Arial"/>
          <w:sz w:val="17"/>
          <w:szCs w:val="17"/>
          <w:color w:val="auto"/>
        </w:rPr>
        <w:t>responsible for determining whether the other Lenders also received their scheduled payment on such date; provided, however, if it is later determined that a Lender received more than its Pro Rata Share of scheduled payments made on any date or dates, then such Lender shall remit to Collateral Agent or other the Lenders such sums as may be necessary to ensure the ratable payment of such scheduled payments, as instructed by Collateral Agent. If any payment or distribution of any kind or character, whether in cash, properties or securities, shall be received by a Lender in excess of its Pro Rata Share, then the portion of such payment or distribution in excess of such Lender’s Pro Rata Share shall be received and held by such Lender in trust for and shall be promptly paid over to the other Lenders (in accordance with their respective Pro Rata Shares) for application to the payments of amounts due on such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the Secured Parties for purposes of perfecting Collateral Agent’s security interest therein (held for the ratable benefit of the Secured Parties).</w:t>
      </w:r>
    </w:p>
    <w:p>
      <w:pPr>
        <w:spacing w:after="0" w:line="132" w:lineRule="exact"/>
        <w:rPr>
          <w:sz w:val="20"/>
          <w:szCs w:val="20"/>
          <w:color w:val="auto"/>
        </w:rPr>
      </w:pPr>
    </w:p>
    <w:p>
      <w:pPr>
        <w:jc w:val="both"/>
        <w:ind w:firstLine="595"/>
        <w:spacing w:after="0" w:line="213" w:lineRule="auto"/>
        <w:rPr>
          <w:sz w:val="20"/>
          <w:szCs w:val="20"/>
          <w:color w:val="auto"/>
        </w:rPr>
      </w:pPr>
      <w:r>
        <w:rPr>
          <w:rFonts w:ascii="Arial" w:cs="Arial" w:eastAsia="Arial" w:hAnsi="Arial"/>
          <w:sz w:val="19"/>
          <w:szCs w:val="19"/>
          <w:b w:val="1"/>
          <w:bCs w:val="1"/>
          <w:color w:val="auto"/>
        </w:rPr>
        <w:t xml:space="preserve">9.5 Liability for Collateral. </w:t>
      </w:r>
      <w:r>
        <w:rPr>
          <w:rFonts w:ascii="Arial" w:cs="Arial" w:eastAsia="Arial" w:hAnsi="Arial"/>
          <w:sz w:val="19"/>
          <w:szCs w:val="19"/>
          <w:color w:val="auto"/>
        </w:rPr>
        <w:t>So long as Collateral Agent and the Lenders comply with reasonable banking practices regarding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safekeeping 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16" w:lineRule="exact"/>
        <w:rPr>
          <w:sz w:val="20"/>
          <w:szCs w:val="20"/>
          <w:color w:val="auto"/>
        </w:rPr>
      </w:pPr>
    </w:p>
    <w:p>
      <w:pPr>
        <w:jc w:val="both"/>
        <w:ind w:firstLine="595"/>
        <w:spacing w:after="0" w:line="232" w:lineRule="auto"/>
        <w:rPr>
          <w:sz w:val="20"/>
          <w:szCs w:val="20"/>
          <w:color w:val="auto"/>
        </w:rPr>
      </w:pPr>
      <w:r>
        <w:rPr>
          <w:rFonts w:ascii="Arial" w:cs="Arial" w:eastAsia="Arial" w:hAnsi="Arial"/>
          <w:sz w:val="17"/>
          <w:szCs w:val="17"/>
          <w:b w:val="1"/>
          <w:bCs w:val="1"/>
          <w:color w:val="auto"/>
        </w:rPr>
        <w:t xml:space="preserve">9.6 No Waiver; Remedies Cumulative. </w:t>
      </w:r>
      <w:r>
        <w:rPr>
          <w:rFonts w:ascii="Arial" w:cs="Arial" w:eastAsia="Arial" w:hAnsi="Arial"/>
          <w:sz w:val="17"/>
          <w:szCs w:val="17"/>
          <w:color w:val="auto"/>
        </w:rPr>
        <w:t>Failure by Collateral Agent or any Lender, at any time or times, to require strict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by Borrower of any provision of this Agreement or by Borrower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29" w:lineRule="exact"/>
        <w:rPr>
          <w:sz w:val="20"/>
          <w:szCs w:val="20"/>
          <w:color w:val="auto"/>
        </w:rPr>
      </w:pPr>
    </w:p>
    <w:p>
      <w:pPr>
        <w:jc w:val="both"/>
        <w:ind w:firstLine="595"/>
        <w:spacing w:after="0" w:line="253" w:lineRule="auto"/>
        <w:rPr>
          <w:sz w:val="20"/>
          <w:szCs w:val="20"/>
          <w:color w:val="auto"/>
        </w:rPr>
      </w:pPr>
      <w:r>
        <w:rPr>
          <w:rFonts w:ascii="Arial" w:cs="Arial" w:eastAsia="Arial" w:hAnsi="Arial"/>
          <w:sz w:val="17"/>
          <w:szCs w:val="17"/>
          <w:b w:val="1"/>
          <w:bCs w:val="1"/>
          <w:color w:val="auto"/>
        </w:rPr>
        <w:t xml:space="preserve">9.7 Demand Waiver. </w:t>
      </w:r>
      <w:r>
        <w:rPr>
          <w:rFonts w:ascii="Arial" w:cs="Arial" w:eastAsia="Arial" w:hAnsi="Arial"/>
          <w:sz w:val="17"/>
          <w:szCs w:val="17"/>
          <w:color w:val="auto"/>
        </w:rPr>
        <w:t>Borrower waives, to the fullest extent permitted by law, demand, notice of default or dishonor, notice of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118" w:lineRule="exact"/>
        <w:rPr>
          <w:sz w:val="20"/>
          <w:szCs w:val="20"/>
          <w:color w:val="auto"/>
        </w:rPr>
      </w:pPr>
    </w:p>
    <w:p>
      <w:pPr>
        <w:ind w:left="600" w:hanging="597"/>
        <w:spacing w:after="0"/>
        <w:tabs>
          <w:tab w:leader="none" w:pos="600" w:val="left"/>
        </w:tabs>
        <w:numPr>
          <w:ilvl w:val="0"/>
          <w:numId w:val="203"/>
        </w:numPr>
        <w:rPr>
          <w:rFonts w:ascii="Arial" w:cs="Arial" w:eastAsia="Arial" w:hAnsi="Arial"/>
          <w:sz w:val="19"/>
          <w:szCs w:val="19"/>
          <w:b w:val="1"/>
          <w:bCs w:val="1"/>
          <w:color w:val="auto"/>
        </w:rPr>
      </w:pPr>
      <w:r>
        <w:rPr>
          <w:rFonts w:ascii="Arial" w:cs="Arial" w:eastAsia="Arial" w:hAnsi="Arial"/>
          <w:sz w:val="19"/>
          <w:szCs w:val="19"/>
          <w:b w:val="1"/>
          <w:bCs w:val="1"/>
          <w:color w:val="auto"/>
        </w:rPr>
        <w:t>NOTICES</w:t>
      </w:r>
    </w:p>
    <w:p>
      <w:pPr>
        <w:spacing w:after="0" w:line="149" w:lineRule="exact"/>
        <w:rPr>
          <w:sz w:val="20"/>
          <w:szCs w:val="20"/>
          <w:color w:val="auto"/>
        </w:rPr>
      </w:pPr>
    </w:p>
    <w:p>
      <w:pPr>
        <w:jc w:val="both"/>
        <w:ind w:firstLine="620"/>
        <w:spacing w:after="0" w:line="206" w:lineRule="auto"/>
        <w:rPr>
          <w:sz w:val="20"/>
          <w:szCs w:val="20"/>
          <w:color w:val="auto"/>
        </w:rPr>
      </w:pPr>
      <w:r>
        <w:rPr>
          <w:rFonts w:ascii="Arial" w:cs="Arial" w:eastAsia="Arial" w:hAnsi="Arial"/>
          <w:sz w:val="19"/>
          <w:szCs w:val="19"/>
          <w:color w:val="auto"/>
        </w:rPr>
        <w:t>Other than as specifically provided herein, all notices, consents, requests, approvals, demands, or other communication (collectively, “</w:t>
      </w:r>
      <w:r>
        <w:rPr>
          <w:rFonts w:ascii="Arial" w:cs="Arial" w:eastAsia="Arial" w:hAnsi="Arial"/>
          <w:sz w:val="19"/>
          <w:szCs w:val="19"/>
          <w:b w:val="1"/>
          <w:bCs w:val="1"/>
          <w:color w:val="auto"/>
        </w:rPr>
        <w:t>Communications</w:t>
      </w:r>
      <w:r>
        <w:rPr>
          <w:rFonts w:ascii="Arial" w:cs="Arial" w:eastAsia="Arial" w:hAnsi="Arial"/>
          <w:sz w:val="19"/>
          <w:szCs w:val="19"/>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1350" w:right="339" w:bottom="1440" w:gutter="0" w:footer="0" w:header="0"/>
        </w:sectPr>
      </w:pPr>
    </w:p>
    <w:bookmarkStart w:id="236" w:name="page237"/>
    <w:bookmarkEnd w:id="236"/>
    <w:p>
      <w:pPr>
        <w:ind w:left="1220"/>
        <w:spacing w:after="0"/>
        <w:tabs>
          <w:tab w:leader="none" w:pos="3520" w:val="left"/>
        </w:tabs>
        <w:rPr>
          <w:sz w:val="20"/>
          <w:szCs w:val="20"/>
          <w:color w:val="auto"/>
        </w:rPr>
      </w:pPr>
      <w:r>
        <w:rPr>
          <w:rFonts w:ascii="Arial" w:cs="Arial" w:eastAsia="Arial" w:hAnsi="Arial"/>
          <w:sz w:val="19"/>
          <w:szCs w:val="19"/>
          <w:color w:val="auto"/>
        </w:rPr>
        <w:t>If to Borrower:</w:t>
      </w:r>
      <w:r>
        <w:rPr>
          <w:sz w:val="20"/>
          <w:szCs w:val="20"/>
          <w:color w:val="auto"/>
        </w:rPr>
        <w:tab/>
      </w:r>
      <w:r>
        <w:rPr>
          <w:rFonts w:ascii="Arial" w:cs="Arial" w:eastAsia="Arial" w:hAnsi="Arial"/>
          <w:sz w:val="18"/>
          <w:szCs w:val="18"/>
          <w:color w:val="auto"/>
        </w:rPr>
        <w:t>ARCUTIS BIOTHERAPEUTICS, INC.</w:t>
      </w:r>
    </w:p>
    <w:p>
      <w:pPr>
        <w:ind w:left="3540"/>
        <w:spacing w:after="0" w:line="198" w:lineRule="auto"/>
        <w:rPr>
          <w:sz w:val="20"/>
          <w:szCs w:val="20"/>
          <w:color w:val="auto"/>
        </w:rPr>
      </w:pPr>
      <w:r>
        <w:rPr>
          <w:rFonts w:ascii="Arial" w:cs="Arial" w:eastAsia="Arial" w:hAnsi="Arial"/>
          <w:sz w:val="19"/>
          <w:szCs w:val="19"/>
          <w:color w:val="auto"/>
        </w:rPr>
        <w:t>3027 Townsgate Road, Suite 300</w:t>
      </w:r>
    </w:p>
    <w:p>
      <w:pPr>
        <w:ind w:left="3540"/>
        <w:spacing w:after="0" w:line="199" w:lineRule="auto"/>
        <w:rPr>
          <w:sz w:val="20"/>
          <w:szCs w:val="20"/>
          <w:color w:val="auto"/>
        </w:rPr>
      </w:pPr>
      <w:r>
        <w:rPr>
          <w:rFonts w:ascii="Arial" w:cs="Arial" w:eastAsia="Arial" w:hAnsi="Arial"/>
          <w:sz w:val="19"/>
          <w:szCs w:val="19"/>
          <w:color w:val="auto"/>
        </w:rPr>
        <w:t>Westlake Village, CA 913361</w:t>
      </w:r>
    </w:p>
    <w:p>
      <w:pPr>
        <w:ind w:left="3540"/>
        <w:spacing w:after="0" w:line="222" w:lineRule="auto"/>
        <w:rPr>
          <w:sz w:val="20"/>
          <w:szCs w:val="20"/>
          <w:color w:val="auto"/>
        </w:rPr>
      </w:pPr>
      <w:r>
        <w:rPr>
          <w:rFonts w:ascii="Arial" w:cs="Arial" w:eastAsia="Arial" w:hAnsi="Arial"/>
          <w:sz w:val="17"/>
          <w:szCs w:val="17"/>
          <w:color w:val="auto"/>
        </w:rPr>
        <w:t>Attn: Scott Burrows, Chief Financial Officer</w:t>
      </w:r>
    </w:p>
    <w:p>
      <w:pPr>
        <w:ind w:left="3540"/>
        <w:spacing w:after="0" w:line="199" w:lineRule="auto"/>
        <w:rPr>
          <w:sz w:val="20"/>
          <w:szCs w:val="20"/>
          <w:color w:val="auto"/>
        </w:rPr>
      </w:pPr>
      <w:r>
        <w:rPr>
          <w:rFonts w:ascii="Arial" w:cs="Arial" w:eastAsia="Arial" w:hAnsi="Arial"/>
          <w:sz w:val="19"/>
          <w:szCs w:val="19"/>
          <w:color w:val="auto"/>
        </w:rPr>
        <w:t>Fax:</w:t>
      </w:r>
    </w:p>
    <w:p>
      <w:pPr>
        <w:ind w:left="3540"/>
        <w:spacing w:after="0"/>
        <w:rPr>
          <w:sz w:val="20"/>
          <w:szCs w:val="20"/>
          <w:color w:val="auto"/>
        </w:rPr>
      </w:pPr>
      <w:r>
        <w:rPr>
          <w:rFonts w:ascii="Arial" w:cs="Arial" w:eastAsia="Arial" w:hAnsi="Arial"/>
          <w:sz w:val="19"/>
          <w:szCs w:val="19"/>
          <w:color w:val="auto"/>
        </w:rPr>
        <w:t>Email:</w:t>
      </w:r>
    </w:p>
    <w:p>
      <w:pPr>
        <w:spacing w:after="0" w:line="183" w:lineRule="exact"/>
        <w:rPr>
          <w:sz w:val="20"/>
          <w:szCs w:val="20"/>
          <w:color w:val="auto"/>
        </w:rPr>
      </w:pPr>
    </w:p>
    <w:p>
      <w:pPr>
        <w:ind w:left="1220"/>
        <w:spacing w:after="0"/>
        <w:tabs>
          <w:tab w:leader="none" w:pos="3520" w:val="left"/>
        </w:tabs>
        <w:rPr>
          <w:sz w:val="20"/>
          <w:szCs w:val="20"/>
          <w:color w:val="auto"/>
        </w:rPr>
      </w:pPr>
      <w:r>
        <w:rPr>
          <w:rFonts w:ascii="Arial" w:cs="Arial" w:eastAsia="Arial" w:hAnsi="Arial"/>
          <w:sz w:val="19"/>
          <w:szCs w:val="19"/>
          <w:color w:val="auto"/>
        </w:rPr>
        <w:t>with a copy (which shall not</w:t>
      </w:r>
      <w:r>
        <w:rPr>
          <w:sz w:val="20"/>
          <w:szCs w:val="20"/>
          <w:color w:val="auto"/>
        </w:rPr>
        <w:tab/>
      </w:r>
      <w:r>
        <w:rPr>
          <w:rFonts w:ascii="Arial" w:cs="Arial" w:eastAsia="Arial" w:hAnsi="Arial"/>
          <w:sz w:val="18"/>
          <w:szCs w:val="18"/>
          <w:color w:val="auto"/>
        </w:rPr>
        <w:t>LATHAM &amp; WATKINS LLP</w:t>
      </w:r>
    </w:p>
    <w:p>
      <w:pPr>
        <w:ind w:left="1220"/>
        <w:spacing w:after="0" w:line="222" w:lineRule="auto"/>
        <w:tabs>
          <w:tab w:leader="none" w:pos="3520" w:val="left"/>
        </w:tabs>
        <w:rPr>
          <w:sz w:val="20"/>
          <w:szCs w:val="20"/>
          <w:color w:val="auto"/>
        </w:rPr>
      </w:pPr>
      <w:r>
        <w:rPr>
          <w:rFonts w:ascii="Arial" w:cs="Arial" w:eastAsia="Arial" w:hAnsi="Arial"/>
          <w:sz w:val="19"/>
          <w:szCs w:val="19"/>
          <w:color w:val="auto"/>
        </w:rPr>
        <w:t>constitute notice) to:</w:t>
      </w:r>
      <w:r>
        <w:rPr>
          <w:sz w:val="20"/>
          <w:szCs w:val="20"/>
          <w:color w:val="auto"/>
        </w:rPr>
        <w:tab/>
      </w:r>
      <w:r>
        <w:rPr>
          <w:rFonts w:ascii="Arial" w:cs="Arial" w:eastAsia="Arial" w:hAnsi="Arial"/>
          <w:sz w:val="17"/>
          <w:szCs w:val="17"/>
          <w:color w:val="auto"/>
        </w:rPr>
        <w:t>140 Scott Drive</w:t>
      </w:r>
    </w:p>
    <w:p>
      <w:pPr>
        <w:ind w:left="3540"/>
        <w:spacing w:after="0" w:line="198" w:lineRule="auto"/>
        <w:rPr>
          <w:sz w:val="20"/>
          <w:szCs w:val="20"/>
          <w:color w:val="auto"/>
        </w:rPr>
      </w:pPr>
      <w:r>
        <w:rPr>
          <w:rFonts w:ascii="Arial" w:cs="Arial" w:eastAsia="Arial" w:hAnsi="Arial"/>
          <w:sz w:val="19"/>
          <w:szCs w:val="19"/>
          <w:color w:val="auto"/>
        </w:rPr>
        <w:t>Menlo Park, CA 94025</w:t>
      </w:r>
    </w:p>
    <w:p>
      <w:pPr>
        <w:ind w:left="3540"/>
        <w:spacing w:after="0" w:line="199" w:lineRule="auto"/>
        <w:rPr>
          <w:sz w:val="20"/>
          <w:szCs w:val="20"/>
          <w:color w:val="auto"/>
        </w:rPr>
      </w:pPr>
      <w:r>
        <w:rPr>
          <w:rFonts w:ascii="Arial" w:cs="Arial" w:eastAsia="Arial" w:hAnsi="Arial"/>
          <w:sz w:val="19"/>
          <w:szCs w:val="19"/>
          <w:color w:val="auto"/>
        </w:rPr>
        <w:t>Attn:</w:t>
      </w:r>
    </w:p>
    <w:p>
      <w:pPr>
        <w:ind w:left="3540"/>
        <w:spacing w:after="0" w:line="199" w:lineRule="auto"/>
        <w:rPr>
          <w:sz w:val="20"/>
          <w:szCs w:val="20"/>
          <w:color w:val="auto"/>
        </w:rPr>
      </w:pPr>
      <w:r>
        <w:rPr>
          <w:rFonts w:ascii="Arial" w:cs="Arial" w:eastAsia="Arial" w:hAnsi="Arial"/>
          <w:sz w:val="19"/>
          <w:szCs w:val="19"/>
          <w:color w:val="auto"/>
        </w:rPr>
        <w:t>Fax:</w:t>
      </w:r>
    </w:p>
    <w:p>
      <w:pPr>
        <w:ind w:left="3540"/>
        <w:spacing w:after="0"/>
        <w:rPr>
          <w:sz w:val="20"/>
          <w:szCs w:val="20"/>
          <w:color w:val="auto"/>
        </w:rPr>
      </w:pPr>
      <w:r>
        <w:rPr>
          <w:rFonts w:ascii="Arial" w:cs="Arial" w:eastAsia="Arial" w:hAnsi="Arial"/>
          <w:sz w:val="19"/>
          <w:szCs w:val="19"/>
          <w:color w:val="auto"/>
        </w:rPr>
        <w:t>Email:</w:t>
      </w:r>
    </w:p>
    <w:p>
      <w:pPr>
        <w:spacing w:after="0" w:line="183" w:lineRule="exact"/>
        <w:rPr>
          <w:sz w:val="20"/>
          <w:szCs w:val="20"/>
          <w:color w:val="auto"/>
        </w:rPr>
      </w:pPr>
    </w:p>
    <w:p>
      <w:pPr>
        <w:ind w:left="1220"/>
        <w:spacing w:after="0"/>
        <w:tabs>
          <w:tab w:leader="none" w:pos="3520" w:val="left"/>
        </w:tabs>
        <w:rPr>
          <w:sz w:val="20"/>
          <w:szCs w:val="20"/>
          <w:color w:val="auto"/>
        </w:rPr>
      </w:pPr>
      <w:r>
        <w:rPr>
          <w:rFonts w:ascii="Arial" w:cs="Arial" w:eastAsia="Arial" w:hAnsi="Arial"/>
          <w:sz w:val="19"/>
          <w:szCs w:val="19"/>
          <w:color w:val="auto"/>
        </w:rPr>
        <w:t>If to Collateral Agent:</w:t>
      </w:r>
      <w:r>
        <w:rPr>
          <w:sz w:val="20"/>
          <w:szCs w:val="20"/>
          <w:color w:val="auto"/>
        </w:rPr>
        <w:tab/>
      </w:r>
      <w:r>
        <w:rPr>
          <w:rFonts w:ascii="Arial" w:cs="Arial" w:eastAsia="Arial" w:hAnsi="Arial"/>
          <w:sz w:val="17"/>
          <w:szCs w:val="17"/>
          <w:color w:val="auto"/>
        </w:rPr>
        <w:t>SLR INVESTMENT CORP.</w:t>
      </w:r>
    </w:p>
    <w:p>
      <w:pPr>
        <w:ind w:left="3540"/>
        <w:spacing w:after="0" w:line="198" w:lineRule="auto"/>
        <w:rPr>
          <w:sz w:val="20"/>
          <w:szCs w:val="20"/>
          <w:color w:val="auto"/>
        </w:rPr>
      </w:pPr>
      <w:r>
        <w:rPr>
          <w:rFonts w:ascii="Arial" w:cs="Arial" w:eastAsia="Arial" w:hAnsi="Arial"/>
          <w:sz w:val="19"/>
          <w:szCs w:val="19"/>
          <w:color w:val="auto"/>
        </w:rPr>
        <w:t>500 Park Avenue, 3rd Floor</w:t>
      </w:r>
    </w:p>
    <w:p>
      <w:pPr>
        <w:ind w:left="3540"/>
        <w:spacing w:after="0" w:line="199" w:lineRule="auto"/>
        <w:rPr>
          <w:sz w:val="20"/>
          <w:szCs w:val="20"/>
          <w:color w:val="auto"/>
        </w:rPr>
      </w:pPr>
      <w:r>
        <w:rPr>
          <w:rFonts w:ascii="Arial" w:cs="Arial" w:eastAsia="Arial" w:hAnsi="Arial"/>
          <w:sz w:val="19"/>
          <w:szCs w:val="19"/>
          <w:color w:val="auto"/>
        </w:rPr>
        <w:t>New York, NY 10022</w:t>
      </w:r>
    </w:p>
    <w:p>
      <w:pPr>
        <w:ind w:left="3540"/>
        <w:spacing w:after="0" w:line="199" w:lineRule="auto"/>
        <w:rPr>
          <w:sz w:val="20"/>
          <w:szCs w:val="20"/>
          <w:color w:val="auto"/>
        </w:rPr>
      </w:pPr>
      <w:r>
        <w:rPr>
          <w:rFonts w:ascii="Arial" w:cs="Arial" w:eastAsia="Arial" w:hAnsi="Arial"/>
          <w:sz w:val="19"/>
          <w:szCs w:val="19"/>
          <w:color w:val="auto"/>
        </w:rPr>
        <w:t>Attention:</w:t>
      </w:r>
    </w:p>
    <w:p>
      <w:pPr>
        <w:ind w:left="3540"/>
        <w:spacing w:after="0" w:line="198" w:lineRule="auto"/>
        <w:rPr>
          <w:sz w:val="20"/>
          <w:szCs w:val="20"/>
          <w:color w:val="auto"/>
        </w:rPr>
      </w:pPr>
      <w:r>
        <w:rPr>
          <w:rFonts w:ascii="Arial" w:cs="Arial" w:eastAsia="Arial" w:hAnsi="Arial"/>
          <w:sz w:val="19"/>
          <w:szCs w:val="19"/>
          <w:color w:val="auto"/>
        </w:rPr>
        <w:t>Fax:</w:t>
      </w:r>
    </w:p>
    <w:p>
      <w:pPr>
        <w:spacing w:after="0" w:line="1" w:lineRule="exact"/>
        <w:rPr>
          <w:sz w:val="20"/>
          <w:szCs w:val="20"/>
          <w:color w:val="auto"/>
        </w:rPr>
      </w:pPr>
    </w:p>
    <w:p>
      <w:pPr>
        <w:ind w:left="3540"/>
        <w:spacing w:after="0"/>
        <w:rPr>
          <w:sz w:val="20"/>
          <w:szCs w:val="20"/>
          <w:color w:val="auto"/>
        </w:rPr>
      </w:pPr>
      <w:r>
        <w:rPr>
          <w:rFonts w:ascii="Arial" w:cs="Arial" w:eastAsia="Arial" w:hAnsi="Arial"/>
          <w:sz w:val="19"/>
          <w:szCs w:val="19"/>
          <w:color w:val="auto"/>
        </w:rPr>
        <w:t>Email:</w:t>
      </w:r>
    </w:p>
    <w:p>
      <w:pPr>
        <w:sectPr>
          <w:pgSz w:w="11900" w:h="16838" w:orient="portrait"/>
          <w:cols w:equalWidth="0" w:num="1">
            <w:col w:w="11240"/>
          </w:cols>
          <w:pgMar w:left="320" w:top="1381"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1220"/>
        <w:spacing w:after="0" w:line="231" w:lineRule="auto"/>
        <w:rPr>
          <w:sz w:val="20"/>
          <w:szCs w:val="20"/>
          <w:color w:val="auto"/>
        </w:rPr>
      </w:pPr>
      <w:r>
        <w:rPr>
          <w:rFonts w:ascii="Arial" w:cs="Arial" w:eastAsia="Arial" w:hAnsi="Arial"/>
          <w:sz w:val="19"/>
          <w:szCs w:val="19"/>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DLA PIPER LLP (US)</w:t>
      </w:r>
    </w:p>
    <w:p>
      <w:pPr>
        <w:spacing w:after="0" w:line="198" w:lineRule="auto"/>
        <w:rPr>
          <w:sz w:val="20"/>
          <w:szCs w:val="20"/>
          <w:color w:val="auto"/>
        </w:rPr>
      </w:pPr>
      <w:r>
        <w:rPr>
          <w:rFonts w:ascii="Arial" w:cs="Arial" w:eastAsia="Arial" w:hAnsi="Arial"/>
          <w:sz w:val="19"/>
          <w:szCs w:val="19"/>
          <w:color w:val="auto"/>
        </w:rPr>
        <w:t>500 8th Street, NW</w:t>
      </w:r>
    </w:p>
    <w:p>
      <w:pPr>
        <w:spacing w:after="0" w:line="222" w:lineRule="auto"/>
        <w:rPr>
          <w:sz w:val="20"/>
          <w:szCs w:val="20"/>
          <w:color w:val="auto"/>
        </w:rPr>
      </w:pPr>
      <w:r>
        <w:rPr>
          <w:rFonts w:ascii="Arial" w:cs="Arial" w:eastAsia="Arial" w:hAnsi="Arial"/>
          <w:sz w:val="17"/>
          <w:szCs w:val="17"/>
          <w:color w:val="auto"/>
        </w:rPr>
        <w:t>Washington, DC 20004</w:t>
      </w:r>
    </w:p>
    <w:p>
      <w:pPr>
        <w:spacing w:after="0" w:line="199" w:lineRule="auto"/>
        <w:rPr>
          <w:sz w:val="20"/>
          <w:szCs w:val="20"/>
          <w:color w:val="auto"/>
        </w:rPr>
      </w:pPr>
      <w:r>
        <w:rPr>
          <w:rFonts w:ascii="Arial" w:cs="Arial" w:eastAsia="Arial" w:hAnsi="Arial"/>
          <w:sz w:val="19"/>
          <w:szCs w:val="19"/>
          <w:color w:val="auto"/>
        </w:rPr>
        <w:t>Attn:</w:t>
      </w:r>
    </w:p>
    <w:p>
      <w:pPr>
        <w:spacing w:after="0" w:line="199" w:lineRule="auto"/>
        <w:rPr>
          <w:sz w:val="20"/>
          <w:szCs w:val="20"/>
          <w:color w:val="auto"/>
        </w:rPr>
      </w:pPr>
      <w:r>
        <w:rPr>
          <w:rFonts w:ascii="Arial" w:cs="Arial" w:eastAsia="Arial" w:hAnsi="Arial"/>
          <w:sz w:val="19"/>
          <w:szCs w:val="19"/>
          <w:color w:val="auto"/>
        </w:rPr>
        <w:t>Fax:</w:t>
      </w:r>
    </w:p>
    <w:p>
      <w:pPr>
        <w:spacing w:after="0"/>
        <w:rPr>
          <w:sz w:val="20"/>
          <w:szCs w:val="20"/>
          <w:color w:val="auto"/>
        </w:rPr>
      </w:pPr>
      <w:r>
        <w:rPr>
          <w:rFonts w:ascii="Arial" w:cs="Arial" w:eastAsia="Arial" w:hAnsi="Arial"/>
          <w:sz w:val="19"/>
          <w:szCs w:val="19"/>
          <w:color w:val="auto"/>
        </w:rPr>
        <w:t>Email:</w:t>
      </w:r>
    </w:p>
    <w:p>
      <w:pPr>
        <w:spacing w:after="0" w:line="200" w:lineRule="exact"/>
        <w:rPr>
          <w:sz w:val="20"/>
          <w:szCs w:val="20"/>
          <w:color w:val="auto"/>
        </w:rPr>
      </w:pPr>
    </w:p>
    <w:p>
      <w:pPr>
        <w:sectPr>
          <w:pgSz w:w="11900" w:h="16838" w:orient="portrait"/>
          <w:cols w:equalWidth="0" w:num="2">
            <w:col w:w="3360" w:space="180"/>
            <w:col w:w="7700"/>
          </w:cols>
          <w:pgMar w:left="320" w:top="1381" w:right="339" w:bottom="1440" w:gutter="0" w:footer="0" w:header="0"/>
          <w:type w:val="continuous"/>
        </w:sectPr>
      </w:pPr>
    </w:p>
    <w:p>
      <w:pPr>
        <w:spacing w:after="0" w:line="296" w:lineRule="exact"/>
        <w:rPr>
          <w:sz w:val="20"/>
          <w:szCs w:val="20"/>
          <w:color w:val="auto"/>
        </w:rPr>
      </w:pPr>
    </w:p>
    <w:p>
      <w:pPr>
        <w:ind w:left="600" w:hanging="597"/>
        <w:spacing w:after="0"/>
        <w:tabs>
          <w:tab w:leader="none" w:pos="600" w:val="left"/>
        </w:tabs>
        <w:numPr>
          <w:ilvl w:val="0"/>
          <w:numId w:val="204"/>
        </w:numPr>
        <w:rPr>
          <w:rFonts w:ascii="Arial" w:cs="Arial" w:eastAsia="Arial" w:hAnsi="Arial"/>
          <w:sz w:val="19"/>
          <w:szCs w:val="19"/>
          <w:b w:val="1"/>
          <w:bCs w:val="1"/>
          <w:color w:val="auto"/>
        </w:rPr>
      </w:pPr>
      <w:r>
        <w:rPr>
          <w:rFonts w:ascii="Arial" w:cs="Arial" w:eastAsia="Arial" w:hAnsi="Arial"/>
          <w:sz w:val="19"/>
          <w:szCs w:val="19"/>
          <w:b w:val="1"/>
          <w:bCs w:val="1"/>
          <w:color w:val="auto"/>
        </w:rPr>
        <w:t>CHOICE OF LAW, VENUE AND JURY TRIAL WAIVER</w:t>
      </w:r>
    </w:p>
    <w:p>
      <w:pPr>
        <w:spacing w:after="0" w:line="143" w:lineRule="exact"/>
        <w:rPr>
          <w:sz w:val="20"/>
          <w:szCs w:val="20"/>
          <w:color w:val="auto"/>
        </w:rPr>
      </w:pPr>
    </w:p>
    <w:p>
      <w:pPr>
        <w:jc w:val="both"/>
        <w:ind w:firstLine="595"/>
        <w:spacing w:after="0" w:line="205" w:lineRule="auto"/>
        <w:rPr>
          <w:sz w:val="20"/>
          <w:szCs w:val="20"/>
          <w:color w:val="auto"/>
        </w:rPr>
      </w:pPr>
      <w:r>
        <w:rPr>
          <w:rFonts w:ascii="Arial" w:cs="Arial" w:eastAsia="Arial" w:hAnsi="Arial"/>
          <w:sz w:val="19"/>
          <w:szCs w:val="19"/>
          <w:b w:val="1"/>
          <w:bCs w:val="1"/>
          <w:color w:val="auto"/>
        </w:rPr>
        <w:t xml:space="preserve">11.1 Waiver of Jury Trial. </w:t>
      </w:r>
      <w:r>
        <w:rPr>
          <w:rFonts w:ascii="Arial" w:cs="Arial" w:eastAsia="Arial" w:hAnsi="Arial"/>
          <w:sz w:val="19"/>
          <w:szCs w:val="19"/>
          <w:color w:val="auto"/>
        </w:rPr>
        <w:t>EACH OF BORROWER, COLLATERAL AGENT AND LENDERS UNCONDITIONALLY WAIVES</w:t>
      </w:r>
      <w:r>
        <w:rPr>
          <w:rFonts w:ascii="Arial" w:cs="Arial" w:eastAsia="Arial" w:hAnsi="Arial"/>
          <w:sz w:val="19"/>
          <w:szCs w:val="19"/>
          <w:b w:val="1"/>
          <w:bCs w:val="1"/>
          <w:color w:val="auto"/>
        </w:rPr>
        <w:t xml:space="preserve"> </w:t>
      </w:r>
      <w:r>
        <w:rPr>
          <w:rFonts w:ascii="Arial" w:cs="Arial" w:eastAsia="Arial" w:hAnsi="Arial"/>
          <w:sz w:val="19"/>
          <w:szCs w:val="19"/>
          <w:color w:val="auto"/>
        </w:rPr>
        <w:t>ANY AND ALL RIGHT TO A JURY TRIAL OF ANY CLAIM OR CAUSE OF ACTION BASED UPON OR ARISING OUT OF THIS AGREEMENT, ANY OF THE OTHER LOAN DOCUMENTS, ANY OF THE INDEBTEDNESS SECURED HEREBY, ANY DEALINGS AMONG BORROWER, COLLATERAL AGENT AND/OR LENDERS RELATING TO THE SUBJECT MATTER OF THIS TRANSACTION OR ANY RELATED TRANSACTIONS, AND/OR THE RELATIONSHIP THAT IS BEING ESTABLISHED AMONG BORROWER, COLLATERAL AGENT AND/OR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w:t>
      </w:r>
    </w:p>
    <w:p>
      <w:pPr>
        <w:spacing w:after="0" w:line="131" w:lineRule="exact"/>
        <w:rPr>
          <w:sz w:val="20"/>
          <w:szCs w:val="20"/>
          <w:color w:val="auto"/>
        </w:rPr>
      </w:pPr>
    </w:p>
    <w:p>
      <w:pPr>
        <w:jc w:val="both"/>
        <w:ind w:firstLine="595"/>
        <w:spacing w:after="0" w:line="210" w:lineRule="auto"/>
        <w:rPr>
          <w:sz w:val="20"/>
          <w:szCs w:val="20"/>
          <w:color w:val="auto"/>
        </w:rPr>
      </w:pPr>
      <w:r>
        <w:rPr>
          <w:rFonts w:ascii="Arial" w:cs="Arial" w:eastAsia="Arial" w:hAnsi="Arial"/>
          <w:sz w:val="19"/>
          <w:szCs w:val="19"/>
          <w:b w:val="1"/>
          <w:bCs w:val="1"/>
          <w:color w:val="auto"/>
        </w:rPr>
        <w:t xml:space="preserve">11.2 Governing Law and Jurisdiction. </w:t>
      </w:r>
      <w:r>
        <w:rPr>
          <w:rFonts w:ascii="Arial" w:cs="Arial" w:eastAsia="Arial" w:hAnsi="Arial"/>
          <w:sz w:val="19"/>
          <w:szCs w:val="19"/>
          <w:color w:val="auto"/>
        </w:rPr>
        <w:t>THIS AGREEMENT, THE OTHER LOAN DOCUMENTS (EXCLUDING THOSE LOAN</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DOCUMENTS THAT BY THEIR OWN TERMS ARE EXPRESSLY GOVERNED BY THE LAWS OF ANOTHER JURISDICTION) AND THE RIGHTS AND OBLIGATIONS OF THE PARTIES HEREUNDER AND THEREUNDER SHALL IN ALL RESPECTS BE GOVERNED BY AND CONSTRUED IN ACCORDANCE WITH, THE INTERNAL LAWS OF THE STATE OF NEW YORK (WITHOUT REGARD TO THE CONFLICT OF LAWS PRINCIPLES THAT WOULD RESULT IN THE APPLICATION OF ANY LAW OTHER THAN THE LAW OF SUCH STATE), INCLUDING ALL MATTERS OF CONSTRUCTION, VALIDITY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1381" w:right="339" w:bottom="1440" w:gutter="0" w:footer="0" w:header="0"/>
          <w:type w:val="continuous"/>
        </w:sectPr>
      </w:pPr>
    </w:p>
    <w:bookmarkStart w:id="237" w:name="page238"/>
    <w:bookmarkEnd w:id="237"/>
    <w:p>
      <w:pPr>
        <w:jc w:val="both"/>
        <w:spacing w:after="0" w:line="215" w:lineRule="auto"/>
        <w:rPr>
          <w:sz w:val="20"/>
          <w:szCs w:val="20"/>
          <w:color w:val="auto"/>
        </w:rPr>
      </w:pPr>
      <w:r>
        <w:rPr>
          <w:rFonts w:ascii="Arial" w:cs="Arial" w:eastAsia="Arial" w:hAnsi="Arial"/>
          <w:sz w:val="19"/>
          <w:szCs w:val="19"/>
          <w:color w:val="auto"/>
        </w:rPr>
        <w:t xml:space="preserve">PERFORMANCE, REGARDLESS OF THE LOCATION OF THE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128" w:lineRule="exact"/>
        <w:rPr>
          <w:sz w:val="20"/>
          <w:szCs w:val="20"/>
          <w:color w:val="auto"/>
        </w:rPr>
      </w:pPr>
    </w:p>
    <w:p>
      <w:pPr>
        <w:jc w:val="both"/>
        <w:ind w:firstLine="595"/>
        <w:spacing w:after="0" w:line="219" w:lineRule="auto"/>
        <w:rPr>
          <w:sz w:val="20"/>
          <w:szCs w:val="20"/>
          <w:color w:val="auto"/>
        </w:rPr>
      </w:pPr>
      <w:r>
        <w:rPr>
          <w:rFonts w:ascii="Arial" w:cs="Arial" w:eastAsia="Arial" w:hAnsi="Arial"/>
          <w:sz w:val="18"/>
          <w:szCs w:val="18"/>
          <w:b w:val="1"/>
          <w:bCs w:val="1"/>
          <w:color w:val="auto"/>
        </w:rPr>
        <w:t>11.3 Submission to Jurisdiction</w:t>
      </w:r>
      <w:r>
        <w:rPr>
          <w:rFonts w:ascii="Arial" w:cs="Arial" w:eastAsia="Arial" w:hAnsi="Arial"/>
          <w:sz w:val="18"/>
          <w:szCs w:val="18"/>
          <w:color w:val="auto"/>
        </w:rPr>
        <w:t>. Any legal action or proceeding with respect to the Loan Documents shall be brought exclusively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courts of the State of New York located in the City of New York, Borough of Manhattan, or of the United States of America for the Southern District of New York and, by execution and delivery of this Agreement, Borrower hereby accepts for itself and in respect of its Property, generally and unconditionally, the jurisdiction of the aforesaid courts.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that any of them may now or hereafter have to the bringing of any such action or proceeding in such jurisdictions.</w:t>
      </w:r>
    </w:p>
    <w:p>
      <w:pPr>
        <w:spacing w:after="0" w:line="117" w:lineRule="exact"/>
        <w:rPr>
          <w:sz w:val="20"/>
          <w:szCs w:val="20"/>
          <w:color w:val="auto"/>
        </w:rPr>
      </w:pPr>
    </w:p>
    <w:p>
      <w:pPr>
        <w:jc w:val="both"/>
        <w:ind w:firstLine="595"/>
        <w:spacing w:after="0" w:line="235" w:lineRule="auto"/>
        <w:rPr>
          <w:sz w:val="20"/>
          <w:szCs w:val="20"/>
          <w:color w:val="auto"/>
        </w:rPr>
      </w:pPr>
      <w:r>
        <w:rPr>
          <w:rFonts w:ascii="Arial" w:cs="Arial" w:eastAsia="Arial" w:hAnsi="Arial"/>
          <w:sz w:val="17"/>
          <w:szCs w:val="17"/>
          <w:b w:val="1"/>
          <w:bCs w:val="1"/>
          <w:color w:val="auto"/>
        </w:rPr>
        <w:t>11.4 Service of Process</w:t>
      </w:r>
      <w:r>
        <w:rPr>
          <w:rFonts w:ascii="Arial" w:cs="Arial" w:eastAsia="Arial" w:hAnsi="Arial"/>
          <w:sz w:val="17"/>
          <w:szCs w:val="17"/>
          <w:color w:val="auto"/>
        </w:rPr>
        <w:t>. Borrower irrevocably waives personal service of any and all legal process, summons, notices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other service of 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Borrower specified herein (and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spacing w:after="0" w:line="131" w:lineRule="exact"/>
        <w:rPr>
          <w:sz w:val="20"/>
          <w:szCs w:val="20"/>
          <w:color w:val="auto"/>
        </w:rPr>
      </w:pPr>
    </w:p>
    <w:p>
      <w:pPr>
        <w:jc w:val="both"/>
        <w:ind w:firstLine="595"/>
        <w:spacing w:after="0" w:line="222" w:lineRule="auto"/>
        <w:rPr>
          <w:sz w:val="20"/>
          <w:szCs w:val="20"/>
          <w:color w:val="auto"/>
        </w:rPr>
      </w:pPr>
      <w:r>
        <w:rPr>
          <w:rFonts w:ascii="Arial" w:cs="Arial" w:eastAsia="Arial" w:hAnsi="Arial"/>
          <w:sz w:val="19"/>
          <w:szCs w:val="19"/>
          <w:b w:val="1"/>
          <w:bCs w:val="1"/>
          <w:color w:val="auto"/>
        </w:rPr>
        <w:t>11.5 Non-exclusive Jurisdiction</w:t>
      </w:r>
      <w:r>
        <w:rPr>
          <w:rFonts w:ascii="Arial" w:cs="Arial" w:eastAsia="Arial" w:hAnsi="Arial"/>
          <w:sz w:val="19"/>
          <w:szCs w:val="19"/>
          <w:color w:val="auto"/>
        </w:rPr>
        <w:t>. Nothing contained in this Article 11 shall affect the right of Collateral Agent or Lenders to serve</w:t>
      </w:r>
      <w:r>
        <w:rPr>
          <w:rFonts w:ascii="Arial" w:cs="Arial" w:eastAsia="Arial" w:hAnsi="Arial"/>
          <w:sz w:val="19"/>
          <w:szCs w:val="19"/>
          <w:b w:val="1"/>
          <w:bCs w:val="1"/>
          <w:color w:val="auto"/>
        </w:rPr>
        <w:t xml:space="preserve"> </w:t>
      </w:r>
      <w:r>
        <w:rPr>
          <w:rFonts w:ascii="Arial" w:cs="Arial" w:eastAsia="Arial" w:hAnsi="Arial"/>
          <w:sz w:val="19"/>
          <w:szCs w:val="19"/>
          <w:color w:val="auto"/>
        </w:rPr>
        <w:t>process in any other manner permitted by applicable requirements of law or commence legal proceedings or otherwise proceed against Borrower in any other jurisdiction.</w:t>
      </w:r>
    </w:p>
    <w:p>
      <w:pPr>
        <w:spacing w:after="0" w:line="130" w:lineRule="exact"/>
        <w:rPr>
          <w:sz w:val="20"/>
          <w:szCs w:val="20"/>
          <w:color w:val="auto"/>
        </w:rPr>
      </w:pPr>
    </w:p>
    <w:p>
      <w:pPr>
        <w:ind w:left="600" w:hanging="597"/>
        <w:spacing w:after="0"/>
        <w:tabs>
          <w:tab w:leader="none" w:pos="600" w:val="left"/>
        </w:tabs>
        <w:numPr>
          <w:ilvl w:val="0"/>
          <w:numId w:val="205"/>
        </w:numPr>
        <w:rPr>
          <w:rFonts w:ascii="Arial" w:cs="Arial" w:eastAsia="Arial" w:hAnsi="Arial"/>
          <w:sz w:val="19"/>
          <w:szCs w:val="19"/>
          <w:b w:val="1"/>
          <w:bCs w:val="1"/>
          <w:color w:val="auto"/>
        </w:rPr>
      </w:pPr>
      <w:r>
        <w:rPr>
          <w:rFonts w:ascii="Arial" w:cs="Arial" w:eastAsia="Arial" w:hAnsi="Arial"/>
          <w:sz w:val="19"/>
          <w:szCs w:val="19"/>
          <w:b w:val="1"/>
          <w:bCs w:val="1"/>
          <w:color w:val="auto"/>
        </w:rPr>
        <w:t>GENERAL PROVISIONS</w:t>
      </w:r>
    </w:p>
    <w:p>
      <w:pPr>
        <w:spacing w:after="0" w:line="143" w:lineRule="exact"/>
        <w:rPr>
          <w:sz w:val="20"/>
          <w:szCs w:val="20"/>
          <w:color w:val="auto"/>
        </w:rPr>
      </w:pPr>
    </w:p>
    <w:p>
      <w:pPr>
        <w:jc w:val="both"/>
        <w:ind w:firstLine="595"/>
        <w:spacing w:after="0" w:line="226" w:lineRule="auto"/>
        <w:rPr>
          <w:sz w:val="20"/>
          <w:szCs w:val="20"/>
          <w:color w:val="auto"/>
        </w:rPr>
      </w:pPr>
      <w:r>
        <w:rPr>
          <w:rFonts w:ascii="Arial" w:cs="Arial" w:eastAsia="Arial" w:hAnsi="Arial"/>
          <w:sz w:val="17"/>
          <w:szCs w:val="17"/>
          <w:b w:val="1"/>
          <w:bCs w:val="1"/>
          <w:color w:val="auto"/>
        </w:rPr>
        <w:t xml:space="preserve">12.1 Successors and Assigns. </w:t>
      </w:r>
      <w:r>
        <w:rPr>
          <w:rFonts w:ascii="Arial" w:cs="Arial" w:eastAsia="Arial" w:hAnsi="Arial"/>
          <w:sz w:val="17"/>
          <w:szCs w:val="17"/>
          <w:color w:val="auto"/>
        </w:rPr>
        <w:t>This Agreement binds and is for the benefit of the successors and permitted assigns of each party.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Borrower may not transfer, pledge or assign this Agreement or any rights or obligations under it without Collateral Agent’s prior written consent (which may be granted or withheld in Collateral Agent’s discretion, subject to Section 12.5). The Lenders have the right, without the consent of or notice to Borrower, to sell, transfer, assign, pledge, negotiate, or grant participation in </w:t>
      </w:r>
      <w:r>
        <w:rPr>
          <w:rFonts w:ascii="Arial" w:cs="Arial" w:eastAsia="Arial" w:hAnsi="Arial"/>
          <w:sz w:val="17"/>
          <w:szCs w:val="17"/>
          <w:b w:val="1"/>
          <w:bCs w:val="1"/>
          <w:color w:val="auto"/>
        </w:rPr>
        <w:t>(any</w:t>
      </w:r>
      <w:r>
        <w:rPr>
          <w:rFonts w:ascii="Arial" w:cs="Arial" w:eastAsia="Arial" w:hAnsi="Arial"/>
          <w:sz w:val="17"/>
          <w:szCs w:val="17"/>
          <w:color w:val="auto"/>
        </w:rPr>
        <w:t xml:space="preserve"> such sale, transfer, assignment, negotiation</w:t>
      </w:r>
      <w:r>
        <w:rPr>
          <w:rFonts w:ascii="Arial" w:cs="Arial" w:eastAsia="Arial" w:hAnsi="Arial"/>
          <w:sz w:val="17"/>
          <w:szCs w:val="17"/>
          <w:b w:val="1"/>
          <w:bCs w:val="1"/>
          <w:color w:val="auto"/>
        </w:rPr>
        <w:t>,</w:t>
      </w:r>
      <w:r>
        <w:rPr>
          <w:rFonts w:ascii="Arial" w:cs="Arial" w:eastAsia="Arial" w:hAnsi="Arial"/>
          <w:sz w:val="17"/>
          <w:szCs w:val="17"/>
          <w:color w:val="auto"/>
        </w:rPr>
        <w:t xml:space="preserve"> or grant of a participation, a </w:t>
      </w:r>
      <w:r>
        <w:rPr>
          <w:rFonts w:ascii="Arial" w:cs="Arial" w:eastAsia="Arial" w:hAnsi="Arial"/>
          <w:sz w:val="17"/>
          <w:szCs w:val="17"/>
          <w:b w:val="1"/>
          <w:bCs w:val="1"/>
          <w:color w:val="auto"/>
        </w:rPr>
        <w:t>“Lender Transfer”)</w:t>
      </w:r>
      <w:r>
        <w:rPr>
          <w:rFonts w:ascii="Arial" w:cs="Arial" w:eastAsia="Arial" w:hAnsi="Arial"/>
          <w:sz w:val="17"/>
          <w:szCs w:val="17"/>
          <w:color w:val="auto"/>
        </w:rPr>
        <w:t xml:space="preserve"> all or any part of, or any interest in, the Lenders’ obligations, rights, and benefits under this Agreement and the other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Lender Transfer (other than (i) any Transfer at any time that an Event of Default has occurred and is continuing, or (ii) a transfer, pledge, sale or assignment to an Eligible Assignee) of its obligations, rights, and benefits under this Agreement and the other Loan Documents shall require the prior written consent of the Collateral Agent (such approved assignee, an “</w:t>
      </w:r>
      <w:r>
        <w:rPr>
          <w:rFonts w:ascii="Arial" w:cs="Arial" w:eastAsia="Arial" w:hAnsi="Arial"/>
          <w:sz w:val="17"/>
          <w:szCs w:val="17"/>
          <w:b w:val="1"/>
          <w:bCs w:val="1"/>
          <w:color w:val="auto"/>
        </w:rPr>
        <w:t>Approved</w:t>
      </w:r>
      <w:r>
        <w:rPr>
          <w:rFonts w:ascii="Arial" w:cs="Arial" w:eastAsia="Arial" w:hAnsi="Arial"/>
          <w:sz w:val="17"/>
          <w:szCs w:val="17"/>
          <w:color w:val="auto"/>
        </w:rPr>
        <w:t xml:space="preserve"> </w:t>
      </w:r>
      <w:r>
        <w:rPr>
          <w:rFonts w:ascii="Arial" w:cs="Arial" w:eastAsia="Arial" w:hAnsi="Arial"/>
          <w:sz w:val="17"/>
          <w:szCs w:val="17"/>
          <w:b w:val="1"/>
          <w:bCs w:val="1"/>
          <w:color w:val="auto"/>
        </w:rPr>
        <w:t>Lender</w:t>
      </w:r>
      <w:r>
        <w:rPr>
          <w:rFonts w:ascii="Arial" w:cs="Arial" w:eastAsia="Arial" w:hAnsi="Arial"/>
          <w:sz w:val="17"/>
          <w:szCs w:val="17"/>
          <w:color w:val="auto"/>
        </w:rPr>
        <w:t>”); and provided, further, that on the date it becomes a party to this Agreement, an Approved Lender (other than an Approved Lender that</w:t>
      </w:r>
      <w:r>
        <w:rPr>
          <w:rFonts w:ascii="Arial" w:cs="Arial" w:eastAsia="Arial" w:hAnsi="Arial"/>
          <w:sz w:val="17"/>
          <w:szCs w:val="17"/>
          <w:b w:val="1"/>
          <w:bCs w:val="1"/>
          <w:color w:val="auto"/>
        </w:rPr>
        <w:t xml:space="preserve"> </w:t>
      </w:r>
      <w:r>
        <w:rPr>
          <w:rFonts w:ascii="Arial" w:cs="Arial" w:eastAsia="Arial" w:hAnsi="Arial"/>
          <w:sz w:val="17"/>
          <w:szCs w:val="17"/>
          <w:color w:val="auto"/>
        </w:rPr>
        <w:t>became a party to this Agreement by a Transfer at any time that an Event of Default has occurred and is continuing) must be capable, through its applicable lending office, of receiving payments of interest from Borrower without the imposition of any withholding taxes that would be required to be borne by Borrower or requiring the payment of any additional amounts by Borrower pursuant to Section 2.5 hereof.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Collateral Agent shall use commercially reasonable efforts to provide notice to Borrower of each Lender Transfer promptly following such Lender Transfer, except for Lender Transfers an Affiliate of a Lender.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1351" w:right="339" w:bottom="1440" w:gutter="0" w:footer="0" w:header="0"/>
        </w:sectPr>
      </w:pPr>
    </w:p>
    <w:bookmarkStart w:id="238" w:name="page239"/>
    <w:bookmarkEnd w:id="238"/>
    <w:p>
      <w:pPr>
        <w:jc w:val="both"/>
        <w:spacing w:after="0" w:line="224" w:lineRule="auto"/>
        <w:rPr>
          <w:sz w:val="20"/>
          <w:szCs w:val="20"/>
          <w:color w:val="auto"/>
        </w:rPr>
      </w:pPr>
      <w:r>
        <w:rPr>
          <w:rFonts w:ascii="Arial" w:cs="Arial" w:eastAsia="Arial" w:hAnsi="Arial"/>
          <w:sz w:val="17"/>
          <w:szCs w:val="17"/>
          <w:color w:val="auto"/>
        </w:rPr>
        <w:t>anything to the contrary contained herein, so long as no Event of Default has occurred and is continuing, no Lender Transfer (other than a Lender Transfer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fund or distressed debt fund, each as determined by Collateral Agent in its reasonable discretion at the time of such assignment. Collateral Agent, acting solely for this purpose as an agent of Borrower, shall maintain at one of its offices in the United States a register for the recordation of the names and addresses of the Lenders, and the Term Loan Commitments of, and principal amounts (and stated interest) of the Term Loans owing to each Lender pursuant to the terms hereof from time to time (the “</w:t>
      </w:r>
      <w:r>
        <w:rPr>
          <w:rFonts w:ascii="Arial" w:cs="Arial" w:eastAsia="Arial" w:hAnsi="Arial"/>
          <w:sz w:val="17"/>
          <w:szCs w:val="17"/>
          <w:b w:val="1"/>
          <w:bCs w:val="1"/>
          <w:color w:val="auto"/>
        </w:rPr>
        <w:t>Register</w:t>
      </w:r>
      <w:r>
        <w:rPr>
          <w:rFonts w:ascii="Arial" w:cs="Arial" w:eastAsia="Arial" w:hAnsi="Arial"/>
          <w:sz w:val="17"/>
          <w:szCs w:val="17"/>
          <w:color w:val="auto"/>
        </w:rPr>
        <w:t>”). The entries in the Register shall be conclusive absent manifest error, and Borrower, Collateral Agent and Lenders shall treat each Person whose name is recorded in the Register pursuant to the terms hereof as Lender hereunder for all purposes of this Agreement. The Register shall be available for inspection by Borrower and any Lender at any reasonable time and from time to time upon reasonable prior notice. Each Lender that sells a participation shall, acting solely for this purpose as a non-fiduciary agent of Borrower, maintain a register on which it enters the name and address of each participant and the principal amounts (and stated interest) of each participant’s interest in the Term Loans or other obligations under the Loan Documents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Collateral Agent (in its capacity as Collateral Agent) shall have no responsibility for maintaining a Participant Register. Borrower agrees that each participant shall be entitled to the benefits of the provisions in Exhibit C attached hereto (subject to the requirements and limitations therein, including the requirements under Section 7 of Exhibit C attached hereto (it being understood that the documentation required under Section 7 of Exhibit C attached hereto shall be delivered to the participating Lender)) to the same extent as if it were a Lender and had acquired its interest by assignment pursuant to this Section 12.1; provided that such participant shall not be entitled to receive any greater payment under Exhibit C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48" w:lineRule="exact"/>
        <w:rPr>
          <w:sz w:val="20"/>
          <w:szCs w:val="20"/>
          <w:color w:val="auto"/>
        </w:rPr>
      </w:pPr>
    </w:p>
    <w:p>
      <w:pPr>
        <w:jc w:val="both"/>
        <w:ind w:firstLine="595"/>
        <w:spacing w:after="0" w:line="227" w:lineRule="auto"/>
        <w:rPr>
          <w:sz w:val="20"/>
          <w:szCs w:val="20"/>
          <w:color w:val="auto"/>
        </w:rPr>
      </w:pPr>
      <w:r>
        <w:rPr>
          <w:rFonts w:ascii="Arial" w:cs="Arial" w:eastAsia="Arial" w:hAnsi="Arial"/>
          <w:sz w:val="17"/>
          <w:szCs w:val="17"/>
          <w:b w:val="1"/>
          <w:bCs w:val="1"/>
          <w:color w:val="auto"/>
        </w:rPr>
        <w:t xml:space="preserve">12.2 Indemnification. </w:t>
      </w:r>
      <w:r>
        <w:rPr>
          <w:rFonts w:ascii="Arial" w:cs="Arial" w:eastAsia="Arial" w:hAnsi="Arial"/>
          <w:sz w:val="17"/>
          <w:szCs w:val="17"/>
          <w:color w:val="auto"/>
        </w:rPr>
        <w:t>Borrower agrees to indemnify, defend and hold each Secured Party and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consultants, agents, attorneys, or any other Person affiliated with or representing such Secured Party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(a)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asserted by any other party in connection with; related to; following; or arising from, out of or under, the transactions contemplated by the Loan Documents; and (b) all losses and Lenders’ Expenses incurred, or paid by Indemnified Person in connection with; related to; following; or arising from, out of or under, the transactions contemplated by the Loan Documents (including reasonable attorneys’ fees and expenses), except, in each case, for Claims and/or losses directly caused by such Indemnified Person’s gross negligence or willful misconduct. Borrower hereby further agrees to indemnify, defend and hold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1351" w:right="339" w:bottom="1440" w:gutter="0" w:footer="0" w:header="0"/>
        </w:sectPr>
      </w:pPr>
    </w:p>
    <w:bookmarkStart w:id="239" w:name="page240"/>
    <w:bookmarkEnd w:id="239"/>
    <w:p>
      <w:pPr>
        <w:spacing w:after="0"/>
        <w:rPr>
          <w:sz w:val="20"/>
          <w:szCs w:val="20"/>
          <w:color w:val="auto"/>
        </w:rPr>
      </w:pPr>
      <w:r>
        <w:rPr>
          <w:rFonts w:ascii="Arial" w:cs="Arial" w:eastAsia="Arial" w:hAnsi="Arial"/>
          <w:sz w:val="19"/>
          <w:szCs w:val="19"/>
          <w:color w:val="auto"/>
        </w:rPr>
        <w:t>claims, costs, expenses and disbursements directly caused by such Indemnified Person’s gross negligence or willful misconduct.</w:t>
      </w:r>
    </w:p>
    <w:p>
      <w:pPr>
        <w:spacing w:after="0" w:line="150" w:lineRule="exact"/>
        <w:rPr>
          <w:sz w:val="20"/>
          <w:szCs w:val="20"/>
          <w:color w:val="auto"/>
        </w:rPr>
      </w:pPr>
    </w:p>
    <w:p>
      <w:pPr>
        <w:jc w:val="both"/>
        <w:ind w:firstLine="595"/>
        <w:spacing w:after="0" w:line="234" w:lineRule="auto"/>
        <w:rPr>
          <w:sz w:val="20"/>
          <w:szCs w:val="20"/>
          <w:color w:val="auto"/>
        </w:rPr>
      </w:pPr>
      <w:r>
        <w:rPr>
          <w:rFonts w:ascii="Arial" w:cs="Arial" w:eastAsia="Arial" w:hAnsi="Arial"/>
          <w:sz w:val="19"/>
          <w:szCs w:val="19"/>
          <w:b w:val="1"/>
          <w:bCs w:val="1"/>
          <w:color w:val="auto"/>
        </w:rPr>
        <w:t xml:space="preserve">12.3 Severability of Provisions. </w:t>
      </w:r>
      <w:r>
        <w:rPr>
          <w:rFonts w:ascii="Arial" w:cs="Arial" w:eastAsia="Arial" w:hAnsi="Arial"/>
          <w:sz w:val="19"/>
          <w:szCs w:val="19"/>
          <w:color w:val="auto"/>
        </w:rPr>
        <w:t>Each provision of this Agreement is severable from every other provision in determining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enforceability of any provision.</w:t>
      </w:r>
    </w:p>
    <w:p>
      <w:pPr>
        <w:spacing w:after="0" w:line="117" w:lineRule="exact"/>
        <w:rPr>
          <w:sz w:val="20"/>
          <w:szCs w:val="20"/>
          <w:color w:val="auto"/>
        </w:rPr>
      </w:pPr>
    </w:p>
    <w:p>
      <w:pPr>
        <w:jc w:val="both"/>
        <w:ind w:firstLine="595"/>
        <w:spacing w:after="0" w:line="234" w:lineRule="auto"/>
        <w:rPr>
          <w:sz w:val="20"/>
          <w:szCs w:val="20"/>
          <w:color w:val="auto"/>
        </w:rPr>
      </w:pPr>
      <w:r>
        <w:rPr>
          <w:rFonts w:ascii="Arial" w:cs="Arial" w:eastAsia="Arial" w:hAnsi="Arial"/>
          <w:sz w:val="19"/>
          <w:szCs w:val="19"/>
          <w:b w:val="1"/>
          <w:bCs w:val="1"/>
          <w:color w:val="auto"/>
        </w:rPr>
        <w:t xml:space="preserve">12.4 Correction of Loan Documents. </w:t>
      </w:r>
      <w:r>
        <w:rPr>
          <w:rFonts w:ascii="Arial" w:cs="Arial" w:eastAsia="Arial" w:hAnsi="Arial"/>
          <w:sz w:val="19"/>
          <w:szCs w:val="19"/>
          <w:color w:val="auto"/>
        </w:rPr>
        <w:t>Collateral Agent may correct patent errors and fill in any blanks in this Agreement and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Loan Documents consistent with the agreement of the parties</w:t>
      </w:r>
      <w:r>
        <w:rPr>
          <w:rFonts w:ascii="Arial" w:cs="Arial" w:eastAsia="Arial" w:hAnsi="Arial"/>
          <w:sz w:val="19"/>
          <w:szCs w:val="19"/>
          <w:b w:val="1"/>
          <w:bCs w:val="1"/>
          <w:color w:val="auto"/>
        </w:rPr>
        <w:t>.</w:t>
      </w:r>
    </w:p>
    <w:p>
      <w:pPr>
        <w:spacing w:after="0" w:line="130" w:lineRule="exact"/>
        <w:rPr>
          <w:sz w:val="20"/>
          <w:szCs w:val="20"/>
          <w:color w:val="auto"/>
        </w:rPr>
      </w:pPr>
    </w:p>
    <w:p>
      <w:pPr>
        <w:jc w:val="both"/>
        <w:ind w:firstLine="595"/>
        <w:spacing w:after="0" w:line="253" w:lineRule="auto"/>
        <w:rPr>
          <w:sz w:val="20"/>
          <w:szCs w:val="20"/>
          <w:color w:val="auto"/>
        </w:rPr>
      </w:pPr>
      <w:r>
        <w:rPr>
          <w:rFonts w:ascii="Arial" w:cs="Arial" w:eastAsia="Arial" w:hAnsi="Arial"/>
          <w:sz w:val="17"/>
          <w:szCs w:val="17"/>
          <w:b w:val="1"/>
          <w:bCs w:val="1"/>
          <w:color w:val="auto"/>
        </w:rPr>
        <w:t xml:space="preserve">12.5 Amendments in Writing; Integration. </w:t>
      </w:r>
      <w:r>
        <w:rPr>
          <w:rFonts w:ascii="Arial" w:cs="Arial" w:eastAsia="Arial" w:hAnsi="Arial"/>
          <w:sz w:val="17"/>
          <w:szCs w:val="17"/>
          <w:color w:val="auto"/>
        </w:rPr>
        <w:t>No amendment, modification, termination or waiver of any provision of this Agreement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24" w:lineRule="exact"/>
        <w:rPr>
          <w:sz w:val="20"/>
          <w:szCs w:val="20"/>
          <w:color w:val="auto"/>
        </w:rPr>
      </w:pPr>
    </w:p>
    <w:p>
      <w:pPr>
        <w:ind w:firstLine="1225"/>
        <w:spacing w:after="0" w:line="248" w:lineRule="auto"/>
        <w:tabs>
          <w:tab w:leader="none" w:pos="185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14" w:lineRule="exact"/>
        <w:rPr>
          <w:rFonts w:ascii="Arial" w:cs="Arial" w:eastAsia="Arial" w:hAnsi="Arial"/>
          <w:sz w:val="18"/>
          <w:szCs w:val="18"/>
          <w:color w:val="auto"/>
        </w:rPr>
      </w:pPr>
    </w:p>
    <w:p>
      <w:pPr>
        <w:ind w:firstLine="1225"/>
        <w:spacing w:after="0" w:line="231" w:lineRule="auto"/>
        <w:tabs>
          <w:tab w:leader="none" w:pos="1853" w:val="left"/>
        </w:tabs>
        <w:numPr>
          <w:ilvl w:val="1"/>
          <w:numId w:val="207"/>
        </w:numPr>
        <w:rPr>
          <w:rFonts w:ascii="Arial" w:cs="Arial" w:eastAsia="Arial" w:hAnsi="Arial"/>
          <w:sz w:val="19"/>
          <w:szCs w:val="19"/>
          <w:color w:val="auto"/>
        </w:rPr>
      </w:pPr>
      <w:r>
        <w:rPr>
          <w:rFonts w:ascii="Arial" w:cs="Arial" w:eastAsia="Arial" w:hAnsi="Arial"/>
          <w:sz w:val="19"/>
          <w:szCs w:val="19"/>
          <w:color w:val="auto"/>
        </w:rPr>
        <w:t>no such amendment, waiver or modification that would affect the rights and duties of Collateral Agent shall be effective without Collateral Agent’s written consent or signature; and</w:t>
      </w:r>
    </w:p>
    <w:p>
      <w:pPr>
        <w:spacing w:after="0" w:line="135" w:lineRule="exact"/>
        <w:rPr>
          <w:rFonts w:ascii="Arial" w:cs="Arial" w:eastAsia="Arial" w:hAnsi="Arial"/>
          <w:sz w:val="19"/>
          <w:szCs w:val="19"/>
          <w:color w:val="auto"/>
        </w:rPr>
      </w:pPr>
    </w:p>
    <w:p>
      <w:pPr>
        <w:jc w:val="both"/>
        <w:ind w:firstLine="1225"/>
        <w:spacing w:after="0" w:line="224" w:lineRule="auto"/>
        <w:tabs>
          <w:tab w:leader="none" w:pos="1854" w:val="left"/>
        </w:tabs>
        <w:numPr>
          <w:ilvl w:val="1"/>
          <w:numId w:val="208"/>
        </w:numPr>
        <w:rPr>
          <w:rFonts w:ascii="Arial" w:cs="Arial" w:eastAsia="Arial" w:hAnsi="Arial"/>
          <w:sz w:val="17"/>
          <w:szCs w:val="17"/>
          <w:color w:val="auto"/>
        </w:rPr>
      </w:pPr>
      <w:r>
        <w:rPr>
          <w:rFonts w:ascii="Arial" w:cs="Arial" w:eastAsia="Arial" w:hAnsi="Arial"/>
          <w:sz w:val="17"/>
          <w:szCs w:val="17"/>
          <w:color w:val="auto"/>
        </w:rPr>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 this Section 12.5 insofar as the definitions affect the substance of this Section 12.5;</w:t>
      </w:r>
    </w:p>
    <w:p>
      <w:pPr>
        <w:jc w:val="both"/>
        <w:ind w:firstLine="3"/>
        <w:spacing w:after="0" w:line="204" w:lineRule="auto"/>
        <w:tabs>
          <w:tab w:leader="none" w:pos="294" w:val="left"/>
        </w:tabs>
        <w:numPr>
          <w:ilvl w:val="0"/>
          <w:numId w:val="209"/>
        </w:numPr>
        <w:rPr>
          <w:rFonts w:ascii="Arial" w:cs="Arial" w:eastAsia="Arial" w:hAnsi="Arial"/>
          <w:sz w:val="19"/>
          <w:szCs w:val="19"/>
          <w:color w:val="auto"/>
        </w:rPr>
      </w:pPr>
      <w:r>
        <w:rPr>
          <w:rFonts w:ascii="Arial" w:cs="Arial" w:eastAsia="Arial" w:hAnsi="Arial"/>
          <w:sz w:val="19"/>
          <w:szCs w:val="19"/>
          <w:color w:val="auto"/>
        </w:rPr>
        <w:t>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Sections 12.7 or 12.8. It is hereby understood and agreed that all Lenders shall be deemed directly affected by an amendment, waiver or other modification of the type described in the preceding clauses (C), (D), (E), (F), (G) and (H) of the immediately preceding sentence.</w:t>
      </w:r>
    </w:p>
    <w:p>
      <w:pPr>
        <w:spacing w:after="0" w:line="139" w:lineRule="exact"/>
        <w:rPr>
          <w:rFonts w:ascii="Arial" w:cs="Arial" w:eastAsia="Arial" w:hAnsi="Arial"/>
          <w:sz w:val="19"/>
          <w:szCs w:val="19"/>
          <w:color w:val="auto"/>
        </w:rPr>
      </w:pPr>
    </w:p>
    <w:p>
      <w:pPr>
        <w:ind w:firstLine="1219"/>
        <w:spacing w:after="0" w:line="248" w:lineRule="auto"/>
        <w:tabs>
          <w:tab w:leader="none" w:pos="1849" w:val="left"/>
        </w:tabs>
        <w:numPr>
          <w:ilvl w:val="1"/>
          <w:numId w:val="209"/>
        </w:numPr>
        <w:rPr>
          <w:rFonts w:ascii="Arial" w:cs="Arial" w:eastAsia="Arial" w:hAnsi="Arial"/>
          <w:sz w:val="18"/>
          <w:szCs w:val="18"/>
          <w:color w:val="auto"/>
        </w:rPr>
      </w:pPr>
      <w:r>
        <w:rPr>
          <w:rFonts w:ascii="Arial" w:cs="Arial" w:eastAsia="Arial" w:hAnsi="Arial"/>
          <w:sz w:val="18"/>
          <w:szCs w:val="18"/>
          <w:color w:val="auto"/>
        </w:rPr>
        <w:t>Other than as expressly provided for in Section 12.5(a)(i)-(iii), Collateral Agent may, at its discretion, or if requested by the Required Lenders, from time to time designate covenants in this Agreement less restrictive by notification to a representative of Borrower.</w:t>
      </w:r>
    </w:p>
    <w:p>
      <w:pPr>
        <w:spacing w:after="0" w:line="114" w:lineRule="exact"/>
        <w:rPr>
          <w:rFonts w:ascii="Arial" w:cs="Arial" w:eastAsia="Arial" w:hAnsi="Arial"/>
          <w:sz w:val="18"/>
          <w:szCs w:val="18"/>
          <w:color w:val="auto"/>
        </w:rPr>
      </w:pPr>
    </w:p>
    <w:p>
      <w:pPr>
        <w:jc w:val="both"/>
        <w:ind w:firstLine="1219"/>
        <w:spacing w:after="0" w:line="249" w:lineRule="auto"/>
        <w:tabs>
          <w:tab w:leader="none" w:pos="1852"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40"/>
          </w:cols>
          <w:pgMar w:left="320" w:top="1350" w:right="339" w:bottom="1440" w:gutter="0" w:footer="0" w:header="0"/>
        </w:sectPr>
      </w:pPr>
    </w:p>
    <w:bookmarkStart w:id="240" w:name="page241"/>
    <w:bookmarkEnd w:id="240"/>
    <w:p>
      <w:pPr>
        <w:jc w:val="both"/>
        <w:ind w:firstLine="595"/>
        <w:spacing w:after="0" w:line="216" w:lineRule="auto"/>
        <w:rPr>
          <w:sz w:val="20"/>
          <w:szCs w:val="20"/>
          <w:color w:val="auto"/>
        </w:rPr>
      </w:pPr>
      <w:r>
        <w:rPr>
          <w:rFonts w:ascii="Arial" w:cs="Arial" w:eastAsia="Arial" w:hAnsi="Arial"/>
          <w:sz w:val="19"/>
          <w:szCs w:val="19"/>
          <w:b w:val="1"/>
          <w:bCs w:val="1"/>
          <w:color w:val="auto"/>
        </w:rPr>
        <w:t xml:space="preserve">12.6 Counterparts. </w:t>
      </w:r>
      <w:r>
        <w:rPr>
          <w:rFonts w:ascii="Arial" w:cs="Arial" w:eastAsia="Arial" w:hAnsi="Arial"/>
          <w:sz w:val="19"/>
          <w:szCs w:val="19"/>
          <w:color w:val="auto"/>
        </w:rPr>
        <w:t>This Agreement may be executed in any number of counterparts and by different parties on separate 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which, when executed and delivered, is an original, and all taken together, constitute one Agreement. Delivery of an executed counterpart of a signature page of this Agreement by facsimile, portable document format (.pdf) or other electronic transmission will be as effective as delivery of a manually executed counterpart hereof.</w:t>
      </w:r>
    </w:p>
    <w:p>
      <w:pPr>
        <w:spacing w:after="0" w:line="131" w:lineRule="exact"/>
        <w:rPr>
          <w:sz w:val="20"/>
          <w:szCs w:val="20"/>
          <w:color w:val="auto"/>
        </w:rPr>
      </w:pPr>
    </w:p>
    <w:p>
      <w:pPr>
        <w:jc w:val="both"/>
        <w:ind w:firstLine="595"/>
        <w:spacing w:after="0" w:line="210" w:lineRule="auto"/>
        <w:rPr>
          <w:sz w:val="20"/>
          <w:szCs w:val="20"/>
          <w:color w:val="auto"/>
        </w:rPr>
      </w:pPr>
      <w:r>
        <w:rPr>
          <w:rFonts w:ascii="Arial" w:cs="Arial" w:eastAsia="Arial" w:hAnsi="Arial"/>
          <w:sz w:val="19"/>
          <w:szCs w:val="19"/>
          <w:b w:val="1"/>
          <w:bCs w:val="1"/>
          <w:color w:val="auto"/>
        </w:rPr>
        <w:t xml:space="preserve">12.7 Survival. </w:t>
      </w:r>
      <w:r>
        <w:rPr>
          <w:rFonts w:ascii="Arial" w:cs="Arial" w:eastAsia="Arial" w:hAnsi="Arial"/>
          <w:sz w:val="19"/>
          <w:szCs w:val="19"/>
          <w:color w:val="auto"/>
        </w:rPr>
        <w:t>Except as otherwise provided in this Agreement, all covenants, representations and warranties made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in full force and effect until this Agreement has terminated pursuant to its terms and all Obligations (other than (a)(i) inchoate indemnity obligations, and (ii) any other obligations which, by their terms, are to survive the termination of this Agreement, and (b) all obligations under the Exit Fee Agreement) have been satisfied. The obligation of Borrower in Section 12.2 to indemnify each Lender and Collateral Agent, as well as the confidentiality provisions in Section 12.8 below, shall survive until the statute of limitations with respect to such claim or cause of action shall have run.</w:t>
      </w:r>
    </w:p>
    <w:p>
      <w:pPr>
        <w:spacing w:after="0" w:line="119" w:lineRule="exact"/>
        <w:rPr>
          <w:sz w:val="20"/>
          <w:szCs w:val="20"/>
          <w:color w:val="auto"/>
        </w:rPr>
      </w:pPr>
    </w:p>
    <w:p>
      <w:pPr>
        <w:jc w:val="both"/>
        <w:ind w:firstLine="595"/>
        <w:spacing w:after="0" w:line="225" w:lineRule="auto"/>
        <w:rPr>
          <w:sz w:val="20"/>
          <w:szCs w:val="20"/>
          <w:color w:val="auto"/>
        </w:rPr>
      </w:pPr>
      <w:r>
        <w:rPr>
          <w:rFonts w:ascii="Arial" w:cs="Arial" w:eastAsia="Arial" w:hAnsi="Arial"/>
          <w:sz w:val="17"/>
          <w:szCs w:val="17"/>
          <w:b w:val="1"/>
          <w:bCs w:val="1"/>
          <w:color w:val="auto"/>
        </w:rPr>
        <w:t xml:space="preserve">12.8 Confidentiality. </w:t>
      </w:r>
      <w:r>
        <w:rPr>
          <w:rFonts w:ascii="Arial" w:cs="Arial" w:eastAsia="Arial" w:hAnsi="Arial"/>
          <w:sz w:val="17"/>
          <w:szCs w:val="17"/>
          <w:color w:val="auto"/>
        </w:rPr>
        <w:t>In handling any confidential information of Borrower, each of the Lenders and Collateral Agent shall exercise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degree of care 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Term Loans (provided, however, the Lenders and Collateral Agent shall, except upon the occurrence and during the continuance of an Event of Default, obtain such prospective transferee’s or purchaser’s agreement to the terms of this provision or to similar confidentiality terms); (c) as required by law, rule, regulation, regulatory or self-regulatory authority,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or have agreed to similar confidentiality terms with the Lenders and/or Collateral Agent, as applicable,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through no breach of this provision by the Lenders or the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so long as, to the extent such client databases, reporting purposes and market analysis are disclosed publicly, the Collateral Agent and the Lenders do not disclose the identity of the Borrower or the identity of any person associated with the Borrower. The provisions of the immediately preceding sentence shall survive the termination of this Agreement. The agreements provided under this Section 12.8 supersede all prior agreements, understanding, representations, warranties, and negotiations between the parties about the subject matter of this Section 12.8.</w:t>
      </w:r>
    </w:p>
    <w:p>
      <w:pPr>
        <w:spacing w:after="0" w:line="144" w:lineRule="exact"/>
        <w:rPr>
          <w:sz w:val="20"/>
          <w:szCs w:val="20"/>
          <w:color w:val="auto"/>
        </w:rPr>
      </w:pPr>
    </w:p>
    <w:p>
      <w:pPr>
        <w:jc w:val="both"/>
        <w:ind w:firstLine="595"/>
        <w:spacing w:after="0" w:line="205" w:lineRule="auto"/>
        <w:rPr>
          <w:sz w:val="20"/>
          <w:szCs w:val="20"/>
          <w:color w:val="auto"/>
        </w:rPr>
      </w:pPr>
      <w:r>
        <w:rPr>
          <w:rFonts w:ascii="Arial" w:cs="Arial" w:eastAsia="Arial" w:hAnsi="Arial"/>
          <w:sz w:val="19"/>
          <w:szCs w:val="19"/>
          <w:b w:val="1"/>
          <w:bCs w:val="1"/>
          <w:color w:val="auto"/>
        </w:rPr>
        <w:t xml:space="preserve">12.9 Right of Set Off. </w:t>
      </w:r>
      <w:r>
        <w:rPr>
          <w:rFonts w:ascii="Arial" w:cs="Arial" w:eastAsia="Arial" w:hAnsi="Arial"/>
          <w:sz w:val="19"/>
          <w:szCs w:val="19"/>
          <w:color w:val="auto"/>
        </w:rPr>
        <w:t>Borrower hereby grants to Collateral Agent and to each Lender, a Lien, security interest and right of set off as</w:t>
      </w:r>
      <w:r>
        <w:rPr>
          <w:rFonts w:ascii="Arial" w:cs="Arial" w:eastAsia="Arial" w:hAnsi="Arial"/>
          <w:sz w:val="19"/>
          <w:szCs w:val="19"/>
          <w:b w:val="1"/>
          <w:bCs w:val="1"/>
          <w:color w:val="auto"/>
        </w:rPr>
        <w:t xml:space="preserve"> </w:t>
      </w:r>
      <w:r>
        <w:rPr>
          <w:rFonts w:ascii="Arial" w:cs="Arial" w:eastAsia="Arial" w:hAnsi="Arial"/>
          <w:sz w:val="19"/>
          <w:szCs w:val="19"/>
          <w:color w:val="auto"/>
        </w:rPr>
        <w:t>security for all Obligations to Secured Parties hereunder, whether now existing or hereafter arising upon and against all deposits, credits, collateral and property, now or hereafter in the possession, custody, safekeeping or control of any Secured Party or any entity under the control of such Secured Party (including an Affiliate of Collateral Agent) or in transit to any of them. At any time after the occurrence and during the continuance of an Event of Default, without demand or notice, any Secured Party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1344" w:right="339" w:bottom="1440" w:gutter="0" w:footer="0" w:header="0"/>
        </w:sectPr>
      </w:pPr>
    </w:p>
    <w:bookmarkStart w:id="241" w:name="page242"/>
    <w:bookmarkEnd w:id="241"/>
    <w:p>
      <w:pPr>
        <w:jc w:val="both"/>
        <w:ind w:firstLine="595"/>
        <w:spacing w:after="0" w:line="229" w:lineRule="auto"/>
        <w:rPr>
          <w:sz w:val="20"/>
          <w:szCs w:val="20"/>
          <w:color w:val="auto"/>
        </w:rPr>
      </w:pPr>
      <w:r>
        <w:rPr>
          <w:rFonts w:ascii="Arial" w:cs="Arial" w:eastAsia="Arial" w:hAnsi="Arial"/>
          <w:sz w:val="17"/>
          <w:szCs w:val="17"/>
          <w:b w:val="1"/>
          <w:bCs w:val="1"/>
          <w:color w:val="auto"/>
        </w:rPr>
        <w:t xml:space="preserve">12.10 Cooperation of Borrower. </w:t>
      </w:r>
      <w:r>
        <w:rPr>
          <w:rFonts w:ascii="Arial" w:cs="Arial" w:eastAsia="Arial" w:hAnsi="Arial"/>
          <w:sz w:val="17"/>
          <w:szCs w:val="17"/>
          <w:color w:val="auto"/>
        </w:rPr>
        <w:t>If necessary, Borrower agrees to (i) execute any documents reasonably required to effectuate and</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 each assignment of a Term Loan Commitment (or portion thereof) or Term Loan (or portion thereof) to an assignee in accordance with Section 12.1, (ii) make Borrower’s management personnel available to meet with Collateral Agent and prospective participants and assignees of Term Loan Commitments, the Term Loans or portions thereof (which meetings shall be conducted no more often than twice every twelve months unless an Event of Default has occurred and is continuing), and (iii) assist Collateral Agent and the Lenders in the preparation of information relating to the financial affairs of Borrower as any prospective participant or assignee of a Term Loan Commitment (or portions thereof) or Term Loan (or portions thereof) as Collateral Agent or such Lender may reasonably may request. Subject to the provisions of Section 12.8, Borrower authorizes each Lender to disclose to any prospective participant or assignee of a Term Loan Commitment (or portions thereof),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 in each case subject to Section 12.8.</w:t>
      </w:r>
    </w:p>
    <w:p>
      <w:pPr>
        <w:spacing w:after="0" w:line="132" w:lineRule="exact"/>
        <w:rPr>
          <w:sz w:val="20"/>
          <w:szCs w:val="20"/>
          <w:color w:val="auto"/>
        </w:rPr>
      </w:pPr>
    </w:p>
    <w:p>
      <w:pPr>
        <w:jc w:val="both"/>
        <w:ind w:firstLine="595"/>
        <w:spacing w:after="0" w:line="219" w:lineRule="auto"/>
        <w:rPr>
          <w:sz w:val="20"/>
          <w:szCs w:val="20"/>
          <w:color w:val="auto"/>
        </w:rPr>
      </w:pPr>
      <w:r>
        <w:rPr>
          <w:rFonts w:ascii="Arial" w:cs="Arial" w:eastAsia="Arial" w:hAnsi="Arial"/>
          <w:sz w:val="18"/>
          <w:szCs w:val="18"/>
          <w:b w:val="1"/>
          <w:bCs w:val="1"/>
          <w:color w:val="auto"/>
        </w:rPr>
        <w:t xml:space="preserve">12.11 Public Announcement. </w:t>
      </w:r>
      <w:r>
        <w:rPr>
          <w:rFonts w:ascii="Arial" w:cs="Arial" w:eastAsia="Arial" w:hAnsi="Arial"/>
          <w:sz w:val="18"/>
          <w:szCs w:val="18"/>
          <w:color w:val="auto"/>
        </w:rPr>
        <w:t>Borrower hereby agrees that Collateral Agent and each Lender, may, make a public announcement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by this Agreement, and may publicize the same in marketing materials, newspapers and other publications, and otherwise, and in connection therewith may use Borrower’s name, tradenames and logos; provided that until such time as the initial public announcement of the transaction contemplated by this Agreement has been made, Collateral Agent and each Lender agree that it shall only make such public announcement or other publicization with the consent of Borrower (which consent may not be unreasonably conditioned, withheld or delayed). Notwithstanding the foregoing, such consent from Borrower shall not be required for any disclosures by Collateral Agent and the Lenders required by the Securities and Exchange Commission or other governmental agency and any other public disclosure with investors, other governmental agencies or other related persons, in each case, subject to applicable law and regulations.</w:t>
      </w:r>
    </w:p>
    <w:p>
      <w:pPr>
        <w:spacing w:after="0" w:line="117" w:lineRule="exact"/>
        <w:rPr>
          <w:sz w:val="20"/>
          <w:szCs w:val="20"/>
          <w:color w:val="auto"/>
        </w:rPr>
      </w:pPr>
    </w:p>
    <w:p>
      <w:pPr>
        <w:jc w:val="both"/>
        <w:ind w:firstLine="595"/>
        <w:spacing w:after="0" w:line="255" w:lineRule="auto"/>
        <w:rPr>
          <w:sz w:val="20"/>
          <w:szCs w:val="20"/>
          <w:color w:val="auto"/>
        </w:rPr>
      </w:pPr>
      <w:r>
        <w:rPr>
          <w:rFonts w:ascii="Arial" w:cs="Arial" w:eastAsia="Arial" w:hAnsi="Arial"/>
          <w:sz w:val="18"/>
          <w:szCs w:val="18"/>
          <w:b w:val="1"/>
          <w:bCs w:val="1"/>
          <w:color w:val="auto"/>
        </w:rPr>
        <w:t xml:space="preserve">12.12 Collateral Agent and Lender Agreement. </w:t>
      </w:r>
      <w:r>
        <w:rPr>
          <w:rFonts w:ascii="Arial" w:cs="Arial" w:eastAsia="Arial" w:hAnsi="Arial"/>
          <w:sz w:val="18"/>
          <w:szCs w:val="18"/>
          <w:color w:val="auto"/>
        </w:rPr>
        <w:t>Collateral Agent and the Lenders hereby agree to the terms and conditions set forth on</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B attached hereto. Borrower acknowledges and agrees to the terms and conditions set forth on Exhibit B attached hereto.</w:t>
      </w:r>
    </w:p>
    <w:p>
      <w:pPr>
        <w:spacing w:after="0" w:line="116" w:lineRule="exact"/>
        <w:rPr>
          <w:sz w:val="20"/>
          <w:szCs w:val="20"/>
          <w:color w:val="auto"/>
        </w:rPr>
      </w:pPr>
    </w:p>
    <w:p>
      <w:pPr>
        <w:ind w:left="600"/>
        <w:spacing w:after="0"/>
        <w:tabs>
          <w:tab w:leader="none" w:pos="1220" w:val="left"/>
        </w:tabs>
        <w:rPr>
          <w:sz w:val="20"/>
          <w:szCs w:val="20"/>
          <w:color w:val="auto"/>
        </w:rPr>
      </w:pPr>
      <w:r>
        <w:rPr>
          <w:rFonts w:ascii="Arial" w:cs="Arial" w:eastAsia="Arial" w:hAnsi="Arial"/>
          <w:sz w:val="19"/>
          <w:szCs w:val="19"/>
          <w:b w:val="1"/>
          <w:bCs w:val="1"/>
          <w:color w:val="auto"/>
        </w:rPr>
        <w:t>12.13</w:t>
      </w:r>
      <w:r>
        <w:rPr>
          <w:sz w:val="20"/>
          <w:szCs w:val="20"/>
          <w:color w:val="auto"/>
        </w:rPr>
        <w:tab/>
      </w:r>
      <w:r>
        <w:rPr>
          <w:rFonts w:ascii="Arial" w:cs="Arial" w:eastAsia="Arial" w:hAnsi="Arial"/>
          <w:sz w:val="17"/>
          <w:szCs w:val="17"/>
          <w:b w:val="1"/>
          <w:bCs w:val="1"/>
          <w:color w:val="auto"/>
        </w:rPr>
        <w:t>Time of Essence</w:t>
      </w:r>
      <w:r>
        <w:rPr>
          <w:rFonts w:ascii="Arial" w:cs="Arial" w:eastAsia="Arial" w:hAnsi="Arial"/>
          <w:sz w:val="17"/>
          <w:szCs w:val="17"/>
          <w:color w:val="auto"/>
        </w:rPr>
        <w:t>. Time is of the essence for the performance of Obligations under this Agreement.</w:t>
      </w:r>
    </w:p>
    <w:p>
      <w:pPr>
        <w:spacing w:after="0" w:line="156" w:lineRule="exact"/>
        <w:rPr>
          <w:sz w:val="20"/>
          <w:szCs w:val="20"/>
          <w:color w:val="auto"/>
        </w:rPr>
      </w:pPr>
    </w:p>
    <w:p>
      <w:pPr>
        <w:jc w:val="both"/>
        <w:ind w:firstLine="595"/>
        <w:spacing w:after="0" w:line="207" w:lineRule="auto"/>
        <w:rPr>
          <w:sz w:val="20"/>
          <w:szCs w:val="20"/>
          <w:color w:val="auto"/>
        </w:rPr>
      </w:pPr>
      <w:r>
        <w:rPr>
          <w:rFonts w:ascii="Arial" w:cs="Arial" w:eastAsia="Arial" w:hAnsi="Arial"/>
          <w:sz w:val="19"/>
          <w:szCs w:val="19"/>
          <w:b w:val="1"/>
          <w:bCs w:val="1"/>
          <w:color w:val="auto"/>
        </w:rPr>
        <w:t>12.14 Termination Prior to Maturity Date; Survival</w:t>
      </w:r>
      <w:r>
        <w:rPr>
          <w:rFonts w:ascii="Arial" w:cs="Arial" w:eastAsia="Arial" w:hAnsi="Arial"/>
          <w:sz w:val="19"/>
          <w:szCs w:val="19"/>
          <w:color w:val="auto"/>
        </w:rPr>
        <w:t>. All covenants, representations and warranties made in this Agreement continue in</w:t>
      </w:r>
      <w:r>
        <w:rPr>
          <w:rFonts w:ascii="Arial" w:cs="Arial" w:eastAsia="Arial" w:hAnsi="Arial"/>
          <w:sz w:val="19"/>
          <w:szCs w:val="19"/>
          <w:b w:val="1"/>
          <w:bCs w:val="1"/>
          <w:color w:val="auto"/>
        </w:rPr>
        <w:t xml:space="preserve"> </w:t>
      </w:r>
      <w:r>
        <w:rPr>
          <w:rFonts w:ascii="Arial" w:cs="Arial" w:eastAsia="Arial" w:hAnsi="Arial"/>
          <w:sz w:val="19"/>
          <w:szCs w:val="19"/>
          <w:color w:val="auto"/>
        </w:rPr>
        <w:t>full force until this Agreement has terminated pursuant to its terms and all Obligations have been satisfied (other than (a)(i) inchoate indemnity obligations, and (ii) other obligations that, by their terms, survive termination of this Agreement, in each case, for which no claim has been made, and (b) all obligations under the Exit Fee Agreement). So long as Borrower has satisfied the Obligations (other than (a)(i) inchoate indemnity obligations, and (ii) any other obligations which, by their terms, are to survive the termination of this Agreement and for which no claim has been made, and (b) all obligations under the Exit Fee Agreement) in accordance with the terms of this Agreement, this Agreement may be terminated prior to the Maturity Date by Borrower, effective five (5) Business Days after written notice of termination is given to the Collateral Agent and the Lenders.</w:t>
      </w:r>
    </w:p>
    <w:p>
      <w:pPr>
        <w:spacing w:after="0" w:line="120" w:lineRule="exact"/>
        <w:rPr>
          <w:sz w:val="20"/>
          <w:szCs w:val="20"/>
          <w:color w:val="auto"/>
        </w:rPr>
      </w:pPr>
    </w:p>
    <w:p>
      <w:pPr>
        <w:jc w:val="both"/>
        <w:ind w:firstLine="595"/>
        <w:spacing w:after="0" w:line="207" w:lineRule="auto"/>
        <w:rPr>
          <w:sz w:val="20"/>
          <w:szCs w:val="20"/>
          <w:color w:val="auto"/>
        </w:rPr>
      </w:pPr>
      <w:r>
        <w:rPr>
          <w:rFonts w:ascii="Arial" w:cs="Arial" w:eastAsia="Arial" w:hAnsi="Arial"/>
          <w:sz w:val="19"/>
          <w:szCs w:val="19"/>
          <w:b w:val="1"/>
          <w:bCs w:val="1"/>
          <w:color w:val="auto"/>
        </w:rPr>
        <w:t>12.15 Electronic Execution of Certain Other Documents</w:t>
      </w:r>
      <w:r>
        <w:rPr>
          <w:rFonts w:ascii="Arial" w:cs="Arial" w:eastAsia="Arial" w:hAnsi="Arial"/>
          <w:sz w:val="19"/>
          <w:szCs w:val="19"/>
          <w:color w:val="auto"/>
        </w:rPr>
        <w:t>. The words “execution,” “execute”, “signed,” “signature,” and words of like</w:t>
      </w:r>
      <w:r>
        <w:rPr>
          <w:rFonts w:ascii="Arial" w:cs="Arial" w:eastAsia="Arial" w:hAnsi="Arial"/>
          <w:sz w:val="19"/>
          <w:szCs w:val="19"/>
          <w:b w:val="1"/>
          <w:bCs w:val="1"/>
          <w:color w:val="auto"/>
        </w:rPr>
        <w:t xml:space="preserve"> </w:t>
      </w:r>
      <w:r>
        <w:rPr>
          <w:rFonts w:ascii="Arial" w:cs="Arial" w:eastAsia="Arial" w:hAnsi="Arial"/>
          <w:sz w:val="19"/>
          <w:szCs w:val="19"/>
          <w:color w:val="auto"/>
        </w:rPr>
        <w:t>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1344" w:right="339" w:bottom="1440" w:gutter="0" w:footer="0" w:header="0"/>
        </w:sectPr>
      </w:pPr>
    </w:p>
    <w:bookmarkStart w:id="242" w:name="page243"/>
    <w:bookmarkEnd w:id="242"/>
    <w:p>
      <w:pPr>
        <w:jc w:val="right"/>
        <w:ind w:right="2839"/>
        <w:spacing w:after="0"/>
        <w:rPr>
          <w:sz w:val="20"/>
          <w:szCs w:val="20"/>
          <w:color w:val="auto"/>
        </w:rPr>
      </w:pPr>
      <w:r>
        <w:rPr>
          <w:rFonts w:ascii="Arial" w:cs="Arial" w:eastAsia="Arial" w:hAnsi="Arial"/>
          <w:sz w:val="19"/>
          <w:szCs w:val="19"/>
          <w:b w:val="1"/>
          <w:bCs w:val="1"/>
          <w:i w:val="1"/>
          <w:iCs w:val="1"/>
          <w:color w:val="auto"/>
        </w:rPr>
        <w:t>[Balance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9959"/>
          </w:cols>
          <w:pgMar w:left="500" w:top="1350" w:right="1440" w:bottom="1440" w:gutter="0" w:footer="0" w:header="0"/>
        </w:sectPr>
      </w:pPr>
    </w:p>
    <w:bookmarkStart w:id="243" w:name="page244"/>
    <w:bookmarkEnd w:id="243"/>
    <w:p>
      <w:pPr>
        <w:ind w:left="60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Agreement to be executed as of the Effective Date.</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BORROWER:</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ARCUTIS BIOTHERAPEUTICS,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By /s/ Scott Burrows_____________________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-12700</wp:posOffset>
            </wp:positionV>
            <wp:extent cx="21278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212788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Name: Scott Burrows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Title: Chief Financial Officer</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COLLATERAL AGENT AND LENDER:</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SLR INVESTMENT CORP.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By /s/ Anthony Storino____________________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-12700</wp:posOffset>
            </wp:positionV>
            <wp:extent cx="21812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218122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Name: Anthony Storino</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119"/>
          </w:cols>
          <w:pgMar w:left="340" w:top="1344" w:right="1440" w:bottom="1440" w:gutter="0" w:footer="0" w:header="0"/>
        </w:sectPr>
      </w:pPr>
    </w:p>
    <w:bookmarkStart w:id="244" w:name="page245"/>
    <w:bookmarkEnd w:id="244"/>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LENDERS: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SLR SENIOR INVESTMENT CORP.,</w:t>
      </w:r>
    </w:p>
    <w:p>
      <w:pPr>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By /s/ Anthony Storino____________________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-12700</wp:posOffset>
            </wp:positionV>
            <wp:extent cx="9785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97853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Name: Anthony Storino</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Its: Authorized Signatory</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9"/>
          <w:szCs w:val="19"/>
          <w:color w:val="auto"/>
        </w:rPr>
        <w:t>SCP PRIVATE CREDIT INCOME FUND SPV LLC,</w:t>
      </w:r>
    </w:p>
    <w:p>
      <w:pPr>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By /s/ Anthony Storino____________________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-12700</wp:posOffset>
            </wp:positionV>
            <wp:extent cx="21812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218122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Name: Anthony Storino</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Its: Authorized Signatory</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color w:val="auto"/>
        </w:rPr>
        <w:t>SCP PRIVATE CREDIT INCOME BDC SPV LLC,</w:t>
      </w:r>
    </w:p>
    <w:p>
      <w:pPr>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By /s/ Anthony Storino____________________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-12700</wp:posOffset>
            </wp:positionV>
            <wp:extent cx="21812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218122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Name: Anthony Storino</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Its: Authorized Signatory</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SCP PRIVATE CORPORATE LENDING FUND SPV LLC,</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By /s/ Anthony Storino____________________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-12700</wp:posOffset>
            </wp:positionV>
            <wp:extent cx="21812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218122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Name: Anthony Storino</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19"/>
          </w:cols>
          <w:pgMar w:left="340" w:top="1440" w:right="1440" w:bottom="1440" w:gutter="0" w:footer="0" w:header="0"/>
        </w:sectPr>
      </w:pPr>
    </w:p>
    <w:bookmarkStart w:id="245" w:name="page246"/>
    <w:bookmarkEnd w:id="245"/>
    <w:p>
      <w:pPr>
        <w:spacing w:after="0"/>
        <w:rPr>
          <w:sz w:val="20"/>
          <w:szCs w:val="20"/>
          <w:color w:val="auto"/>
        </w:rPr>
      </w:pPr>
      <w:r>
        <w:rPr>
          <w:rFonts w:ascii="Arial" w:cs="Arial" w:eastAsia="Arial" w:hAnsi="Arial"/>
          <w:sz w:val="19"/>
          <w:szCs w:val="19"/>
          <w:color w:val="auto"/>
        </w:rPr>
        <w:t>SCP SF DEBT FUND L.P.,</w:t>
      </w:r>
    </w:p>
    <w:p>
      <w:pPr>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By /s/ Anthony Storino____________________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1270</wp:posOffset>
            </wp:positionV>
            <wp:extent cx="21812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2181225"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Name: Anthony Storino</w:t>
      </w:r>
    </w:p>
    <w:p>
      <w:pPr>
        <w:spacing w:after="0"/>
        <w:rPr>
          <w:sz w:val="20"/>
          <w:szCs w:val="20"/>
          <w:color w:val="auto"/>
        </w:rPr>
      </w:pPr>
      <w:r>
        <w:rPr>
          <w:rFonts w:ascii="Arial" w:cs="Arial" w:eastAsia="Arial" w:hAnsi="Arial"/>
          <w:sz w:val="19"/>
          <w:szCs w:val="19"/>
          <w:color w:val="auto"/>
        </w:rPr>
        <w:t>Its: Authorized Signatory</w:t>
      </w:r>
    </w:p>
    <w:p>
      <w:pPr>
        <w:spacing w:after="0" w:line="214" w:lineRule="auto"/>
        <w:rPr>
          <w:sz w:val="20"/>
          <w:szCs w:val="20"/>
          <w:color w:val="auto"/>
        </w:rPr>
      </w:pPr>
      <w:r>
        <w:rPr>
          <w:rFonts w:ascii="Arial" w:cs="Arial" w:eastAsia="Arial" w:hAnsi="Arial"/>
          <w:sz w:val="19"/>
          <w:szCs w:val="19"/>
          <w:color w:val="auto"/>
        </w:rPr>
        <w:t>SLR HC FUND SPV, LLC,</w:t>
      </w:r>
    </w:p>
    <w:p>
      <w:pPr>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By /s/ Anthony Storino____________________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1270</wp:posOffset>
            </wp:positionV>
            <wp:extent cx="21812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2181225"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Name: Anthony Storino</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Its: Authorized Signatory</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9"/>
          <w:szCs w:val="19"/>
          <w:color w:val="auto"/>
        </w:rPr>
        <w:t>SLR HC BDC LLC,</w:t>
      </w:r>
    </w:p>
    <w:p>
      <w:pPr>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By /s/ Anthony Storino____________________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1270</wp:posOffset>
            </wp:positionV>
            <wp:extent cx="21812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2181225"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Name: Anthony Storino</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119"/>
          </w:cols>
          <w:pgMar w:left="340" w:top="1380" w:right="1440" w:bottom="1440" w:gutter="0" w:footer="0" w:header="0"/>
        </w:sectPr>
      </w:pPr>
    </w:p>
    <w:bookmarkStart w:id="246" w:name="page247"/>
    <w:bookmarkEnd w:id="246"/>
    <w:p>
      <w:pPr>
        <w:jc w:val="center"/>
        <w:ind w:right="20"/>
        <w:spacing w:after="0"/>
        <w:rPr>
          <w:sz w:val="20"/>
          <w:szCs w:val="20"/>
          <w:color w:val="auto"/>
        </w:rPr>
      </w:pPr>
      <w:r>
        <w:rPr>
          <w:rFonts w:ascii="Arial" w:cs="Arial" w:eastAsia="Arial" w:hAnsi="Arial"/>
          <w:sz w:val="19"/>
          <w:szCs w:val="19"/>
          <w:b w:val="1"/>
          <w:bCs w:val="1"/>
          <w:color w:val="auto"/>
        </w:rPr>
        <w:t>SCHEDULE 1.1</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Lenders and Commitments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Tranche A Term Loans</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Lender</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Tranche A Term Loan Commitment</w:t>
            </w:r>
          </w:p>
        </w:tc>
        <w:tc>
          <w:tcPr>
            <w:tcW w:w="3740" w:type="dxa"/>
            <w:vAlign w:val="bottom"/>
            <w:tcBorders>
              <w:top w:val="single" w:sz="8" w:color="auto"/>
              <w:bottom w:val="single" w:sz="8" w:color="auto"/>
              <w:right w:val="single" w:sz="8" w:color="auto"/>
            </w:tcBorders>
          </w:tcPr>
          <w:p>
            <w:pPr>
              <w:ind w:left="860"/>
              <w:spacing w:after="0"/>
              <w:rPr>
                <w:sz w:val="20"/>
                <w:szCs w:val="20"/>
                <w:color w:val="auto"/>
              </w:rPr>
            </w:pPr>
            <w:r>
              <w:rPr>
                <w:rFonts w:ascii="Arial" w:cs="Arial" w:eastAsia="Arial" w:hAnsi="Arial"/>
                <w:sz w:val="19"/>
                <w:szCs w:val="19"/>
                <w:b w:val="1"/>
                <w:bCs w:val="1"/>
                <w:color w:val="auto"/>
              </w:rPr>
              <w:t>Commitment Percentage</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SLR INVESTMENT CORP.</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$21,735,086.09</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28.98%</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SLR SENIOR INVESTMENT CORP.</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$3,333,333.33</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4.44%</w:t>
            </w:r>
          </w:p>
        </w:tc>
        <w:tc>
          <w:tcPr>
            <w:tcW w:w="0" w:type="dxa"/>
            <w:vAlign w:val="bottom"/>
          </w:tcPr>
          <w:p>
            <w:pPr>
              <w:spacing w:after="0"/>
              <w:rPr>
                <w:sz w:val="1"/>
                <w:szCs w:val="1"/>
                <w:color w:val="auto"/>
              </w:rPr>
            </w:pPr>
          </w:p>
        </w:tc>
      </w:tr>
      <w:tr>
        <w:trPr>
          <w:trHeight w:val="174"/>
        </w:trPr>
        <w:tc>
          <w:tcPr>
            <w:tcW w:w="378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9"/>
                <w:szCs w:val="19"/>
                <w:color w:val="auto"/>
                <w:w w:val="93"/>
              </w:rPr>
              <w:t>SCP PRIVATE CREDIT INCOME FUND SPV,</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$12,325,996.08</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16.43%</w:t>
            </w:r>
          </w:p>
        </w:tc>
        <w:tc>
          <w:tcPr>
            <w:tcW w:w="0" w:type="dxa"/>
            <w:vAlign w:val="bottom"/>
          </w:tcPr>
          <w:p>
            <w:pPr>
              <w:spacing w:after="0"/>
              <w:rPr>
                <w:sz w:val="1"/>
                <w:szCs w:val="1"/>
                <w:color w:val="auto"/>
              </w:rPr>
            </w:pPr>
          </w:p>
        </w:tc>
      </w:tr>
      <w:tr>
        <w:trPr>
          <w:trHeight w:val="23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LLC</w:t>
            </w: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8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9"/>
                <w:szCs w:val="19"/>
                <w:color w:val="auto"/>
                <w:w w:val="94"/>
              </w:rPr>
              <w:t>SCP PRIVATE CREDIT INCOME BDC SPV</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0"/>
              </w:rPr>
              <w:t>$9,195,136.66</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12.26%</w:t>
            </w:r>
          </w:p>
        </w:tc>
        <w:tc>
          <w:tcPr>
            <w:tcW w:w="0" w:type="dxa"/>
            <w:vAlign w:val="bottom"/>
          </w:tcPr>
          <w:p>
            <w:pPr>
              <w:spacing w:after="0"/>
              <w:rPr>
                <w:sz w:val="1"/>
                <w:szCs w:val="1"/>
                <w:color w:val="auto"/>
              </w:rPr>
            </w:pPr>
          </w:p>
        </w:tc>
      </w:tr>
      <w:tr>
        <w:trPr>
          <w:trHeight w:val="23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LLC</w:t>
            </w: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8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9"/>
                <w:szCs w:val="19"/>
                <w:color w:val="auto"/>
                <w:w w:val="93"/>
              </w:rPr>
              <w:t>SCP PRIVATE CORPORATE LENDING</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$11,972,660.25</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15.96%</w:t>
            </w:r>
          </w:p>
        </w:tc>
        <w:tc>
          <w:tcPr>
            <w:tcW w:w="0" w:type="dxa"/>
            <w:vAlign w:val="bottom"/>
          </w:tcPr>
          <w:p>
            <w:pPr>
              <w:spacing w:after="0"/>
              <w:rPr>
                <w:sz w:val="1"/>
                <w:szCs w:val="1"/>
                <w:color w:val="auto"/>
              </w:rPr>
            </w:pPr>
          </w:p>
        </w:tc>
      </w:tr>
      <w:tr>
        <w:trPr>
          <w:trHeight w:val="23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FUND SPV LLC</w:t>
            </w: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SCP SF DEBT FUND L.P.</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$2,877,005.95</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3.84%</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SLR HC FUND SPV, LLC</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$11,202,765.00</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14.94%</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SLR HC BDC LLC</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$2,358,016.64</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3.14%</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rPr>
              <w:t>TOTAL</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$75,000,000.00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5"/>
              </w:rPr>
              <w:t>100.00%</w:t>
            </w:r>
          </w:p>
        </w:tc>
        <w:tc>
          <w:tcPr>
            <w:tcW w:w="0" w:type="dxa"/>
            <w:vAlign w:val="bottom"/>
          </w:tcPr>
          <w:p>
            <w:pPr>
              <w:spacing w:after="0"/>
              <w:rPr>
                <w:sz w:val="1"/>
                <w:szCs w:val="1"/>
                <w:color w:val="auto"/>
              </w:rPr>
            </w:pPr>
          </w:p>
        </w:tc>
      </w:tr>
      <w:tr>
        <w:trPr>
          <w:trHeight w:val="561"/>
        </w:trPr>
        <w:tc>
          <w:tcPr>
            <w:tcW w:w="37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Tranche B Term Loans</w:t>
            </w: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Lender</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1"/>
              </w:rPr>
              <w:t>Tranche B Term Loan Commitment</w:t>
            </w:r>
          </w:p>
        </w:tc>
        <w:tc>
          <w:tcPr>
            <w:tcW w:w="374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9"/>
                <w:szCs w:val="19"/>
                <w:b w:val="1"/>
                <w:bCs w:val="1"/>
                <w:color w:val="auto"/>
              </w:rPr>
              <w:t>Commitment Percentage</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SLR INVESTMENT CORP.</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$36,225,143.46</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28.98%</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SLR SENIOR INVESTMENT CORP.</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$5,555,555.56</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4.44%</w:t>
            </w:r>
          </w:p>
        </w:tc>
        <w:tc>
          <w:tcPr>
            <w:tcW w:w="0" w:type="dxa"/>
            <w:vAlign w:val="bottom"/>
          </w:tcPr>
          <w:p>
            <w:pPr>
              <w:spacing w:after="0"/>
              <w:rPr>
                <w:sz w:val="1"/>
                <w:szCs w:val="1"/>
                <w:color w:val="auto"/>
              </w:rPr>
            </w:pPr>
          </w:p>
        </w:tc>
      </w:tr>
      <w:tr>
        <w:trPr>
          <w:trHeight w:val="174"/>
        </w:trPr>
        <w:tc>
          <w:tcPr>
            <w:tcW w:w="378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9"/>
                <w:szCs w:val="19"/>
                <w:color w:val="auto"/>
                <w:w w:val="93"/>
              </w:rPr>
              <w:t>SCP PRIVATE CREDIT INCOME FUND SPV,</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$20,543,326.79</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16.43%</w:t>
            </w:r>
          </w:p>
        </w:tc>
        <w:tc>
          <w:tcPr>
            <w:tcW w:w="0" w:type="dxa"/>
            <w:vAlign w:val="bottom"/>
          </w:tcPr>
          <w:p>
            <w:pPr>
              <w:spacing w:after="0"/>
              <w:rPr>
                <w:sz w:val="1"/>
                <w:szCs w:val="1"/>
                <w:color w:val="auto"/>
              </w:rPr>
            </w:pPr>
          </w:p>
        </w:tc>
      </w:tr>
      <w:tr>
        <w:trPr>
          <w:trHeight w:val="23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LLC</w:t>
            </w: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8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9"/>
                <w:szCs w:val="19"/>
                <w:color w:val="auto"/>
                <w:w w:val="94"/>
              </w:rPr>
              <w:t>SCP PRIVATE CREDIT INCOME BDC SPV</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$15,325,227.77</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12.26%</w:t>
            </w:r>
          </w:p>
        </w:tc>
        <w:tc>
          <w:tcPr>
            <w:tcW w:w="0" w:type="dxa"/>
            <w:vAlign w:val="bottom"/>
          </w:tcPr>
          <w:p>
            <w:pPr>
              <w:spacing w:after="0"/>
              <w:rPr>
                <w:sz w:val="1"/>
                <w:szCs w:val="1"/>
                <w:color w:val="auto"/>
              </w:rPr>
            </w:pPr>
          </w:p>
        </w:tc>
      </w:tr>
      <w:tr>
        <w:trPr>
          <w:trHeight w:val="23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LLC</w:t>
            </w: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8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9"/>
                <w:szCs w:val="19"/>
                <w:color w:val="auto"/>
                <w:w w:val="93"/>
              </w:rPr>
              <w:t>SCP PRIVATE CORPORATE LENDING</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$19,954,433.76</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15.96%</w:t>
            </w:r>
          </w:p>
        </w:tc>
        <w:tc>
          <w:tcPr>
            <w:tcW w:w="0" w:type="dxa"/>
            <w:vAlign w:val="bottom"/>
          </w:tcPr>
          <w:p>
            <w:pPr>
              <w:spacing w:after="0"/>
              <w:rPr>
                <w:sz w:val="1"/>
                <w:szCs w:val="1"/>
                <w:color w:val="auto"/>
              </w:rPr>
            </w:pPr>
          </w:p>
        </w:tc>
      </w:tr>
      <w:tr>
        <w:trPr>
          <w:trHeight w:val="23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FUND SPV LLC</w:t>
            </w: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SCP SF DEBT FUND L.P.</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$4,795,009.92</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3.84%</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SLR HC FUND SPV, LLC</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$18,671,275.01</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14.94%</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SLR HC BDC LLC</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$3,930,027.73</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3.14%</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rPr>
              <w:t>TOTAL</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88"/>
              </w:rPr>
              <w:t>$125,000,000.00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5"/>
              </w:rPr>
              <w:t>100.00%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320" w:top="1344" w:right="319" w:bottom="1440" w:gutter="0" w:footer="0" w:header="0"/>
        </w:sectPr>
      </w:pPr>
    </w:p>
    <w:bookmarkStart w:id="247" w:name="page248"/>
    <w:bookmarkEnd w:id="247"/>
    <w:p>
      <w:pPr>
        <w:jc w:val="center"/>
        <w:ind w:right="20"/>
        <w:spacing w:after="0"/>
        <w:rPr>
          <w:sz w:val="20"/>
          <w:szCs w:val="20"/>
          <w:color w:val="auto"/>
        </w:rPr>
      </w:pPr>
      <w:r>
        <w:rPr>
          <w:rFonts w:ascii="Arial" w:cs="Arial" w:eastAsia="Arial" w:hAnsi="Arial"/>
          <w:sz w:val="19"/>
          <w:szCs w:val="19"/>
          <w:b w:val="1"/>
          <w:bCs w:val="1"/>
          <w:color w:val="auto"/>
        </w:rPr>
        <w:t>Tranche C Term Loans</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Lender</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Tranche C Term Loan Commitment</w:t>
            </w:r>
          </w:p>
        </w:tc>
        <w:tc>
          <w:tcPr>
            <w:tcW w:w="3740" w:type="dxa"/>
            <w:vAlign w:val="bottom"/>
            <w:tcBorders>
              <w:top w:val="single" w:sz="8" w:color="auto"/>
              <w:bottom w:val="single" w:sz="8" w:color="auto"/>
              <w:right w:val="single" w:sz="8" w:color="auto"/>
            </w:tcBorders>
          </w:tcPr>
          <w:p>
            <w:pPr>
              <w:ind w:left="860"/>
              <w:spacing w:after="0"/>
              <w:rPr>
                <w:sz w:val="20"/>
                <w:szCs w:val="20"/>
                <w:color w:val="auto"/>
              </w:rPr>
            </w:pPr>
            <w:r>
              <w:rPr>
                <w:rFonts w:ascii="Arial" w:cs="Arial" w:eastAsia="Arial" w:hAnsi="Arial"/>
                <w:sz w:val="19"/>
                <w:szCs w:val="19"/>
                <w:b w:val="1"/>
                <w:bCs w:val="1"/>
                <w:color w:val="auto"/>
              </w:rPr>
              <w:t>Commitment Percentage</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SLR INVESTMENT CORP.</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$7,245,028.70</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28.98%</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SLR SENIOR INVESTMENT CORP.</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7"/>
              </w:rPr>
              <w:t>$1,111,111.11</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4.44%</w:t>
            </w:r>
          </w:p>
        </w:tc>
        <w:tc>
          <w:tcPr>
            <w:tcW w:w="0" w:type="dxa"/>
            <w:vAlign w:val="bottom"/>
          </w:tcPr>
          <w:p>
            <w:pPr>
              <w:spacing w:after="0"/>
              <w:rPr>
                <w:sz w:val="1"/>
                <w:szCs w:val="1"/>
                <w:color w:val="auto"/>
              </w:rPr>
            </w:pPr>
          </w:p>
        </w:tc>
      </w:tr>
      <w:tr>
        <w:trPr>
          <w:trHeight w:val="174"/>
        </w:trPr>
        <w:tc>
          <w:tcPr>
            <w:tcW w:w="378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9"/>
                <w:szCs w:val="19"/>
                <w:color w:val="auto"/>
                <w:w w:val="93"/>
              </w:rPr>
              <w:t>SCP PRIVATE CREDIT INCOME FUND SPV,</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0"/>
              </w:rPr>
              <w:t>$4,108,665.36</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16.43%</w:t>
            </w:r>
          </w:p>
        </w:tc>
        <w:tc>
          <w:tcPr>
            <w:tcW w:w="0" w:type="dxa"/>
            <w:vAlign w:val="bottom"/>
          </w:tcPr>
          <w:p>
            <w:pPr>
              <w:spacing w:after="0"/>
              <w:rPr>
                <w:sz w:val="1"/>
                <w:szCs w:val="1"/>
                <w:color w:val="auto"/>
              </w:rPr>
            </w:pPr>
          </w:p>
        </w:tc>
      </w:tr>
      <w:tr>
        <w:trPr>
          <w:trHeight w:val="23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LLC</w:t>
            </w: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8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9"/>
                <w:szCs w:val="19"/>
                <w:color w:val="auto"/>
                <w:w w:val="94"/>
              </w:rPr>
              <w:t>SCP PRIVATE CREDIT INCOME BDC SPV</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0"/>
              </w:rPr>
              <w:t>$3,065,045.55</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12.26%</w:t>
            </w:r>
          </w:p>
        </w:tc>
        <w:tc>
          <w:tcPr>
            <w:tcW w:w="0" w:type="dxa"/>
            <w:vAlign w:val="bottom"/>
          </w:tcPr>
          <w:p>
            <w:pPr>
              <w:spacing w:after="0"/>
              <w:rPr>
                <w:sz w:val="1"/>
                <w:szCs w:val="1"/>
                <w:color w:val="auto"/>
              </w:rPr>
            </w:pPr>
          </w:p>
        </w:tc>
      </w:tr>
      <w:tr>
        <w:trPr>
          <w:trHeight w:val="23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LLC</w:t>
            </w: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8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9"/>
                <w:szCs w:val="19"/>
                <w:color w:val="auto"/>
                <w:w w:val="93"/>
              </w:rPr>
              <w:t>SCP PRIVATE CORPORATE LENDING</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0"/>
              </w:rPr>
              <w:t>$3,990,886.75</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15.96%</w:t>
            </w:r>
          </w:p>
        </w:tc>
        <w:tc>
          <w:tcPr>
            <w:tcW w:w="0" w:type="dxa"/>
            <w:vAlign w:val="bottom"/>
          </w:tcPr>
          <w:p>
            <w:pPr>
              <w:spacing w:after="0"/>
              <w:rPr>
                <w:sz w:val="1"/>
                <w:szCs w:val="1"/>
                <w:color w:val="auto"/>
              </w:rPr>
            </w:pPr>
          </w:p>
        </w:tc>
      </w:tr>
      <w:tr>
        <w:trPr>
          <w:trHeight w:val="23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FUND SPV LLC</w:t>
            </w: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SCP SF DEBT FUND L.P.</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8"/>
              </w:rPr>
              <w:t>$959,001.98</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3.84%</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SLR HC FUND SPV, LLC</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$3,734,255.00</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14.94%</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SLR HC BDC LLC</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8"/>
              </w:rPr>
              <w:t>$786,005.55</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3.14%</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rPr>
              <w:t>TOTAL</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$25,000,000.00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5"/>
              </w:rPr>
              <w:t>100.00%</w:t>
            </w:r>
          </w:p>
        </w:tc>
        <w:tc>
          <w:tcPr>
            <w:tcW w:w="0" w:type="dxa"/>
            <w:vAlign w:val="bottom"/>
          </w:tcPr>
          <w:p>
            <w:pPr>
              <w:spacing w:after="0"/>
              <w:rPr>
                <w:sz w:val="1"/>
                <w:szCs w:val="1"/>
                <w:color w:val="auto"/>
              </w:rPr>
            </w:pPr>
          </w:p>
        </w:tc>
      </w:tr>
      <w:tr>
        <w:trPr>
          <w:trHeight w:val="807"/>
        </w:trPr>
        <w:tc>
          <w:tcPr>
            <w:tcW w:w="37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Aggregate (all Term Loans)</w:t>
            </w: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Lender</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Term Loan Commitment</w:t>
            </w:r>
          </w:p>
        </w:tc>
        <w:tc>
          <w:tcPr>
            <w:tcW w:w="374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9"/>
                <w:szCs w:val="19"/>
                <w:b w:val="1"/>
                <w:bCs w:val="1"/>
                <w:color w:val="auto"/>
              </w:rPr>
              <w:t>Commitment Percentage</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SLR INVESTMENT CORP.</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$65,205,258.25</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28.98%</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SLR SENIOR INVESTMENT CORP.</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$10,000,000.00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4.44%</w:t>
            </w:r>
          </w:p>
        </w:tc>
        <w:tc>
          <w:tcPr>
            <w:tcW w:w="0" w:type="dxa"/>
            <w:vAlign w:val="bottom"/>
          </w:tcPr>
          <w:p>
            <w:pPr>
              <w:spacing w:after="0"/>
              <w:rPr>
                <w:sz w:val="1"/>
                <w:szCs w:val="1"/>
                <w:color w:val="auto"/>
              </w:rPr>
            </w:pPr>
          </w:p>
        </w:tc>
      </w:tr>
      <w:tr>
        <w:trPr>
          <w:trHeight w:val="174"/>
        </w:trPr>
        <w:tc>
          <w:tcPr>
            <w:tcW w:w="378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9"/>
                <w:szCs w:val="19"/>
                <w:color w:val="auto"/>
                <w:w w:val="93"/>
              </w:rPr>
              <w:t>SCP PRIVATE CREDIT INCOME FUND SPV,</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$36,977,988.23</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16.43%</w:t>
            </w:r>
          </w:p>
        </w:tc>
        <w:tc>
          <w:tcPr>
            <w:tcW w:w="0" w:type="dxa"/>
            <w:vAlign w:val="bottom"/>
          </w:tcPr>
          <w:p>
            <w:pPr>
              <w:spacing w:after="0"/>
              <w:rPr>
                <w:sz w:val="1"/>
                <w:szCs w:val="1"/>
                <w:color w:val="auto"/>
              </w:rPr>
            </w:pPr>
          </w:p>
        </w:tc>
      </w:tr>
      <w:tr>
        <w:trPr>
          <w:trHeight w:val="23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LLC</w:t>
            </w: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8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9"/>
                <w:szCs w:val="19"/>
                <w:color w:val="auto"/>
                <w:w w:val="94"/>
              </w:rPr>
              <w:t>SCP PRIVATE CREDIT INCOME BDC SPV</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$27,585,409.98</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12.26%</w:t>
            </w:r>
          </w:p>
        </w:tc>
        <w:tc>
          <w:tcPr>
            <w:tcW w:w="0" w:type="dxa"/>
            <w:vAlign w:val="bottom"/>
          </w:tcPr>
          <w:p>
            <w:pPr>
              <w:spacing w:after="0"/>
              <w:rPr>
                <w:sz w:val="1"/>
                <w:szCs w:val="1"/>
                <w:color w:val="auto"/>
              </w:rPr>
            </w:pPr>
          </w:p>
        </w:tc>
      </w:tr>
      <w:tr>
        <w:trPr>
          <w:trHeight w:val="23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LLC</w:t>
            </w: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8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9"/>
                <w:szCs w:val="19"/>
                <w:color w:val="auto"/>
                <w:w w:val="93"/>
              </w:rPr>
              <w:t>SCP PRIVATE CORPORATE LENDING</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$35,917,980.76</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89"/>
              </w:rPr>
              <w:t>15.96%</w:t>
            </w:r>
          </w:p>
        </w:tc>
        <w:tc>
          <w:tcPr>
            <w:tcW w:w="0" w:type="dxa"/>
            <w:vAlign w:val="bottom"/>
          </w:tcPr>
          <w:p>
            <w:pPr>
              <w:spacing w:after="0"/>
              <w:rPr>
                <w:sz w:val="1"/>
                <w:szCs w:val="1"/>
                <w:color w:val="auto"/>
              </w:rPr>
            </w:pPr>
          </w:p>
        </w:tc>
      </w:tr>
      <w:tr>
        <w:trPr>
          <w:trHeight w:val="23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FUND SPV LLC</w:t>
            </w: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SCP SF DEBT FUND L.P.</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$8,631,017.85</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3.84%</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SLR HC FUND SPV, LLC</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$33,608,295.01</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14.94%</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SLR HC BDC LLC</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$7,074,049.92</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3.14%</w:t>
            </w:r>
          </w:p>
        </w:tc>
        <w:tc>
          <w:tcPr>
            <w:tcW w:w="0" w:type="dxa"/>
            <w:vAlign w:val="bottom"/>
          </w:tcPr>
          <w:p>
            <w:pPr>
              <w:spacing w:after="0"/>
              <w:rPr>
                <w:sz w:val="1"/>
                <w:szCs w:val="1"/>
                <w:color w:val="auto"/>
              </w:rPr>
            </w:pPr>
          </w:p>
        </w:tc>
      </w:tr>
      <w:tr>
        <w:trPr>
          <w:trHeight w:val="22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rPr>
              <w:t>TOTAL</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88"/>
              </w:rPr>
              <w:t>$225,000,000.00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5"/>
              </w:rPr>
              <w:t>100.00%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320" w:top="1396" w:right="319" w:bottom="1440" w:gutter="0" w:footer="0" w:header="0"/>
        </w:sectPr>
      </w:pPr>
    </w:p>
    <w:bookmarkStart w:id="248" w:name="page249"/>
    <w:bookmarkEnd w:id="248"/>
    <w:p>
      <w:pPr>
        <w:spacing w:after="0" w:line="138" w:lineRule="exact"/>
        <w:rPr>
          <w:sz w:val="20"/>
          <w:szCs w:val="20"/>
          <w:color w:val="auto"/>
        </w:rPr>
      </w:pPr>
    </w:p>
    <w:p>
      <w:pPr>
        <w:jc w:val="center"/>
        <w:ind w:right="-940"/>
        <w:spacing w:after="0"/>
        <w:rPr>
          <w:sz w:val="20"/>
          <w:szCs w:val="20"/>
          <w:color w:val="auto"/>
        </w:rPr>
      </w:pPr>
      <w:r>
        <w:rPr>
          <w:rFonts w:ascii="Arial" w:cs="Arial" w:eastAsia="Arial" w:hAnsi="Arial"/>
          <w:sz w:val="19"/>
          <w:szCs w:val="19"/>
          <w:b w:val="1"/>
          <w:bCs w:val="1"/>
          <w:color w:val="auto"/>
        </w:rPr>
        <w:t>SCHEDULE 7.13</w:t>
      </w:r>
    </w:p>
    <w:p>
      <w:pPr>
        <w:spacing w:after="0" w:line="195" w:lineRule="exact"/>
        <w:rPr>
          <w:sz w:val="20"/>
          <w:szCs w:val="20"/>
          <w:color w:val="auto"/>
        </w:rPr>
      </w:pPr>
    </w:p>
    <w:p>
      <w:pPr>
        <w:jc w:val="center"/>
        <w:ind w:right="-940"/>
        <w:spacing w:after="0"/>
        <w:rPr>
          <w:sz w:val="20"/>
          <w:szCs w:val="20"/>
          <w:color w:val="auto"/>
        </w:rPr>
      </w:pPr>
      <w:r>
        <w:rPr>
          <w:rFonts w:ascii="Arial" w:cs="Arial" w:eastAsia="Arial" w:hAnsi="Arial"/>
          <w:sz w:val="17"/>
          <w:szCs w:val="17"/>
          <w:b w:val="1"/>
          <w:bCs w:val="1"/>
          <w:u w:val="single" w:color="auto"/>
          <w:color w:val="auto"/>
        </w:rPr>
        <w:t>Minimum Net Product Revenue</w:t>
      </w:r>
    </w:p>
    <w:p>
      <w:pPr>
        <w:spacing w:after="0" w:line="224" w:lineRule="exact"/>
        <w:rPr>
          <w:sz w:val="20"/>
          <w:szCs w:val="20"/>
          <w:color w:val="auto"/>
        </w:rPr>
      </w:pPr>
    </w:p>
    <w:p>
      <w:pPr>
        <w:jc w:val="center"/>
        <w:ind w:right="-940"/>
        <w:spacing w:after="0"/>
        <w:rPr>
          <w:sz w:val="20"/>
          <w:szCs w:val="20"/>
          <w:color w:val="auto"/>
        </w:rPr>
      </w:pPr>
      <w:r>
        <w:rPr>
          <w:rFonts w:ascii="Arial" w:cs="Arial" w:eastAsia="Arial" w:hAnsi="Arial"/>
          <w:sz w:val="19"/>
          <w:szCs w:val="19"/>
          <w:color w:val="auto"/>
        </w:rPr>
        <w:t>[to be attached]</w:t>
      </w:r>
    </w:p>
    <w:p>
      <w:pPr>
        <w:sectPr>
          <w:pgSz w:w="11900" w:h="16838" w:orient="portrait"/>
          <w:cols w:equalWidth="0" w:num="1">
            <w:col w:w="9959"/>
          </w:cols>
          <w:pgMar w:left="5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959"/>
          </w:cols>
          <w:pgMar w:left="500" w:top="1440" w:right="1440" w:bottom="1440" w:gutter="0" w:footer="0" w:header="0"/>
          <w:type w:val="continuous"/>
        </w:sectPr>
      </w:pPr>
    </w:p>
    <w:bookmarkStart w:id="249" w:name="page250"/>
    <w:bookmarkEnd w:id="249"/>
    <w:tbl>
      <w:tblPr>
        <w:tblLayout w:type="fixed"/>
        <w:tblInd w:w="1640" w:type="dxa"/>
        <w:tblCellMar>
          <w:top w:w="0" w:type="dxa"/>
          <w:left w:w="0" w:type="dxa"/>
          <w:bottom w:w="0" w:type="dxa"/>
          <w:right w:w="0" w:type="dxa"/>
        </w:tblCellMar>
      </w:tblPr>
      <w:tr>
        <w:trPr>
          <w:trHeight w:val="184"/>
        </w:trPr>
        <w:tc>
          <w:tcPr>
            <w:tcW w:w="2160" w:type="dxa"/>
            <w:vAlign w:val="bottom"/>
            <w:vMerge w:val="restart"/>
            <w:shd w:val="clear" w:color="auto" w:fill="FFC000"/>
          </w:tcPr>
          <w:p>
            <w:pPr>
              <w:jc w:val="center"/>
              <w:ind w:left="342"/>
              <w:spacing w:after="0"/>
              <w:rPr>
                <w:sz w:val="20"/>
                <w:szCs w:val="20"/>
                <w:color w:val="auto"/>
              </w:rPr>
            </w:pPr>
            <w:r>
              <w:rPr>
                <w:rFonts w:ascii="Arial" w:cs="Arial" w:eastAsia="Arial" w:hAnsi="Arial"/>
                <w:sz w:val="16"/>
                <w:szCs w:val="16"/>
                <w:b w:val="1"/>
                <w:bCs w:val="1"/>
                <w:color w:val="auto"/>
                <w:w w:val="95"/>
              </w:rPr>
              <w:t>Month</w:t>
            </w:r>
          </w:p>
        </w:tc>
        <w:tc>
          <w:tcPr>
            <w:tcW w:w="3000" w:type="dxa"/>
            <w:vAlign w:val="bottom"/>
            <w:gridSpan w:val="2"/>
            <w:shd w:val="clear" w:color="auto" w:fill="FFC000"/>
          </w:tcPr>
          <w:p>
            <w:pPr>
              <w:jc w:val="right"/>
              <w:ind w:right="22"/>
              <w:spacing w:after="0"/>
              <w:rPr>
                <w:sz w:val="20"/>
                <w:szCs w:val="20"/>
                <w:color w:val="auto"/>
              </w:rPr>
            </w:pPr>
            <w:r>
              <w:rPr>
                <w:rFonts w:ascii="Arial" w:cs="Arial" w:eastAsia="Arial" w:hAnsi="Arial"/>
                <w:sz w:val="16"/>
                <w:szCs w:val="16"/>
                <w:b w:val="1"/>
                <w:bCs w:val="1"/>
                <w:color w:val="auto"/>
              </w:rPr>
              <w:t>Trailing 12 Months Minimum Net</w:t>
            </w:r>
          </w:p>
        </w:tc>
        <w:tc>
          <w:tcPr>
            <w:tcW w:w="0" w:type="dxa"/>
            <w:vAlign w:val="bottom"/>
          </w:tcPr>
          <w:p>
            <w:pPr>
              <w:spacing w:after="0"/>
              <w:rPr>
                <w:sz w:val="1"/>
                <w:szCs w:val="1"/>
                <w:color w:val="auto"/>
              </w:rPr>
            </w:pPr>
          </w:p>
        </w:tc>
      </w:tr>
      <w:tr>
        <w:trPr>
          <w:trHeight w:val="207"/>
        </w:trPr>
        <w:tc>
          <w:tcPr>
            <w:tcW w:w="2160" w:type="dxa"/>
            <w:vAlign w:val="bottom"/>
            <w:vMerge w:val="continue"/>
            <w:shd w:val="clear" w:color="auto" w:fill="FFC000"/>
          </w:tcPr>
          <w:p>
            <w:pPr>
              <w:spacing w:after="0"/>
              <w:rPr>
                <w:sz w:val="17"/>
                <w:szCs w:val="17"/>
                <w:color w:val="auto"/>
              </w:rPr>
            </w:pPr>
          </w:p>
        </w:tc>
        <w:tc>
          <w:tcPr>
            <w:tcW w:w="860" w:type="dxa"/>
            <w:vAlign w:val="bottom"/>
            <w:shd w:val="clear" w:color="auto" w:fill="FFC000"/>
          </w:tcPr>
          <w:p>
            <w:pPr>
              <w:spacing w:after="0"/>
              <w:rPr>
                <w:sz w:val="17"/>
                <w:szCs w:val="17"/>
                <w:color w:val="auto"/>
              </w:rPr>
            </w:pPr>
          </w:p>
        </w:tc>
        <w:tc>
          <w:tcPr>
            <w:tcW w:w="2140" w:type="dxa"/>
            <w:vAlign w:val="bottom"/>
            <w:shd w:val="clear" w:color="auto" w:fill="FFC000"/>
          </w:tcPr>
          <w:p>
            <w:pPr>
              <w:jc w:val="right"/>
              <w:ind w:right="562"/>
              <w:spacing w:after="0"/>
              <w:rPr>
                <w:sz w:val="20"/>
                <w:szCs w:val="20"/>
                <w:color w:val="auto"/>
              </w:rPr>
            </w:pPr>
            <w:r>
              <w:rPr>
                <w:rFonts w:ascii="Arial" w:cs="Arial" w:eastAsia="Arial" w:hAnsi="Arial"/>
                <w:sz w:val="16"/>
                <w:szCs w:val="16"/>
                <w:b w:val="1"/>
                <w:bCs w:val="1"/>
                <w:color w:val="auto"/>
              </w:rPr>
              <w:t>Product Revenue</w:t>
            </w:r>
          </w:p>
        </w:tc>
        <w:tc>
          <w:tcPr>
            <w:tcW w:w="0" w:type="dxa"/>
            <w:vAlign w:val="bottom"/>
          </w:tcPr>
          <w:p>
            <w:pPr>
              <w:spacing w:after="0"/>
              <w:rPr>
                <w:sz w:val="1"/>
                <w:szCs w:val="1"/>
                <w:color w:val="auto"/>
              </w:rPr>
            </w:pPr>
          </w:p>
        </w:tc>
      </w:tr>
      <w:tr>
        <w:trPr>
          <w:trHeight w:val="201"/>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Dec-2023</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30,000,000</w:t>
            </w:r>
          </w:p>
        </w:tc>
        <w:tc>
          <w:tcPr>
            <w:tcW w:w="0" w:type="dxa"/>
            <w:vAlign w:val="bottom"/>
          </w:tcPr>
          <w:p>
            <w:pPr>
              <w:spacing w:after="0"/>
              <w:rPr>
                <w:sz w:val="1"/>
                <w:szCs w:val="1"/>
                <w:color w:val="auto"/>
              </w:rPr>
            </w:pPr>
          </w:p>
        </w:tc>
      </w:tr>
      <w:tr>
        <w:trPr>
          <w:trHeight w:val="419"/>
        </w:trPr>
        <w:tc>
          <w:tcPr>
            <w:tcW w:w="2160" w:type="dxa"/>
            <w:vAlign w:val="bottom"/>
          </w:tcPr>
          <w:p>
            <w:pPr>
              <w:spacing w:after="0"/>
              <w:rPr>
                <w:sz w:val="24"/>
                <w:szCs w:val="24"/>
                <w:color w:val="auto"/>
              </w:rPr>
            </w:pPr>
          </w:p>
        </w:tc>
        <w:tc>
          <w:tcPr>
            <w:tcW w:w="30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160" w:type="dxa"/>
            <w:vAlign w:val="bottom"/>
            <w:vMerge w:val="restart"/>
            <w:shd w:val="clear" w:color="auto" w:fill="FFC000"/>
          </w:tcPr>
          <w:p>
            <w:pPr>
              <w:jc w:val="center"/>
              <w:ind w:left="342"/>
              <w:spacing w:after="0"/>
              <w:rPr>
                <w:sz w:val="20"/>
                <w:szCs w:val="20"/>
                <w:color w:val="auto"/>
              </w:rPr>
            </w:pPr>
            <w:r>
              <w:rPr>
                <w:rFonts w:ascii="Arial" w:cs="Arial" w:eastAsia="Arial" w:hAnsi="Arial"/>
                <w:sz w:val="16"/>
                <w:szCs w:val="16"/>
                <w:b w:val="1"/>
                <w:bCs w:val="1"/>
                <w:color w:val="auto"/>
                <w:w w:val="95"/>
              </w:rPr>
              <w:t>Month</w:t>
            </w:r>
          </w:p>
        </w:tc>
        <w:tc>
          <w:tcPr>
            <w:tcW w:w="3000" w:type="dxa"/>
            <w:vAlign w:val="bottom"/>
            <w:gridSpan w:val="2"/>
            <w:shd w:val="clear" w:color="auto" w:fill="FFC000"/>
          </w:tcPr>
          <w:p>
            <w:pPr>
              <w:ind w:left="560"/>
              <w:spacing w:after="0" w:line="155" w:lineRule="exact"/>
              <w:rPr>
                <w:sz w:val="20"/>
                <w:szCs w:val="20"/>
                <w:color w:val="auto"/>
              </w:rPr>
            </w:pPr>
            <w:r>
              <w:rPr>
                <w:rFonts w:ascii="Arial" w:cs="Arial" w:eastAsia="Arial" w:hAnsi="Arial"/>
                <w:sz w:val="16"/>
                <w:szCs w:val="16"/>
                <w:b w:val="1"/>
                <w:bCs w:val="1"/>
                <w:color w:val="auto"/>
              </w:rPr>
              <w:t>Trailing 6 Months Minimum Net</w:t>
            </w:r>
          </w:p>
        </w:tc>
        <w:tc>
          <w:tcPr>
            <w:tcW w:w="0" w:type="dxa"/>
            <w:vAlign w:val="bottom"/>
          </w:tcPr>
          <w:p>
            <w:pPr>
              <w:spacing w:after="0"/>
              <w:rPr>
                <w:sz w:val="1"/>
                <w:szCs w:val="1"/>
                <w:color w:val="auto"/>
              </w:rPr>
            </w:pPr>
          </w:p>
        </w:tc>
      </w:tr>
      <w:tr>
        <w:trPr>
          <w:trHeight w:val="207"/>
        </w:trPr>
        <w:tc>
          <w:tcPr>
            <w:tcW w:w="2160" w:type="dxa"/>
            <w:vAlign w:val="bottom"/>
            <w:vMerge w:val="continue"/>
            <w:shd w:val="clear" w:color="auto" w:fill="FFC000"/>
          </w:tcPr>
          <w:p>
            <w:pPr>
              <w:spacing w:after="0"/>
              <w:rPr>
                <w:sz w:val="17"/>
                <w:szCs w:val="17"/>
                <w:color w:val="auto"/>
              </w:rPr>
            </w:pPr>
          </w:p>
        </w:tc>
        <w:tc>
          <w:tcPr>
            <w:tcW w:w="860" w:type="dxa"/>
            <w:vAlign w:val="bottom"/>
            <w:shd w:val="clear" w:color="auto" w:fill="FFC000"/>
          </w:tcPr>
          <w:p>
            <w:pPr>
              <w:spacing w:after="0"/>
              <w:rPr>
                <w:sz w:val="17"/>
                <w:szCs w:val="17"/>
                <w:color w:val="auto"/>
              </w:rPr>
            </w:pPr>
          </w:p>
        </w:tc>
        <w:tc>
          <w:tcPr>
            <w:tcW w:w="2140" w:type="dxa"/>
            <w:vAlign w:val="bottom"/>
            <w:shd w:val="clear" w:color="auto" w:fill="FFC000"/>
          </w:tcPr>
          <w:p>
            <w:pPr>
              <w:jc w:val="right"/>
              <w:ind w:right="562"/>
              <w:spacing w:after="0"/>
              <w:rPr>
                <w:sz w:val="20"/>
                <w:szCs w:val="20"/>
                <w:color w:val="auto"/>
              </w:rPr>
            </w:pPr>
            <w:r>
              <w:rPr>
                <w:rFonts w:ascii="Arial" w:cs="Arial" w:eastAsia="Arial" w:hAnsi="Arial"/>
                <w:sz w:val="16"/>
                <w:szCs w:val="16"/>
                <w:b w:val="1"/>
                <w:bCs w:val="1"/>
                <w:color w:val="auto"/>
              </w:rPr>
              <w:t>Product Revenue</w:t>
            </w:r>
          </w:p>
        </w:tc>
        <w:tc>
          <w:tcPr>
            <w:tcW w:w="0" w:type="dxa"/>
            <w:vAlign w:val="bottom"/>
          </w:tcPr>
          <w:p>
            <w:pPr>
              <w:spacing w:after="0"/>
              <w:rPr>
                <w:sz w:val="1"/>
                <w:szCs w:val="1"/>
                <w:color w:val="auto"/>
              </w:rPr>
            </w:pPr>
          </w:p>
        </w:tc>
      </w:tr>
      <w:tr>
        <w:trPr>
          <w:trHeight w:val="201"/>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5"/>
              </w:rPr>
              <w:t>Jan-2024</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24,000,000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42"/>
              <w:spacing w:after="0"/>
              <w:rPr>
                <w:sz w:val="20"/>
                <w:szCs w:val="20"/>
                <w:color w:val="auto"/>
              </w:rPr>
            </w:pPr>
            <w:r>
              <w:rPr>
                <w:rFonts w:ascii="Arial" w:cs="Arial" w:eastAsia="Arial" w:hAnsi="Arial"/>
                <w:sz w:val="16"/>
                <w:szCs w:val="16"/>
                <w:color w:val="auto"/>
                <w:w w:val="96"/>
              </w:rPr>
              <w:t>Feb-2024</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26,000,000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42"/>
              <w:spacing w:after="0"/>
              <w:rPr>
                <w:sz w:val="20"/>
                <w:szCs w:val="20"/>
                <w:color w:val="auto"/>
              </w:rPr>
            </w:pPr>
            <w:r>
              <w:rPr>
                <w:rFonts w:ascii="Arial" w:cs="Arial" w:eastAsia="Arial" w:hAnsi="Arial"/>
                <w:sz w:val="16"/>
                <w:szCs w:val="16"/>
                <w:color w:val="auto"/>
                <w:w w:val="96"/>
              </w:rPr>
              <w:t>Mar-2024</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28,000,000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Apr-2024</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30,000,000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5"/>
              </w:rPr>
              <w:t>May-2024</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32,000,000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5"/>
              </w:rPr>
              <w:t>Jun-2024</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34,000,000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Jul-2024</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36,000,000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Aug-2024</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38,000,000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Sep-2024</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40,000,000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Oct-2024</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42,000,000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Nov-2024</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44,000,000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Dec-2024</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46,000,000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5"/>
              </w:rPr>
              <w:t>Jan-2025</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47,000,000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42"/>
              <w:spacing w:after="0"/>
              <w:rPr>
                <w:sz w:val="20"/>
                <w:szCs w:val="20"/>
                <w:color w:val="auto"/>
              </w:rPr>
            </w:pPr>
            <w:r>
              <w:rPr>
                <w:rFonts w:ascii="Arial" w:cs="Arial" w:eastAsia="Arial" w:hAnsi="Arial"/>
                <w:sz w:val="16"/>
                <w:szCs w:val="16"/>
                <w:color w:val="auto"/>
                <w:w w:val="96"/>
              </w:rPr>
              <w:t>Feb-2025</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49,000,000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42"/>
              <w:spacing w:after="0"/>
              <w:rPr>
                <w:sz w:val="20"/>
                <w:szCs w:val="20"/>
                <w:color w:val="auto"/>
              </w:rPr>
            </w:pPr>
            <w:r>
              <w:rPr>
                <w:rFonts w:ascii="Arial" w:cs="Arial" w:eastAsia="Arial" w:hAnsi="Arial"/>
                <w:sz w:val="16"/>
                <w:szCs w:val="16"/>
                <w:color w:val="auto"/>
                <w:w w:val="96"/>
              </w:rPr>
              <w:t>Mar-2025</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50,000,000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Apr-2025</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53,000,000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5"/>
              </w:rPr>
              <w:t>May-2025</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55,000,000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5"/>
              </w:rPr>
              <w:t>Jun-2025</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59,000,000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Jul-2025</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64,000,000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Aug-2025</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68,000,000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Sep-2025</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73,000,000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Oct-2025</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78,000,000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Nov-2025</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83,000,000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Dec-2025</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87,000,000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5"/>
              </w:rPr>
              <w:t>Jan-2026</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92,000,000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42"/>
              <w:spacing w:after="0"/>
              <w:rPr>
                <w:sz w:val="20"/>
                <w:szCs w:val="20"/>
                <w:color w:val="auto"/>
              </w:rPr>
            </w:pPr>
            <w:r>
              <w:rPr>
                <w:rFonts w:ascii="Arial" w:cs="Arial" w:eastAsia="Arial" w:hAnsi="Arial"/>
                <w:sz w:val="16"/>
                <w:szCs w:val="16"/>
                <w:color w:val="auto"/>
                <w:w w:val="96"/>
              </w:rPr>
              <w:t>Feb-2026</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97,000,000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42"/>
              <w:spacing w:after="0"/>
              <w:rPr>
                <w:sz w:val="20"/>
                <w:szCs w:val="20"/>
                <w:color w:val="auto"/>
              </w:rPr>
            </w:pPr>
            <w:r>
              <w:rPr>
                <w:rFonts w:ascii="Arial" w:cs="Arial" w:eastAsia="Arial" w:hAnsi="Arial"/>
                <w:sz w:val="16"/>
                <w:szCs w:val="16"/>
                <w:color w:val="auto"/>
                <w:w w:val="96"/>
              </w:rPr>
              <w:t>Mar-2026</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101,000,000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Apr-2026</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105,000,000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5"/>
              </w:rPr>
              <w:t>May-2026</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108,000,000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5"/>
              </w:rPr>
              <w:t>Jun-2026</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110,000,000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Jul-2026</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110,000,000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Aug-2026</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110,000,000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Sep-2026</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110,000,000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Oct-2026</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110,000,000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Nov-2026</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110,000,000</w:t>
            </w:r>
          </w:p>
        </w:tc>
        <w:tc>
          <w:tcPr>
            <w:tcW w:w="0" w:type="dxa"/>
            <w:vAlign w:val="bottom"/>
          </w:tcPr>
          <w:p>
            <w:pPr>
              <w:spacing w:after="0"/>
              <w:rPr>
                <w:sz w:val="1"/>
                <w:szCs w:val="1"/>
                <w:color w:val="auto"/>
              </w:rPr>
            </w:pPr>
          </w:p>
        </w:tc>
      </w:tr>
      <w:tr>
        <w:trPr>
          <w:trHeight w:val="207"/>
        </w:trPr>
        <w:tc>
          <w:tcPr>
            <w:tcW w:w="2160" w:type="dxa"/>
            <w:vAlign w:val="bottom"/>
          </w:tcPr>
          <w:p>
            <w:pPr>
              <w:jc w:val="center"/>
              <w:ind w:left="362"/>
              <w:spacing w:after="0"/>
              <w:rPr>
                <w:sz w:val="20"/>
                <w:szCs w:val="20"/>
                <w:color w:val="auto"/>
              </w:rPr>
            </w:pPr>
            <w:r>
              <w:rPr>
                <w:rFonts w:ascii="Arial" w:cs="Arial" w:eastAsia="Arial" w:hAnsi="Arial"/>
                <w:sz w:val="16"/>
                <w:szCs w:val="16"/>
                <w:color w:val="auto"/>
                <w:w w:val="97"/>
              </w:rPr>
              <w:t>Dec-2026</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2"/>
              <w:spacing w:after="0"/>
              <w:rPr>
                <w:sz w:val="20"/>
                <w:szCs w:val="20"/>
                <w:color w:val="auto"/>
              </w:rPr>
            </w:pPr>
            <w:r>
              <w:rPr>
                <w:rFonts w:ascii="Arial" w:cs="Arial" w:eastAsia="Arial" w:hAnsi="Arial"/>
                <w:sz w:val="16"/>
                <w:szCs w:val="16"/>
                <w:color w:val="auto"/>
              </w:rPr>
              <w:t>110,000,000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959"/>
          </w:cols>
          <w:pgMar w:left="500" w:top="1377" w:right="1440" w:bottom="1440" w:gutter="0" w:footer="0" w:header="0"/>
        </w:sectPr>
      </w:pPr>
    </w:p>
    <w:bookmarkStart w:id="250" w:name="page251"/>
    <w:bookmarkEnd w:id="250"/>
    <w:p>
      <w:pPr>
        <w:spacing w:after="0" w:line="9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A</w:t>
      </w:r>
    </w:p>
    <w:p>
      <w:pPr>
        <w:spacing w:after="0" w:line="143" w:lineRule="exact"/>
        <w:rPr>
          <w:sz w:val="20"/>
          <w:szCs w:val="20"/>
          <w:color w:val="auto"/>
        </w:rPr>
      </w:pPr>
    </w:p>
    <w:p>
      <w:pPr>
        <w:ind w:left="4620"/>
        <w:spacing w:after="0"/>
        <w:rPr>
          <w:sz w:val="20"/>
          <w:szCs w:val="20"/>
          <w:color w:val="auto"/>
        </w:rPr>
      </w:pPr>
      <w:r>
        <w:rPr>
          <w:rFonts w:ascii="Arial" w:cs="Arial" w:eastAsia="Arial" w:hAnsi="Arial"/>
          <w:sz w:val="19"/>
          <w:szCs w:val="19"/>
          <w:b w:val="1"/>
          <w:bCs w:val="1"/>
          <w:u w:val="single" w:color="auto"/>
          <w:color w:val="auto"/>
        </w:rPr>
        <w:t>Description of Collateral</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Collateral consists of all of Borrower’s right, title and interest in and to the following property:</w:t>
      </w:r>
    </w:p>
    <w:p>
      <w:pPr>
        <w:spacing w:after="0" w:line="156" w:lineRule="exact"/>
        <w:rPr>
          <w:sz w:val="20"/>
          <w:szCs w:val="20"/>
          <w:color w:val="auto"/>
        </w:rPr>
      </w:pPr>
    </w:p>
    <w:p>
      <w:pPr>
        <w:jc w:val="both"/>
        <w:ind w:firstLine="620"/>
        <w:spacing w:after="0" w:line="223"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24" w:lineRule="exact"/>
        <w:rPr>
          <w:sz w:val="20"/>
          <w:szCs w:val="20"/>
          <w:color w:val="auto"/>
        </w:rPr>
      </w:pPr>
    </w:p>
    <w:p>
      <w:pPr>
        <w:jc w:val="both"/>
        <w:ind w:firstLine="620"/>
        <w:spacing w:after="0" w:line="220" w:lineRule="auto"/>
        <w:rPr>
          <w:sz w:val="20"/>
          <w:szCs w:val="20"/>
          <w:color w:val="auto"/>
        </w:rPr>
      </w:pPr>
      <w:r>
        <w:rPr>
          <w:rFonts w:ascii="Arial" w:cs="Arial" w:eastAsia="Arial" w:hAnsi="Arial"/>
          <w:sz w:val="19"/>
          <w:szCs w:val="19"/>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36" w:lineRule="exact"/>
        <w:rPr>
          <w:sz w:val="20"/>
          <w:szCs w:val="20"/>
          <w:color w:val="auto"/>
        </w:rPr>
      </w:pPr>
    </w:p>
    <w:p>
      <w:pPr>
        <w:jc w:val="both"/>
        <w:ind w:firstLine="620"/>
        <w:spacing w:after="0" w:line="228" w:lineRule="auto"/>
        <w:rPr>
          <w:sz w:val="20"/>
          <w:szCs w:val="20"/>
          <w:color w:val="auto"/>
        </w:rPr>
      </w:pPr>
      <w:r>
        <w:rPr>
          <w:rFonts w:ascii="Arial" w:cs="Arial" w:eastAsia="Arial" w:hAnsi="Arial"/>
          <w:sz w:val="17"/>
          <w:szCs w:val="17"/>
          <w:color w:val="auto"/>
        </w:rPr>
        <w:t>Notwithstanding the foregoing, the Collateral does not include (a) more than 65% of the presently existing and hereafter arising issued and outstanding equity interests owned by Borrower of any Excluded Subsidiary which equity interests entitle the holder thereof to vote for directors or any other matter (provided, however, that immediately upon any change in the U.S. tax laws that would allow the pledge of a greater percentage of such voting equity interests without material adverse tax consequences to Borrower, the Collateral shall automatically and without further action required by, and without notice to, any Person include such greater percentage of voting equity interests of such Excluded Subsidiary from that time forward), (b) any interest of Borrower as a lessee or sublessee under a real property lease; (c) rights held under a license or other agreement that are not assignable by their terms without the consent of the counterparty thereof (but only to the extent such restriction on assignment is effective under Section 9-406, 9-407, 9-408 or 9-409 of the Code (or any successor provision or provisions) of any relevant jurisdiction or any other applicable law (including the Bankruptcy Code) or principles of equity); or (d) any interest of Borrower as a lessee or borrower under an Equipment lease or Equipment financing if Borrower is prohibited by the terms of such agreement from granting a security interest in such lease or agreement or under which such an assignment or Lien would cause a default to occur under such lease; provided, however, that upon termination of such prohibition, such interest shall immediately become Collateral without any action by Borrower, Collateral Agent or any Lender.</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9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B</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Collateral Agent and Lender Terms</w:t>
      </w:r>
    </w:p>
    <w:p>
      <w:pPr>
        <w:spacing w:after="0" w:line="156" w:lineRule="exact"/>
        <w:rPr>
          <w:sz w:val="20"/>
          <w:szCs w:val="20"/>
          <w:color w:val="auto"/>
        </w:rPr>
      </w:pPr>
    </w:p>
    <w:p>
      <w:pPr>
        <w:ind w:left="1240" w:hanging="629"/>
        <w:spacing w:after="0"/>
        <w:tabs>
          <w:tab w:leader="none" w:pos="1240" w:val="left"/>
        </w:tabs>
        <w:numPr>
          <w:ilvl w:val="0"/>
          <w:numId w:val="210"/>
        </w:numPr>
        <w:rPr>
          <w:rFonts w:ascii="Arial" w:cs="Arial" w:eastAsia="Arial" w:hAnsi="Arial"/>
          <w:sz w:val="19"/>
          <w:szCs w:val="19"/>
          <w:b w:val="1"/>
          <w:bCs w:val="1"/>
          <w:color w:val="auto"/>
        </w:rPr>
      </w:pPr>
      <w:r>
        <w:rPr>
          <w:rFonts w:ascii="Arial" w:cs="Arial" w:eastAsia="Arial" w:hAnsi="Arial"/>
          <w:sz w:val="19"/>
          <w:szCs w:val="19"/>
          <w:b w:val="1"/>
          <w:bCs w:val="1"/>
          <w:color w:val="auto"/>
        </w:rPr>
        <w:t>Appointment of Collateral Agent.</w:t>
      </w:r>
    </w:p>
    <w:p>
      <w:pPr>
        <w:spacing w:after="0" w:line="162" w:lineRule="exact"/>
        <w:rPr>
          <w:rFonts w:ascii="Arial" w:cs="Arial" w:eastAsia="Arial" w:hAnsi="Arial"/>
          <w:sz w:val="19"/>
          <w:szCs w:val="19"/>
          <w:b w:val="1"/>
          <w:bCs w:val="1"/>
          <w:color w:val="auto"/>
        </w:rPr>
      </w:pPr>
    </w:p>
    <w:p>
      <w:pPr>
        <w:jc w:val="both"/>
        <w:ind w:firstLine="1219"/>
        <w:spacing w:after="0"/>
        <w:tabs>
          <w:tab w:leader="none" w:pos="1852" w:val="left"/>
        </w:tabs>
        <w:numPr>
          <w:ilvl w:val="1"/>
          <w:numId w:val="210"/>
        </w:numPr>
        <w:rPr>
          <w:rFonts w:ascii="Arial" w:cs="Arial" w:eastAsia="Arial" w:hAnsi="Arial"/>
          <w:sz w:val="17"/>
          <w:szCs w:val="17"/>
          <w:color w:val="auto"/>
        </w:rPr>
      </w:pPr>
      <w:r>
        <w:rPr>
          <w:rFonts w:ascii="Arial" w:cs="Arial" w:eastAsia="Arial" w:hAnsi="Arial"/>
          <w:sz w:val="17"/>
          <w:szCs w:val="17"/>
          <w:color w:val="auto"/>
        </w:rPr>
        <w:t>Each Lender hereby appoints SLR (together with any successor Collateral Agent pursuant to Section 7 of this Exhibit B) as Collateral Agent under the Loan Documents and authorizes Collateral Agent to (i) execute and deliver the Loan Documents and accept delivery thereof on its behalf from Borrower, (ii) take such action on its behalf and to exercise all rights, powers and remedies and perform the duties as are expressly delegated to Collateral Agent under such Loan Documents and (iii) exercise such powers as are reasonably incidental thereto.</w:t>
      </w:r>
    </w:p>
    <w:p>
      <w:pPr>
        <w:spacing w:after="0" w:line="122" w:lineRule="exact"/>
        <w:rPr>
          <w:rFonts w:ascii="Arial" w:cs="Arial" w:eastAsia="Arial" w:hAnsi="Arial"/>
          <w:sz w:val="17"/>
          <w:szCs w:val="17"/>
          <w:color w:val="auto"/>
        </w:rPr>
      </w:pPr>
    </w:p>
    <w:p>
      <w:pPr>
        <w:jc w:val="both"/>
        <w:ind w:firstLine="1219"/>
        <w:spacing w:after="0" w:line="225" w:lineRule="auto"/>
        <w:tabs>
          <w:tab w:leader="none" w:pos="1849" w:val="left"/>
        </w:tabs>
        <w:numPr>
          <w:ilvl w:val="1"/>
          <w:numId w:val="210"/>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clause (a) above, Collateral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other bankruptcy, insolvency or similar proceeding), and each Person making any payment in connection with any Loan Document to any Lender is hereby authorized to make such payment to Collateral Agent, (ii) file and prove claims and file other documents necessary or desirable to allow the claims of Collateral Agent and Lenders with respect to any Obligation in any bankruptcy, insolvency or similar proceeding (but not to vote, consent or otherwise act on behalf of such Lender), (iii) act as collateral agent for the Secured Parties for purposes of the perfection of all Liens created by the Loan Documents and all other purposes stated therein, (iv) manage, supervise and otherwise deal with the Collateral as permitted pursuant to the Loan Agreement, (v) take such other action as is necessary or desirable to maintain the perfection and priority of the Liens created or purported to be created by the Loan Documents, (vi) except as may be otherwise specified in any Loan Document, exercise all remedies given to Collateral Agent and the other Lenders with respect to the Borrower and/or the Collateral, whether under the Loan Documents, applicable Requirements of Law or otherwise and (vii) execute any amendment, consent or waiver under the Loan Documents on behalf of any Lender that has consented in writing to such amendment, consent or waiver;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Collateral Agent hereby appoints, authorizes and directs each Lender to act as collateral sub-agent for Collateral Agent and the Lenders for purposes of the perfection of all Liens with respect to the Collateral, including any Deposit Account maintained by Borrower or any Guarantor with, and cash and Cash Equivalents held by, such Lender, and may further authorize and direct the Lenders to take further actions as collateral sub-agents for purposes of enforcing such Liens or otherwise to transfer the Collateral subject thereto to Collateral Agent, and each Lender hereby agrees to take such further actions to the extent, and only to the extent, so authorized and directed. Collateral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Lender). Any such Person shall benefit from this Exhibit B to the extent provided by Collateral Agent.</w:t>
      </w:r>
    </w:p>
    <w:p>
      <w:pPr>
        <w:spacing w:after="0" w:line="146" w:lineRule="exact"/>
        <w:rPr>
          <w:rFonts w:ascii="Arial" w:cs="Arial" w:eastAsia="Arial" w:hAnsi="Arial"/>
          <w:sz w:val="17"/>
          <w:szCs w:val="17"/>
          <w:color w:val="auto"/>
        </w:rPr>
      </w:pPr>
    </w:p>
    <w:p>
      <w:pPr>
        <w:jc w:val="both"/>
        <w:ind w:firstLine="1219"/>
        <w:spacing w:after="0" w:line="230" w:lineRule="auto"/>
        <w:tabs>
          <w:tab w:leader="none" w:pos="1852" w:val="left"/>
        </w:tabs>
        <w:numPr>
          <w:ilvl w:val="1"/>
          <w:numId w:val="210"/>
        </w:numPr>
        <w:rPr>
          <w:rFonts w:ascii="Arial" w:cs="Arial" w:eastAsia="Arial" w:hAnsi="Arial"/>
          <w:sz w:val="17"/>
          <w:szCs w:val="17"/>
          <w:color w:val="auto"/>
        </w:rPr>
      </w:pPr>
      <w:r>
        <w:rPr>
          <w:rFonts w:ascii="Arial" w:cs="Arial" w:eastAsia="Arial" w:hAnsi="Arial"/>
          <w:sz w:val="17"/>
          <w:szCs w:val="17"/>
          <w:color w:val="auto"/>
        </w:rPr>
        <w:t>Under the Loan Documents, and except as expressly set forth in this Exhibit B, Collateral Agent (i) is acting solely on behalf of the Lenders, with duties that are entirely administrative in nature, notwithstanding the use of the defined term “Collateral Agent”, the terms “agent”, “Collateral Agent” and “collateral agent” and similar terms in any Loan Document to refer to Collateral Agent, which terms are used for title purposes only, (ii) is not assuming any obligation under any Loan Document other than as expressly set forth therein or any role as agent, fiduciary or trustee of or for any Lender or any other Person and (iii) shall have no implied functions, responsibilities, duties, obligations or other liabilities under any Loan Document, and each Lender, by accepting the benefits of the Loan Documents, hereby waives and agrees not to assert any claim against Collateral Agent based on the roles, duties and legal relationships expressly disclaimed in clauses (i) through (iii) above. Except as expressly set forth in the Loan Documents, Collateral Agent shall not have any duty to disclose, and shall not be liable for failure to disclose, any information relating to Borrower or any of its Subsidiaries that is communicated to or obtained by SLR or any of its Affiliates in any capacity.</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99" w:lineRule="exact"/>
        <w:rPr>
          <w:sz w:val="20"/>
          <w:szCs w:val="20"/>
          <w:color w:val="auto"/>
        </w:rPr>
      </w:pPr>
    </w:p>
    <w:p>
      <w:pPr>
        <w:ind w:left="1240" w:hanging="629"/>
        <w:spacing w:after="0"/>
        <w:tabs>
          <w:tab w:leader="none" w:pos="1240" w:val="left"/>
        </w:tabs>
        <w:numPr>
          <w:ilvl w:val="0"/>
          <w:numId w:val="211"/>
        </w:numPr>
        <w:rPr>
          <w:rFonts w:ascii="Arial" w:cs="Arial" w:eastAsia="Arial" w:hAnsi="Arial"/>
          <w:sz w:val="19"/>
          <w:szCs w:val="19"/>
          <w:b w:val="1"/>
          <w:bCs w:val="1"/>
          <w:color w:val="auto"/>
        </w:rPr>
      </w:pPr>
      <w:r>
        <w:rPr>
          <w:rFonts w:ascii="Arial" w:cs="Arial" w:eastAsia="Arial" w:hAnsi="Arial"/>
          <w:sz w:val="19"/>
          <w:szCs w:val="19"/>
          <w:b w:val="1"/>
          <w:bCs w:val="1"/>
          <w:color w:val="auto"/>
        </w:rPr>
        <w:t>Binding Effect; Use of Discretion; E-Systems.</w:t>
      </w:r>
    </w:p>
    <w:p>
      <w:pPr>
        <w:spacing w:after="0" w:line="149" w:lineRule="exact"/>
        <w:rPr>
          <w:rFonts w:ascii="Arial" w:cs="Arial" w:eastAsia="Arial" w:hAnsi="Arial"/>
          <w:sz w:val="19"/>
          <w:szCs w:val="19"/>
          <w:b w:val="1"/>
          <w:bCs w:val="1"/>
          <w:color w:val="auto"/>
        </w:rPr>
      </w:pPr>
    </w:p>
    <w:p>
      <w:pPr>
        <w:jc w:val="both"/>
        <w:ind w:firstLine="1219"/>
        <w:spacing w:after="0" w:line="236" w:lineRule="auto"/>
        <w:tabs>
          <w:tab w:leader="none" w:pos="1849" w:val="left"/>
        </w:tabs>
        <w:numPr>
          <w:ilvl w:val="1"/>
          <w:numId w:val="211"/>
        </w:numPr>
        <w:rPr>
          <w:rFonts w:ascii="Arial" w:cs="Arial" w:eastAsia="Arial" w:hAnsi="Arial"/>
          <w:sz w:val="17"/>
          <w:szCs w:val="17"/>
          <w:b w:val="1"/>
          <w:bCs w:val="1"/>
          <w:color w:val="auto"/>
        </w:rPr>
      </w:pPr>
      <w:r>
        <w:rPr>
          <w:rFonts w:ascii="Arial" w:cs="Arial" w:eastAsia="Arial" w:hAnsi="Arial"/>
          <w:sz w:val="17"/>
          <w:szCs w:val="17"/>
          <w:color w:val="auto"/>
        </w:rPr>
        <w:t>Each Lender, by accepting the benefits of the Loan Documents, agrees that (i) any action taken by Collateral Agent or the Required Lenders (or, if expressly required in any Loan Document, a greater proportion of the Lenders) in accordance with the provisions of the Loan Documents, (ii) any action taken by Collateral Agent in reliance upon the instructions of the Required Lenders (or, where so required, such greater proportion) and (iii) the exercise by Collateral Agent or the Required Lenders (or, where so required, such greater proportion) of the powers set forth herein or therein, together with such other powers as are reasonably incidental thereto, shall be authorized and binding upon all of Lenders.</w:t>
      </w:r>
    </w:p>
    <w:p>
      <w:pPr>
        <w:spacing w:after="0" w:line="137" w:lineRule="exact"/>
        <w:rPr>
          <w:rFonts w:ascii="Arial" w:cs="Arial" w:eastAsia="Arial" w:hAnsi="Arial"/>
          <w:sz w:val="17"/>
          <w:szCs w:val="17"/>
          <w:b w:val="1"/>
          <w:bCs w:val="1"/>
          <w:color w:val="auto"/>
        </w:rPr>
      </w:pPr>
    </w:p>
    <w:p>
      <w:pPr>
        <w:jc w:val="both"/>
        <w:ind w:firstLine="1219"/>
        <w:spacing w:after="0" w:line="216" w:lineRule="auto"/>
        <w:tabs>
          <w:tab w:leader="none" w:pos="1860" w:val="left"/>
        </w:tabs>
        <w:numPr>
          <w:ilvl w:val="1"/>
          <w:numId w:val="211"/>
        </w:numPr>
        <w:rPr>
          <w:rFonts w:ascii="Arial" w:cs="Arial" w:eastAsia="Arial" w:hAnsi="Arial"/>
          <w:sz w:val="18"/>
          <w:szCs w:val="18"/>
          <w:b w:val="1"/>
          <w:bCs w:val="1"/>
          <w:color w:val="auto"/>
        </w:rPr>
      </w:pPr>
      <w:r>
        <w:rPr>
          <w:rFonts w:ascii="Arial" w:cs="Arial" w:eastAsia="Arial" w:hAnsi="Arial"/>
          <w:sz w:val="18"/>
          <w:szCs w:val="18"/>
          <w:color w:val="auto"/>
        </w:rPr>
        <w:t>If Collateral Agent shall request instructions from the Required Lenders or all affected Lenders with respect to any act or action (including failure to act) in connection with any Loan Document, then Collateral Agent shall be entitled to refrain from such act or taking such action unless and until Collateral Agent shall have received instructions from the Required Lenders or all affected Lenders, as the case may be, and Collateral Agent shall not incur liability to any Person by reason of so refraining. Collateral Agent shall be fully justified in failing or refusing to take any action under any Loan Document (i) if such action would, in the opinion of Collateral Agent, be contrary to any Requirement of Law or any Loan Document, (ii) if such action would, in the opinion of Collateral Agent, expose Collateral Agent to any potential liability under any Requirement of Law or (iii) if Collateral Agent shall not first be indemnified to its satisfaction against any and all liability and expense which may be incurred by it by reason of taking or continuing to take any such action. Without limiting the foregoing, no Lender shall have any right of action whatsoever against Collateral Agent as a result of Collateral Agent acting or refraining from acting under any Loan Document in accordance with the instructions of the Required Lenders or all affected Lenders, as applicable.</w:t>
      </w:r>
    </w:p>
    <w:p>
      <w:pPr>
        <w:spacing w:after="0" w:line="139" w:lineRule="exact"/>
        <w:rPr>
          <w:rFonts w:ascii="Arial" w:cs="Arial" w:eastAsia="Arial" w:hAnsi="Arial"/>
          <w:sz w:val="18"/>
          <w:szCs w:val="18"/>
          <w:b w:val="1"/>
          <w:bCs w:val="1"/>
          <w:color w:val="auto"/>
        </w:rPr>
      </w:pPr>
    </w:p>
    <w:p>
      <w:pPr>
        <w:jc w:val="both"/>
        <w:ind w:firstLine="1219"/>
        <w:spacing w:after="0" w:line="223" w:lineRule="auto"/>
        <w:tabs>
          <w:tab w:leader="none" w:pos="1852" w:val="left"/>
        </w:tabs>
        <w:numPr>
          <w:ilvl w:val="1"/>
          <w:numId w:val="211"/>
        </w:numPr>
        <w:rPr>
          <w:rFonts w:ascii="Arial" w:cs="Arial" w:eastAsia="Arial" w:hAnsi="Arial"/>
          <w:sz w:val="17"/>
          <w:szCs w:val="17"/>
          <w:b w:val="1"/>
          <w:bCs w:val="1"/>
          <w:color w:val="auto"/>
        </w:rPr>
      </w:pPr>
      <w:r>
        <w:rPr>
          <w:rFonts w:ascii="Arial" w:cs="Arial" w:eastAsia="Arial" w:hAnsi="Arial"/>
          <w:sz w:val="17"/>
          <w:szCs w:val="17"/>
          <w:color w:val="auto"/>
        </w:rPr>
        <w:t>Collateral Agent is hereby authorized by Borrower and each Lender to establish procedures (and to amend such procedures from time to time) to facilitate administration and servicing of the Term Loans and other matters incidental thereto. Without limiting the generality of the foregoing, Collateral Agent is hereby authorized to establish procedures to make available or deliver, or to accept, notices, documents (including, without limitation, borrowing base certificates) and similar items on, by posting to or submitting and/or completion, on E-Systems. Borrower and each Lender acknowledges and agrees that the use of transmissions via an E-System or electronic mail is not necessarily secure and that there are risks associated with such use, including risks of interception, disclosure and abuse, and Borrower and each Lender assumes and accepts such risks by hereby authorizing the transmission via E-Systems or electronic mail. Each “e-signature” on any such posting shall be deemed sufficient to satisfy any requirement for a “signature”, and each such posting shall be deemed sufficient to satisfy any requirement for a “writing”, in each case including pursuant to any Loan Document, any applicable provision of any Code, the federal Uniform Electronic Transactions Act, the Electronic Signatures in Global and National Commerce Act and any substantive or procedural Requirement of Law governing such subject matter. All uses of an E-System shall be governed by and subject to, in addition to this Section, the separate terms, conditions and privacy policy posted or referenced in such E-System (or such terms, conditions and privacy policy as may be updated from time to time, including on such E-System) and related contractual obligations executed by Collateral Agent, Borrower and/or Lenders in connection with the use of such E-System. ALL E-</w:t>
      </w:r>
    </w:p>
    <w:p>
      <w:pPr>
        <w:spacing w:after="0" w:line="6" w:lineRule="exact"/>
        <w:rPr>
          <w:rFonts w:ascii="Arial" w:cs="Arial" w:eastAsia="Arial" w:hAnsi="Arial"/>
          <w:sz w:val="17"/>
          <w:szCs w:val="17"/>
          <w:b w:val="1"/>
          <w:bCs w:val="1"/>
          <w:color w:val="auto"/>
        </w:rPr>
      </w:pPr>
    </w:p>
    <w:p>
      <w:pPr>
        <w:jc w:val="both"/>
        <w:spacing w:after="0" w:line="214" w:lineRule="auto"/>
        <w:rPr>
          <w:rFonts w:ascii="Arial" w:cs="Arial" w:eastAsia="Arial" w:hAnsi="Arial"/>
          <w:sz w:val="17"/>
          <w:szCs w:val="17"/>
          <w:b w:val="1"/>
          <w:bCs w:val="1"/>
          <w:color w:val="auto"/>
        </w:rPr>
      </w:pPr>
      <w:r>
        <w:rPr>
          <w:rFonts w:ascii="Arial" w:cs="Arial" w:eastAsia="Arial" w:hAnsi="Arial"/>
          <w:sz w:val="19"/>
          <w:szCs w:val="19"/>
          <w:color w:val="auto"/>
        </w:rPr>
        <w:t>SYSTEMS AND ELECTRONIC TRANSMISSIONS SHALL BE PROVIDED “AS IS” AND “AS AVAILABLE”. NO REPRESENTATION OR WARRANTY OF ANY KIND IS MADE BY AGENT, ANY LENDER OR ANY OF THEIR RELATED PERSONS IN CONNECTION WITH ANY E-SYSTEMS.</w:t>
      </w:r>
    </w:p>
    <w:p>
      <w:pPr>
        <w:spacing w:after="0" w:line="117" w:lineRule="exact"/>
        <w:rPr>
          <w:rFonts w:ascii="Arial" w:cs="Arial" w:eastAsia="Arial" w:hAnsi="Arial"/>
          <w:sz w:val="17"/>
          <w:szCs w:val="17"/>
          <w:b w:val="1"/>
          <w:bCs w:val="1"/>
          <w:color w:val="auto"/>
        </w:rPr>
      </w:pPr>
    </w:p>
    <w:p>
      <w:pPr>
        <w:jc w:val="both"/>
        <w:ind w:firstLine="611"/>
        <w:spacing w:after="0" w:line="207" w:lineRule="auto"/>
        <w:tabs>
          <w:tab w:leader="none" w:pos="1228" w:val="left"/>
        </w:tabs>
        <w:numPr>
          <w:ilvl w:val="0"/>
          <w:numId w:val="2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Collateral Agent’s Reliance, Etc. </w:t>
      </w:r>
      <w:r>
        <w:rPr>
          <w:rFonts w:ascii="Arial" w:cs="Arial" w:eastAsia="Arial" w:hAnsi="Arial"/>
          <w:sz w:val="19"/>
          <w:szCs w:val="19"/>
          <w:color w:val="auto"/>
        </w:rPr>
        <w:t>Collateral Agent may, without incurring any liability hereunder, (a) consult with any of its</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Persons and, whether or not selected by it, any other advisors, accountants and other experts (including advisors to, and accountants and experts engaged by, Borrower) and (b) rely and act upon any document and information (including those transmitted by electronic transmission) and any telephone message or conversation, in each case believed by it in good faith to be genuine and transmitted, signed or otherwise authenticated by the appropriate parties. None of Collateral Agent and its Related Persons shall be liable for any action taken or omitted to be taken by any of them under or in connection with any Loan Document, and each Lender and Borrower hereby waives and shall not assert (and Borrower shall cause its Subsidiaries to waive and agree not to assert) any right, claim or cause of action based thereon, except to the extent of liabilities resulting from the gross</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 xml:space="preserve">negligence or willful misconduct of Collateral Agent or, as the case may be, such Related Person (each as determined in a final, non-appealable judgment of a court of competent jurisdiction) in connection with the duties of Collateral Agent expressly set forth herein. Without limiting the foregoing, Collateral Agent: (i) shall not be responsible or otherwise incur liability for any action or omission taken in reliance upon the instructions of the Required Lenders or for the actions or omissions of any of its Related Persons, except to the extent that a court of competent jurisdiction determines in a final non-appealable judgment that Collateral Agent acted with gross negligence or willful misconduct in the selection of such Related Person; (ii) shall not be responsible to any Lender or other Person for the due execution, legality, validity, enforceability, effectiveness, genuineness, sufficiency or value of, or the attachment, perfection or priority of any Lien created or purported to be created under or in connection with, any Loan Document; (iii) makes no warranty or representation, and shall not be responsible, to any Lender or other Person for any statement, document, information, representation or warranty made or furnished by or on behalf of Borrower or any Related Person of Borrower in connection with any Loan Document or any transaction contemplated therein or any other document or information with respect to Borrower, whether or not transmitted or (except for documents expressly required under any Loan Document to be transmitted to the Lenders) omitted to be transmitted by Collateral Agent, including as to completeness, accuracy, scope or adequacy thereof, or for the scope, nature or results of any due diligence performed by Collateral Agent in connection with the Loan Documents; and (iv) shall not have any duty to ascertain or to inquire as to the performance or observance of any provision of any Loan Document, whether any condition set forth in any Loan Document is satisfied or waived, as to the financial condition of Borrower or as to the existence or continuation or possible occurrence or continuation of any Event of Default, and shall not be deemed to have notice or knowledge of such occurrence or continuation unless it has received a notice from Borrower or any Lender describing such Event of Default that is clearly labelled “notice of default” (in which case Collateral Agent shall promptly give notice of such receipt to all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Collateral Agent shall not be liable to any Lender for any failure to do so, except to the extent that such failure is attributable to Collateral Agent’s gross negligence or willful misconduct as determined by a final non-appealable judgment of a court of competent jurisdiction); and, for each of the items set forth in clauses (i) through (iv) above, each Lender and Borrower hereby waives and agrees not to assert (and Borrower shall cause its Subsidiaries to waive and agree not to assert) any right, claim or cause of action it might have against Collateral Agent based thereon.</w:t>
      </w:r>
    </w:p>
    <w:p>
      <w:pPr>
        <w:spacing w:after="0" w:line="118" w:lineRule="exact"/>
        <w:rPr>
          <w:sz w:val="20"/>
          <w:szCs w:val="20"/>
          <w:color w:val="auto"/>
        </w:rPr>
      </w:pPr>
    </w:p>
    <w:p>
      <w:pPr>
        <w:jc w:val="both"/>
        <w:ind w:firstLine="611"/>
        <w:spacing w:after="0" w:line="209" w:lineRule="auto"/>
        <w:tabs>
          <w:tab w:leader="none" w:pos="1228" w:val="left"/>
        </w:tabs>
        <w:numPr>
          <w:ilvl w:val="0"/>
          <w:numId w:val="2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Collateral Agent Individually. </w:t>
      </w:r>
      <w:r>
        <w:rPr>
          <w:rFonts w:ascii="Arial" w:cs="Arial" w:eastAsia="Arial" w:hAnsi="Arial"/>
          <w:sz w:val="19"/>
          <w:szCs w:val="19"/>
          <w:color w:val="auto"/>
        </w:rPr>
        <w:t>Collateral Agent and its Affiliates may make loans and other extensions of credit to, acquire stock</w:t>
      </w:r>
      <w:r>
        <w:rPr>
          <w:rFonts w:ascii="Arial" w:cs="Arial" w:eastAsia="Arial" w:hAnsi="Arial"/>
          <w:sz w:val="19"/>
          <w:szCs w:val="19"/>
          <w:b w:val="1"/>
          <w:bCs w:val="1"/>
          <w:color w:val="auto"/>
        </w:rPr>
        <w:t xml:space="preserve"> </w:t>
      </w:r>
      <w:r>
        <w:rPr>
          <w:rFonts w:ascii="Arial" w:cs="Arial" w:eastAsia="Arial" w:hAnsi="Arial"/>
          <w:sz w:val="19"/>
          <w:szCs w:val="19"/>
          <w:color w:val="auto"/>
        </w:rPr>
        <w:t>and stock equivalents of, engage in any kind of business with, Borrower or any Affiliate of Borrower as though it were not acting as Collateral Agent and may receive separate fees and other payments therefor. To the extent Collateral Agent or any of its Affiliates makes any Term Loans or otherwise becomes a Lender hereunder, it shall have and may exercise the same rights and powers hereunder and shall be subject to the same obligations and liabilities as any other Lender and the terms “Lender”, “Required Lender” and any similar terms shall, except where otherwise expressly provided in any Loan Document, include, without limitation, Collateral Agent or such Affiliate, as the case may be, in its individual capacity as Lender, or as one of the Required Lenders.</w:t>
      </w:r>
    </w:p>
    <w:p>
      <w:pPr>
        <w:spacing w:after="0" w:line="128" w:lineRule="exact"/>
        <w:rPr>
          <w:rFonts w:ascii="Arial" w:cs="Arial" w:eastAsia="Arial" w:hAnsi="Arial"/>
          <w:sz w:val="19"/>
          <w:szCs w:val="19"/>
          <w:b w:val="1"/>
          <w:bCs w:val="1"/>
          <w:color w:val="auto"/>
        </w:rPr>
      </w:pPr>
    </w:p>
    <w:p>
      <w:pPr>
        <w:jc w:val="both"/>
        <w:ind w:firstLine="611"/>
        <w:spacing w:after="0" w:line="228" w:lineRule="auto"/>
        <w:tabs>
          <w:tab w:leader="none" w:pos="1228"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Lender Credit Decision; Collateral Agent Report. </w:t>
      </w:r>
      <w:r>
        <w:rPr>
          <w:rFonts w:ascii="Arial" w:cs="Arial" w:eastAsia="Arial" w:hAnsi="Arial"/>
          <w:sz w:val="17"/>
          <w:szCs w:val="17"/>
          <w:color w:val="auto"/>
        </w:rPr>
        <w:t>Each Lender acknowledges that it shall, independently and without reliance</w:t>
      </w:r>
      <w:r>
        <w:rPr>
          <w:rFonts w:ascii="Arial" w:cs="Arial" w:eastAsia="Arial" w:hAnsi="Arial"/>
          <w:sz w:val="17"/>
          <w:szCs w:val="17"/>
          <w:b w:val="1"/>
          <w:bCs w:val="1"/>
          <w:color w:val="auto"/>
        </w:rPr>
        <w:t xml:space="preserve"> </w:t>
      </w:r>
      <w:r>
        <w:rPr>
          <w:rFonts w:ascii="Arial" w:cs="Arial" w:eastAsia="Arial" w:hAnsi="Arial"/>
          <w:sz w:val="17"/>
          <w:szCs w:val="17"/>
          <w:color w:val="auto"/>
        </w:rPr>
        <w:t>upon Collateral Agent, any Lender or any of their Related Persons or upon any document solely or in part because such document was transmitted by Collateral Agent or any of its Related Persons, conduct its own independent investigation of the financial condition and affairs of Borrower and make and continue to make its own credit decisions in connection with entering into, and taking or not taking any action under, any Loan Document or with respect to any transaction contemplated in any Loan Document, in each case based on such documents and information as it shall deem appropriate. Except for documents expressly required by any Loan Document to be transmitted by Collateral Agent to the Lenders, Collateral Agent shall not have any duty or responsibility to provide any Lender with any credit or other information concerning the business, prospects, operations, Property, financial and other condition or creditworthiness of Borrower or any Affiliate of Borrower that may come in to the possession of Collateral Agent or any of its Related Persons. Each Lender agrees that is shall not rely on any field examination, audit or other report provided by Collateral Agent or its Related Persons (an “</w:t>
      </w:r>
      <w:r>
        <w:rPr>
          <w:rFonts w:ascii="Arial" w:cs="Arial" w:eastAsia="Arial" w:hAnsi="Arial"/>
          <w:sz w:val="17"/>
          <w:szCs w:val="17"/>
          <w:b w:val="1"/>
          <w:bCs w:val="1"/>
          <w:color w:val="auto"/>
        </w:rPr>
        <w:t>Collateral Agent Report</w:t>
      </w:r>
      <w:r>
        <w:rPr>
          <w:rFonts w:ascii="Arial" w:cs="Arial" w:eastAsia="Arial" w:hAnsi="Arial"/>
          <w:sz w:val="17"/>
          <w:szCs w:val="17"/>
          <w:color w:val="auto"/>
        </w:rPr>
        <w:t>”). Each Lender further acknowledges that any Collateral Agent Report (a) is provided to the Lenders solely as a courtesy, without consideration, and based upon the understanding that such Lender will not rely on such Collateral Agent Report, (b) was prepared by Collateral Agent or its Related Persons based upon information provided by Borrower solely for Collateral Agent’s own internal use, and (c) may not be complete and may not reflect all information and</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05"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findings obtained by Collateral Agent or its Related Persons regarding the operations and condition of Borrower. Neither Collateral Agent nor any of its Related Persons makes any representations or warranties of any kind with respect to (i) any existing or proposed financing, (ii) the accuracy or completeness of the information contained in any Collateral Agent Report or in any related documentation, (iii) the scope or adequacy of Collateral Agent’s and its Related Persons’ due diligence, or the presence or absence of any errors or omissions contained in any Collateral Agent Report or in any related documentation, and (iv) any work performed by Collateral Agent or Collateral Agent’s Related Persons in connection with or using any Collateral Agent Report or any related documentation. Neither Collateral Agent nor any of its Related Persons shall have any duties or obligations in connection with or as a result of any Lender receiving a copy of any Collateral Agent Report. Without limiting the generality of the forgoing, neither Collateral Agent nor any of its Related Persons shall have any responsibility for the accuracy or completeness of any Collateral Agent Report, or the appropriateness of any Collateral Agent Report for any Lender’s purposes, and shall have no duty or responsibility to correct or update any Collateral Agent Report or disclose to any Lender any other information not embodied in any Collateral Agent Report, including any supplemental information obtained after the date of any Collateral Agent Report. Each Lender releases, and agrees that it will not assert, any claim against Collateral Agent or its Related Persons that in any way relates to any Collateral Agent Report or arises out of any Lender having access to any Collateral Agent Report or any discussion of its contents, and agrees to indemnify and hold harmless Collateral Agent and its Related Persons from all claims, liabilities and expenses relating to a breach by any Lender arising out of such Lender’s access to any Collateral Agent Report or any discussion of its contents.</w:t>
      </w:r>
    </w:p>
    <w:p>
      <w:pPr>
        <w:spacing w:after="0" w:line="120" w:lineRule="exact"/>
        <w:rPr>
          <w:sz w:val="20"/>
          <w:szCs w:val="20"/>
          <w:color w:val="auto"/>
        </w:rPr>
      </w:pPr>
    </w:p>
    <w:p>
      <w:pPr>
        <w:jc w:val="both"/>
        <w:ind w:firstLine="611"/>
        <w:spacing w:after="0" w:line="225" w:lineRule="auto"/>
        <w:tabs>
          <w:tab w:leader="none" w:pos="1228"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Indemnification. </w:t>
      </w:r>
      <w:r>
        <w:rPr>
          <w:rFonts w:ascii="Arial" w:cs="Arial" w:eastAsia="Arial" w:hAnsi="Arial"/>
          <w:sz w:val="17"/>
          <w:szCs w:val="17"/>
          <w:color w:val="auto"/>
        </w:rPr>
        <w:t>Each Lender agrees to reimburse Collateral Agent and each of its Related Persons (to the extent not reimbursed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Borrower as required under the Loan Documents (including pursuant to Section 12.2 of the Agreement)) promptly upon demand for its Pro Rata Share of any out-of-pocket costs and expenses (including, without limitation, fees, charges and disbursements of financial, legal and other advisors and any Taxes or insurance paid in the name of, or on behalf of, Borrower) incurred by Collateral Agent or any of its Related Persons in connection with the preparation, syndication, execution, delivery, administration, modification, amendment, consent, waiver or enforcement of, or the taking of any other action (whether through negotiations, through any work-out, bankruptcy, restructuring or other legal or other proceeding (including, without limitation, preparation for and/or response to any subpoena or request for document production relating thereto) or otherwise) in respect of, or legal advice with respect to, its rights or responsibilities under, any Loan Document. Each Lender further agrees to indemnify Collateral Agent and each of its Related Persons (to the extent not reimbursed by Borrower as required under the Loan Documents (including pursuant to Section 12.2 of the Agreement)), ratably according to its Pro Rata Share, from and against any and all liabilities, obligations, losses, damages, penalties, actions, judgments, suits, costs, expenses or disbursements of any kind or nature whatsoever (including, to the extent not indemnified by the applicable Lender, Taxes, interests and penalties imposed for not properly withholding or backup withholding on payments made to or for the account of any Lender) that may be imposed on, incurred by, or asserted against Collateral Agent or any of its Related Persons in any matter relating to or arising out of, in connection with or as a result of any Loan Document or any other act, event or transaction related, contemplated in or attendant to any such document, or, in each case, any action taken or omitted to be taken by Collateral Agent or any of its Related Persons under or with respect to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liable to Collateral Agent or any of its Related Persons under this Section 6 of this Exhibit B to the extent such liability has resulted from the gross negligence or willful misconduct of Collateral Agent or, as the case may be, such Related Person, as determined by a final non-appealable judgment of a court of competent jurisdiction. To the extent required by any applicable Requirement of Law, Collateral Agent may withhold from any payment to any Lender under a Loan Document an amount equal to any applicable withholding Tax. If the IRS or any other Governmental Authority asserts a claim that Collateral Agent did not properly withhold Tax from amounts paid to or for the account of any Lender for any reason, or if Collateral Agent reasonably determines that it was required to withhold Taxes from a prior payment to or for the account of any Lender but failed to do so, such Lender shall promptly indemnify Collateral Agent fully for all amounts paid, directly or indirectly, by Collateral Agent as Tax or otherwise, including penalties and interest, and together with all expenses incurred by Collateral Agent. Collateral Agent may offset against any payment to any Lender under a Loan Document, any applicable withholding Tax that was required to be withheld from any prior payment to such Lender but which was not so withheld, as well as any other amounts for which Collateral Agent is entitled to indemnification from such Lender under the immediately preceding sentence of this Section 6 of this Exhibit B.</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99" w:lineRule="exact"/>
        <w:rPr>
          <w:sz w:val="20"/>
          <w:szCs w:val="20"/>
          <w:color w:val="auto"/>
        </w:rPr>
      </w:pPr>
    </w:p>
    <w:p>
      <w:pPr>
        <w:jc w:val="both"/>
        <w:ind w:left="-611" w:firstLine="611"/>
        <w:spacing w:after="0" w:line="227" w:lineRule="auto"/>
        <w:tabs>
          <w:tab w:leader="none" w:pos="617" w:val="left"/>
        </w:tabs>
        <w:numPr>
          <w:ilvl w:val="0"/>
          <w:numId w:val="2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Successor Collateral Agent. </w:t>
      </w:r>
      <w:r>
        <w:rPr>
          <w:rFonts w:ascii="Arial" w:cs="Arial" w:eastAsia="Arial" w:hAnsi="Arial"/>
          <w:sz w:val="17"/>
          <w:szCs w:val="17"/>
          <w:color w:val="auto"/>
        </w:rPr>
        <w:t>Collateral Agent may resign at any time by delivering notice of such resignation to the Lenders and</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effective on the date set forth in such notice or, if no such date is set forth therein, upon the date such notice shall be effective, in accordance with the terms of this Section 7 of this Exhibit B. If Collateral Agent delivers any such notice, the Required Lenders shall have the right to appoint a successor Collateral Agent. If, after thirty (30) days after the date of the retiring Collateral Agent’s notice of resignation, no successor Collateral Agent has been appointed by the Required Lenders and has accepted such appointment, then the retiring Collateral Agent may, on behalf of the Lenders, appoint a successor Collateral Agent from among the Lenders. Effective immediately upon its resignation, (a) the retiring Collateral Agent shall be discharged from its duties and obligations under the Loan Documents, (b) the Lenders shall assume and perform all of the duties of Collateral Agent until a successor Collateral Agent shall have accepted a valid appointment hereunder, (c) the retiring Collateral Agent and its Related Persons shall no longer have the benefit of any provision of any Loan Document other than with respect to any actions taken or omitted to be taken while such retiring Collateral Agent was, or because such Collateral Agent had been, validly acting as Collateral Agent under the Loan Documents, and (iv) subject to its rights under Section 2(b) of this Exhibit B, the retiring Collateral Agent shall take such action as may be reasonably necessary to assign to the successor Collateral Agent its rights as Collateral Agent under the Loan Documents. Effective immediately upon its acceptance of a valid appointment as Collateral Agent, a successor Collateral Agent shall succeed to, and become vested with, all the rights, powers, privileges and duties of the retiring Collateral Agent under the Loan Documents.</w:t>
      </w:r>
    </w:p>
    <w:p>
      <w:pPr>
        <w:spacing w:after="0" w:line="125" w:lineRule="exact"/>
        <w:rPr>
          <w:rFonts w:ascii="Arial" w:cs="Arial" w:eastAsia="Arial" w:hAnsi="Arial"/>
          <w:sz w:val="17"/>
          <w:szCs w:val="17"/>
          <w:b w:val="1"/>
          <w:bCs w:val="1"/>
          <w:color w:val="auto"/>
        </w:rPr>
      </w:pPr>
    </w:p>
    <w:p>
      <w:pPr>
        <w:ind w:left="-611" w:firstLine="611"/>
        <w:spacing w:after="0" w:line="234" w:lineRule="auto"/>
        <w:tabs>
          <w:tab w:leader="none" w:pos="617" w:val="left"/>
        </w:tabs>
        <w:numPr>
          <w:ilvl w:val="0"/>
          <w:numId w:val="2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Release of Collateral. </w:t>
      </w:r>
      <w:r>
        <w:rPr>
          <w:rFonts w:ascii="Arial" w:cs="Arial" w:eastAsia="Arial" w:hAnsi="Arial"/>
          <w:sz w:val="19"/>
          <w:szCs w:val="19"/>
          <w:color w:val="auto"/>
        </w:rPr>
        <w:t>Each Lender hereby consents to the release and hereby directs Collateral Agent to release (or in the case of</w:t>
      </w:r>
      <w:r>
        <w:rPr>
          <w:rFonts w:ascii="Arial" w:cs="Arial" w:eastAsia="Arial" w:hAnsi="Arial"/>
          <w:sz w:val="19"/>
          <w:szCs w:val="19"/>
          <w:b w:val="1"/>
          <w:bCs w:val="1"/>
          <w:color w:val="auto"/>
        </w:rPr>
        <w:t xml:space="preserve"> </w:t>
      </w:r>
      <w:r>
        <w:rPr>
          <w:rFonts w:ascii="Arial" w:cs="Arial" w:eastAsia="Arial" w:hAnsi="Arial"/>
          <w:sz w:val="19"/>
          <w:szCs w:val="19"/>
          <w:color w:val="auto"/>
        </w:rPr>
        <w:t>clause (b)(ii) below, release or subordinate) the following:</w:t>
      </w:r>
    </w:p>
    <w:p>
      <w:pPr>
        <w:spacing w:after="0" w:line="135" w:lineRule="exact"/>
        <w:rPr>
          <w:rFonts w:ascii="Arial" w:cs="Arial" w:eastAsia="Arial" w:hAnsi="Arial"/>
          <w:sz w:val="19"/>
          <w:szCs w:val="19"/>
          <w:b w:val="1"/>
          <w:bCs w:val="1"/>
          <w:color w:val="auto"/>
        </w:rPr>
      </w:pPr>
    </w:p>
    <w:p>
      <w:pPr>
        <w:jc w:val="both"/>
        <w:ind w:left="-611" w:firstLine="1219"/>
        <w:spacing w:after="0" w:line="220" w:lineRule="auto"/>
        <w:tabs>
          <w:tab w:leader="none" w:pos="1241" w:val="left"/>
        </w:tabs>
        <w:numPr>
          <w:ilvl w:val="1"/>
          <w:numId w:val="214"/>
        </w:numPr>
        <w:rPr>
          <w:rFonts w:ascii="Arial" w:cs="Arial" w:eastAsia="Arial" w:hAnsi="Arial"/>
          <w:sz w:val="19"/>
          <w:szCs w:val="19"/>
          <w:color w:val="auto"/>
        </w:rPr>
      </w:pPr>
      <w:r>
        <w:rPr>
          <w:rFonts w:ascii="Arial" w:cs="Arial" w:eastAsia="Arial" w:hAnsi="Arial"/>
          <w:sz w:val="19"/>
          <w:szCs w:val="19"/>
          <w:color w:val="auto"/>
        </w:rPr>
        <w:t>any Guarantor if all of the stock of such Subsidiary owned by Borrower is sold or transferred in a transaction permitted under the Loan Documents (including pursuant to a valid waiver or consent), to the extent that, after giving effect to such transaction, such Subsidiary would not be required to guaranty any Obligations pursuant to any Loan Document; and</w:t>
      </w:r>
    </w:p>
    <w:p>
      <w:pPr>
        <w:spacing w:after="0" w:line="135" w:lineRule="exact"/>
        <w:rPr>
          <w:rFonts w:ascii="Arial" w:cs="Arial" w:eastAsia="Arial" w:hAnsi="Arial"/>
          <w:sz w:val="19"/>
          <w:szCs w:val="19"/>
          <w:color w:val="auto"/>
        </w:rPr>
      </w:pPr>
    </w:p>
    <w:p>
      <w:pPr>
        <w:jc w:val="both"/>
        <w:ind w:left="-611" w:firstLine="1219"/>
        <w:spacing w:after="0" w:line="206" w:lineRule="auto"/>
        <w:tabs>
          <w:tab w:leader="none" w:pos="1238" w:val="left"/>
        </w:tabs>
        <w:numPr>
          <w:ilvl w:val="1"/>
          <w:numId w:val="214"/>
        </w:numPr>
        <w:rPr>
          <w:rFonts w:ascii="Arial" w:cs="Arial" w:eastAsia="Arial" w:hAnsi="Arial"/>
          <w:sz w:val="19"/>
          <w:szCs w:val="19"/>
          <w:color w:val="auto"/>
        </w:rPr>
      </w:pPr>
      <w:r>
        <w:rPr>
          <w:rFonts w:ascii="Arial" w:cs="Arial" w:eastAsia="Arial" w:hAnsi="Arial"/>
          <w:sz w:val="19"/>
          <w:szCs w:val="19"/>
          <w:color w:val="auto"/>
        </w:rPr>
        <w:t>any Lien held by Collateral Agent for the benefit of the Secured Parties against (i) any Collateral that is sold or otherwise disposed of by Borrower in a transaction permitted by the Loan Documents (including pursuant to a valid waiver or consent), (ii) any Collateral subject to a Lien that is expressly permitted under clause (c) of the definition of the term “Permitted Lien” and (iii) all of the Collateral and Borrower, upon (A) termination of all of the Commitments, (B) the payment in full in cash of all of the Obligations (other than (a)(i) inchoate indemnity obligations, and (ii) other obligations that, by their terms, survive termination of this Agreement, in each case, for which no claim has been made, and (b) all obligations under the Exit Fee Agreement), and (C) to the extent requested by Collateral Agent, receipt by Collateral Agent and Lenders of liability releases from Borrower in form and substance acceptable to Collateral Agent (the satisfaction of the conditions in this clause (iii), the “</w:t>
      </w:r>
      <w:r>
        <w:rPr>
          <w:rFonts w:ascii="Arial" w:cs="Arial" w:eastAsia="Arial" w:hAnsi="Arial"/>
          <w:sz w:val="19"/>
          <w:szCs w:val="19"/>
          <w:b w:val="1"/>
          <w:bCs w:val="1"/>
          <w:color w:val="auto"/>
        </w:rPr>
        <w:t>Termination Date</w:t>
      </w:r>
      <w:r>
        <w:rPr>
          <w:rFonts w:ascii="Arial" w:cs="Arial" w:eastAsia="Arial" w:hAnsi="Arial"/>
          <w:sz w:val="19"/>
          <w:szCs w:val="19"/>
          <w:color w:val="auto"/>
        </w:rPr>
        <w:t>”).</w:t>
      </w:r>
    </w:p>
    <w:p>
      <w:pPr>
        <w:spacing w:after="0" w:line="121" w:lineRule="exact"/>
        <w:rPr>
          <w:rFonts w:ascii="Arial" w:cs="Arial" w:eastAsia="Arial" w:hAnsi="Arial"/>
          <w:sz w:val="19"/>
          <w:szCs w:val="19"/>
          <w:color w:val="auto"/>
        </w:rPr>
      </w:pPr>
    </w:p>
    <w:p>
      <w:pPr>
        <w:jc w:val="both"/>
        <w:ind w:left="-611" w:firstLine="611"/>
        <w:spacing w:after="0" w:line="228" w:lineRule="auto"/>
        <w:tabs>
          <w:tab w:leader="none" w:pos="617" w:val="left"/>
        </w:tabs>
        <w:numPr>
          <w:ilvl w:val="0"/>
          <w:numId w:val="2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Setoff and Sharing of Payments. </w:t>
      </w:r>
      <w:r>
        <w:rPr>
          <w:rFonts w:ascii="Arial" w:cs="Arial" w:eastAsia="Arial" w:hAnsi="Arial"/>
          <w:sz w:val="17"/>
          <w:szCs w:val="17"/>
          <w:color w:val="auto"/>
        </w:rPr>
        <w:t>In addition to any rights now or hereafter granted under any applicable Requirement of Law and</w:t>
      </w:r>
      <w:r>
        <w:rPr>
          <w:rFonts w:ascii="Arial" w:cs="Arial" w:eastAsia="Arial" w:hAnsi="Arial"/>
          <w:sz w:val="17"/>
          <w:szCs w:val="17"/>
          <w:b w:val="1"/>
          <w:bCs w:val="1"/>
          <w:color w:val="auto"/>
        </w:rPr>
        <w:t xml:space="preserve"> </w:t>
      </w:r>
      <w:r>
        <w:rPr>
          <w:rFonts w:ascii="Arial" w:cs="Arial" w:eastAsia="Arial" w:hAnsi="Arial"/>
          <w:sz w:val="17"/>
          <w:szCs w:val="17"/>
          <w:color w:val="auto"/>
        </w:rPr>
        <w:t>not by way of limitation of any such rights, upon the occurrence and during the continuance of any Event of Default and subject to Section 10(d) of this Exhibit B, each Lender is hereby authorized at any time or from time to time upon the direction of Collateral Agent, without notice to Borrower or any other Person, any such notice being hereby expressly waived, to setoff and to appropriate and to apply any and all balances held by it at any of its offices for the account of Borrower (regardless of whether such balances are then due to Borrower) and any other properties or assets at any time held or owing by that Lender or that holder to or for the credit or for the account of Borrower against and on account of any of the Obligations that are not paid when due. Any Lender exercising a right of setoff or otherwise receiving any payment on account of the Obligations in excess of its Pro Rata Share thereof shall purchase for cash (and the other Lenders or holders shall sell) such participations in each such other Lender’s or holder’s Pro Rata Share of the Obligations as would be necessary to cause such Lender to share the amount so offset or otherwise received with each other Lender or holder in accordance with their respective Pro Rata Shares of the Obligations. Borrower agrees, to the fullest extent permitted by law, that (a) any Lender may exercise its right to offset with respect to amounts in excess of its Pro Rata Share of the Obligations and may purchase participations in accordance with the preceding sentence and (b) any Lender so purchasing a participation in the Term Loans made or other Obligations held by other Lenders or holders may exercise all rights of offset,</w:t>
      </w:r>
    </w:p>
    <w:p>
      <w:pPr>
        <w:sectPr>
          <w:pgSz w:w="11900" w:h="16838" w:orient="portrait"/>
          <w:cols w:equalWidth="0" w:num="1">
            <w:col w:w="10629"/>
          </w:cols>
          <w:pgMar w:left="931" w:top="1440" w:right="339" w:bottom="1440" w:gutter="0" w:footer="0" w:header="0"/>
        </w:sectPr>
      </w:pPr>
    </w:p>
    <w:bookmarkStart w:id="256" w:name="page257"/>
    <w:bookmarkEnd w:id="256"/>
    <w:p>
      <w:pPr>
        <w:spacing w:after="0" w:line="105"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bankers’ liens, counterclaims or similar rights with respect to such participation as fully as if such Lender or holder were a direct holder of the Term Loans and the other Obligations in the amount of such participation. Notwithstanding the foregoing, if all or any portion of the offset amount or payment otherwise received is thereafter recovered from the Lender that has exercised the right of offset, the purchase of participations by that Lender shall be rescinded and the purchase price restored without interest.</w:t>
      </w:r>
    </w:p>
    <w:p>
      <w:pPr>
        <w:spacing w:after="0" w:line="116" w:lineRule="exact"/>
        <w:rPr>
          <w:sz w:val="20"/>
          <w:szCs w:val="20"/>
          <w:color w:val="auto"/>
        </w:rPr>
      </w:pPr>
    </w:p>
    <w:p>
      <w:pPr>
        <w:ind w:left="1240" w:hanging="629"/>
        <w:spacing w:after="0"/>
        <w:tabs>
          <w:tab w:leader="none" w:pos="1240" w:val="left"/>
        </w:tabs>
        <w:numPr>
          <w:ilvl w:val="0"/>
          <w:numId w:val="215"/>
        </w:numPr>
        <w:rPr>
          <w:rFonts w:ascii="Arial" w:cs="Arial" w:eastAsia="Arial" w:hAnsi="Arial"/>
          <w:sz w:val="19"/>
          <w:szCs w:val="19"/>
          <w:b w:val="1"/>
          <w:bCs w:val="1"/>
          <w:color w:val="auto"/>
        </w:rPr>
      </w:pPr>
      <w:r>
        <w:rPr>
          <w:rFonts w:ascii="Arial" w:cs="Arial" w:eastAsia="Arial" w:hAnsi="Arial"/>
          <w:sz w:val="19"/>
          <w:szCs w:val="19"/>
          <w:b w:val="1"/>
          <w:bCs w:val="1"/>
          <w:color w:val="auto"/>
        </w:rPr>
        <w:t>Advances; Payments; Non-Funding Lenders; Actions in Concert</w:t>
      </w:r>
      <w:r>
        <w:rPr>
          <w:rFonts w:ascii="Arial" w:cs="Arial" w:eastAsia="Arial" w:hAnsi="Arial"/>
          <w:sz w:val="19"/>
          <w:szCs w:val="19"/>
          <w:color w:val="auto"/>
        </w:rPr>
        <w:t>.</w:t>
      </w:r>
    </w:p>
    <w:p>
      <w:pPr>
        <w:spacing w:after="0" w:line="162" w:lineRule="exact"/>
        <w:rPr>
          <w:rFonts w:ascii="Arial" w:cs="Arial" w:eastAsia="Arial" w:hAnsi="Arial"/>
          <w:sz w:val="19"/>
          <w:szCs w:val="19"/>
          <w:b w:val="1"/>
          <w:bCs w:val="1"/>
          <w:color w:val="auto"/>
        </w:rPr>
      </w:pPr>
    </w:p>
    <w:p>
      <w:pPr>
        <w:jc w:val="both"/>
        <w:ind w:firstLine="1219"/>
        <w:spacing w:after="0" w:line="211" w:lineRule="auto"/>
        <w:tabs>
          <w:tab w:leader="none" w:pos="1852" w:val="left"/>
        </w:tabs>
        <w:numPr>
          <w:ilvl w:val="1"/>
          <w:numId w:val="215"/>
        </w:numPr>
        <w:rPr>
          <w:rFonts w:ascii="Arial" w:cs="Arial" w:eastAsia="Arial" w:hAnsi="Arial"/>
          <w:sz w:val="19"/>
          <w:szCs w:val="19"/>
          <w:color w:val="auto"/>
        </w:rPr>
      </w:pPr>
      <w:r>
        <w:rPr>
          <w:rFonts w:ascii="Arial" w:cs="Arial" w:eastAsia="Arial" w:hAnsi="Arial"/>
          <w:sz w:val="19"/>
          <w:szCs w:val="19"/>
          <w:u w:val="single" w:color="auto"/>
          <w:color w:val="auto"/>
        </w:rPr>
        <w:t>Advances; Payments</w:t>
      </w:r>
      <w:r>
        <w:rPr>
          <w:rFonts w:ascii="Arial" w:cs="Arial" w:eastAsia="Arial" w:hAnsi="Arial"/>
          <w:sz w:val="19"/>
          <w:szCs w:val="19"/>
          <w:color w:val="auto"/>
        </w:rPr>
        <w:t>. If Collateral Agent receives any payment with respect to a Term Loan for the account of the Lenders on or prior to 2:00 p.m. (New York time) on any Business Day, Collateral Agent shall pay to each applicable Lender such Lender’s Pro Rata Share of such payment on such Business Day. If Collateral Agent receives any payment with respect to a Term Loan for the account of Lenders after 2:00 p.m. (New York time) on any Business Day, Collateral Agent shall pay to each applicable Lender such Lender’s Pro Rata Share of such payment on the next Business Day.</w:t>
      </w:r>
    </w:p>
    <w:p>
      <w:pPr>
        <w:spacing w:after="0" w:line="137" w:lineRule="exact"/>
        <w:rPr>
          <w:rFonts w:ascii="Arial" w:cs="Arial" w:eastAsia="Arial" w:hAnsi="Arial"/>
          <w:sz w:val="19"/>
          <w:szCs w:val="19"/>
          <w:color w:val="auto"/>
        </w:rPr>
      </w:pPr>
    </w:p>
    <w:p>
      <w:pPr>
        <w:ind w:left="1860" w:hanging="641"/>
        <w:spacing w:after="0"/>
        <w:tabs>
          <w:tab w:leader="none" w:pos="1860" w:val="left"/>
        </w:tabs>
        <w:numPr>
          <w:ilvl w:val="1"/>
          <w:numId w:val="215"/>
        </w:numPr>
        <w:rPr>
          <w:rFonts w:ascii="Arial" w:cs="Arial" w:eastAsia="Arial" w:hAnsi="Arial"/>
          <w:sz w:val="19"/>
          <w:szCs w:val="19"/>
          <w:color w:val="auto"/>
        </w:rPr>
      </w:pPr>
      <w:r>
        <w:rPr>
          <w:rFonts w:ascii="Arial" w:cs="Arial" w:eastAsia="Arial" w:hAnsi="Arial"/>
          <w:sz w:val="19"/>
          <w:szCs w:val="19"/>
          <w:u w:val="single" w:color="auto"/>
          <w:color w:val="auto"/>
        </w:rPr>
        <w:t>Return of Payments</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jc w:val="both"/>
        <w:ind w:firstLine="1852"/>
        <w:spacing w:after="0" w:line="227" w:lineRule="auto"/>
        <w:tabs>
          <w:tab w:leader="none" w:pos="2479" w:val="left"/>
        </w:tabs>
        <w:numPr>
          <w:ilvl w:val="2"/>
          <w:numId w:val="215"/>
        </w:numPr>
        <w:rPr>
          <w:rFonts w:ascii="Arial" w:cs="Arial" w:eastAsia="Arial" w:hAnsi="Arial"/>
          <w:sz w:val="18"/>
          <w:szCs w:val="18"/>
          <w:color w:val="auto"/>
        </w:rPr>
      </w:pPr>
      <w:r>
        <w:rPr>
          <w:rFonts w:ascii="Arial" w:cs="Arial" w:eastAsia="Arial" w:hAnsi="Arial"/>
          <w:sz w:val="18"/>
          <w:szCs w:val="18"/>
          <w:color w:val="auto"/>
        </w:rPr>
        <w:t>If Collateral Agent pays an amount to a Lender under this Agreement in the belief or expectation that a related payment has been or will be received by Collateral Agent or on behalf of from Borrower and such related payment is not received by Collateral Agent, then Collateral Agent will be entitled to recover such amount (including interest accruing on such amount at the rate otherwise applicable to such Obligation) from such Lender on demand without setoff, counterclaim or deduction of any kind.</w:t>
      </w:r>
    </w:p>
    <w:p>
      <w:pPr>
        <w:spacing w:after="0" w:line="134" w:lineRule="exact"/>
        <w:rPr>
          <w:rFonts w:ascii="Arial" w:cs="Arial" w:eastAsia="Arial" w:hAnsi="Arial"/>
          <w:sz w:val="18"/>
          <w:szCs w:val="18"/>
          <w:color w:val="auto"/>
        </w:rPr>
      </w:pPr>
    </w:p>
    <w:p>
      <w:pPr>
        <w:jc w:val="both"/>
        <w:ind w:firstLine="1852"/>
        <w:spacing w:after="0" w:line="208" w:lineRule="auto"/>
        <w:tabs>
          <w:tab w:leader="none" w:pos="2480" w:val="left"/>
        </w:tabs>
        <w:numPr>
          <w:ilvl w:val="2"/>
          <w:numId w:val="215"/>
        </w:numPr>
        <w:rPr>
          <w:rFonts w:ascii="Arial" w:cs="Arial" w:eastAsia="Arial" w:hAnsi="Arial"/>
          <w:sz w:val="19"/>
          <w:szCs w:val="19"/>
          <w:color w:val="auto"/>
        </w:rPr>
      </w:pPr>
      <w:r>
        <w:rPr>
          <w:rFonts w:ascii="Arial" w:cs="Arial" w:eastAsia="Arial" w:hAnsi="Arial"/>
          <w:sz w:val="19"/>
          <w:szCs w:val="19"/>
          <w:color w:val="auto"/>
        </w:rPr>
        <w:t>If Collateral Agent determines at any time that any amount received by Collateral Agent under any Loan Document must be returned to Borrower or paid to any other Person pursuant to any insolvency law or otherwise, then, notwithstanding any other term or condition of any Loan Document, Collateral Agent will not be required to distribute any portion thereof to any Lender. In addition, each Lender will repay to Collateral Agent on demand any portion of such amount that Collateral Agent has distributed to such Lender, together with interest at such rate, if any, as Collateral Agent is required to pay to Borrower or such other Person, without setoff, counterclaim or deduction of any kind and Collateral Agent will be entitled to set off against future distributions to such Lender any such amounts (with interest) that are not repaid on demand.</w:t>
      </w:r>
    </w:p>
    <w:p>
      <w:pPr>
        <w:spacing w:after="0" w:line="134" w:lineRule="exact"/>
        <w:rPr>
          <w:rFonts w:ascii="Arial" w:cs="Arial" w:eastAsia="Arial" w:hAnsi="Arial"/>
          <w:sz w:val="19"/>
          <w:szCs w:val="19"/>
          <w:color w:val="auto"/>
        </w:rPr>
      </w:pPr>
    </w:p>
    <w:p>
      <w:pPr>
        <w:ind w:left="1860" w:hanging="641"/>
        <w:spacing w:after="0"/>
        <w:tabs>
          <w:tab w:leader="none" w:pos="1860" w:val="left"/>
        </w:tabs>
        <w:numPr>
          <w:ilvl w:val="1"/>
          <w:numId w:val="215"/>
        </w:numPr>
        <w:rPr>
          <w:rFonts w:ascii="Arial" w:cs="Arial" w:eastAsia="Arial" w:hAnsi="Arial"/>
          <w:sz w:val="19"/>
          <w:szCs w:val="19"/>
          <w:color w:val="auto"/>
        </w:rPr>
      </w:pPr>
      <w:r>
        <w:rPr>
          <w:rFonts w:ascii="Arial" w:cs="Arial" w:eastAsia="Arial" w:hAnsi="Arial"/>
          <w:sz w:val="19"/>
          <w:szCs w:val="19"/>
          <w:u w:val="single" w:color="auto"/>
          <w:color w:val="auto"/>
        </w:rPr>
        <w:t>Non-Funding Lenders</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jc w:val="both"/>
        <w:ind w:firstLine="1852"/>
        <w:spacing w:after="0" w:line="216" w:lineRule="auto"/>
        <w:tabs>
          <w:tab w:leader="none" w:pos="2479" w:val="left"/>
        </w:tabs>
        <w:numPr>
          <w:ilvl w:val="2"/>
          <w:numId w:val="215"/>
        </w:numPr>
        <w:rPr>
          <w:rFonts w:ascii="Arial" w:cs="Arial" w:eastAsia="Arial" w:hAnsi="Arial"/>
          <w:sz w:val="18"/>
          <w:szCs w:val="18"/>
          <w:color w:val="auto"/>
        </w:rPr>
      </w:pPr>
      <w:r>
        <w:rPr>
          <w:rFonts w:ascii="Arial" w:cs="Arial" w:eastAsia="Arial" w:hAnsi="Arial"/>
          <w:sz w:val="18"/>
          <w:szCs w:val="18"/>
          <w:color w:val="auto"/>
        </w:rPr>
        <w:t>Unless Collateral Agent shall have received notice from a Lender prior to the date of any Term Loan that such Lender will not make available to Collateral Agent such Lender’s Pro Rata Share of such Term Loan, Collateral Agent may assume that such Lender will make such amount available to it on the date of such Term Loan in accordance with Section 2(b) of this Exhibit B, and Collateral Agent may (but shall not be obligated to), in reliance upon such assumption, make available a corresponding amount for the account of Borrower on such date. If and to the extent that such Lender shall not have made such amount available to Collateral Agent, such Lender and Borrower severally agree to repay to Collateral Agent forthwith on demand such corresponding amount together with interest thereon, for each day from the day such amount is made available to Borrower until the day such amount is repaid to Collateral Agent, at a rate per annum equal to the interest rate applicable to the Obligation that would have been created when Collateral Agent made available such amount to Borrower had such Lender made a corresponding payment available. If such Lender shall repay such corresponding amount to Collateral Agent, the amount so repaid shall constitute such Lender’s portion of such Term Loan for purposes of this Agreement.</w:t>
      </w:r>
    </w:p>
    <w:p>
      <w:pPr>
        <w:spacing w:after="0" w:line="139" w:lineRule="exact"/>
        <w:rPr>
          <w:rFonts w:ascii="Arial" w:cs="Arial" w:eastAsia="Arial" w:hAnsi="Arial"/>
          <w:sz w:val="18"/>
          <w:szCs w:val="18"/>
          <w:color w:val="auto"/>
        </w:rPr>
      </w:pPr>
    </w:p>
    <w:p>
      <w:pPr>
        <w:jc w:val="both"/>
        <w:ind w:firstLine="1852"/>
        <w:spacing w:after="0" w:line="236" w:lineRule="auto"/>
        <w:tabs>
          <w:tab w:leader="none" w:pos="2480" w:val="left"/>
        </w:tabs>
        <w:numPr>
          <w:ilvl w:val="2"/>
          <w:numId w:val="215"/>
        </w:numPr>
        <w:rPr>
          <w:rFonts w:ascii="Arial" w:cs="Arial" w:eastAsia="Arial" w:hAnsi="Arial"/>
          <w:sz w:val="17"/>
          <w:szCs w:val="17"/>
          <w:color w:val="auto"/>
        </w:rPr>
      </w:pPr>
      <w:r>
        <w:rPr>
          <w:rFonts w:ascii="Arial" w:cs="Arial" w:eastAsia="Arial" w:hAnsi="Arial"/>
          <w:sz w:val="17"/>
          <w:szCs w:val="17"/>
          <w:color w:val="auto"/>
        </w:rPr>
        <w:t>To the extent that any Lender has failed to fund any Term Loan or any other payments required to be made by it under the Loan Documents after any such Term Loan is required to be made or such payment is due (a “</w:t>
      </w:r>
      <w:r>
        <w:rPr>
          <w:rFonts w:ascii="Arial" w:cs="Arial" w:eastAsia="Arial" w:hAnsi="Arial"/>
          <w:sz w:val="17"/>
          <w:szCs w:val="17"/>
          <w:b w:val="1"/>
          <w:bCs w:val="1"/>
          <w:color w:val="auto"/>
        </w:rPr>
        <w:t>Non-Funding Lender</w:t>
      </w:r>
      <w:r>
        <w:rPr>
          <w:rFonts w:ascii="Arial" w:cs="Arial" w:eastAsia="Arial" w:hAnsi="Arial"/>
          <w:sz w:val="17"/>
          <w:szCs w:val="17"/>
          <w:color w:val="auto"/>
        </w:rPr>
        <w:t>”), Collateral Agent shall be entitled to set off the funding short-fall against that Non-Funding Lender’s Pro Rata Share of all payments received from or on behalf of Borrower thereunder. The failure of any Non-Funding Lender to make any Term Loan or any payment required by it hereunder shall not relieve any other Lender (each such other Lender, an “</w:t>
      </w:r>
      <w:r>
        <w:rPr>
          <w:rFonts w:ascii="Arial" w:cs="Arial" w:eastAsia="Arial" w:hAnsi="Arial"/>
          <w:sz w:val="17"/>
          <w:szCs w:val="17"/>
          <w:b w:val="1"/>
          <w:bCs w:val="1"/>
          <w:color w:val="auto"/>
        </w:rPr>
        <w:t>Other Lender</w:t>
      </w:r>
      <w:r>
        <w:rPr>
          <w:rFonts w:ascii="Arial" w:cs="Arial" w:eastAsia="Arial" w:hAnsi="Arial"/>
          <w:sz w:val="17"/>
          <w:szCs w:val="17"/>
          <w:color w:val="auto"/>
        </w:rPr>
        <w:t>”) of its obligations to make such Term Loan, but neither any Other Lender</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05"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nor Collateral Agent shall be responsible for the failure of any Non-Funding Lender to make such Term Loan or make any other payment required hereunder. Notwithstanding anything set forth herein to the contrary, a Non-Funding Lender shall not have any voting or consent rights under or with respect to any Loan Document or constitute a “Lender” (or be included in the calculation of “Required Lenders” hereunder) for any voting or consent rights under or with respect to any Loan Document. At Borrower’s request, Collateral Agent or a Person reasonably acceptable to Collateral Agent shall have the right with Collateral Agent’s consent and in Collateral Agent’s sole discretion (but Collateral Agent or any such Person shall have no obligation) to purchase from any Non-Funding Lender, and each Lender agrees that if it becomes a Non-Funding Lender it shall, at Collateral Agent’s request, sell and assign to Collateral Agent or such Person, all of the Term Loan Commitment (if any), and all of the outstanding Term Loan of that Non-Funding Lender for an amount equal to the aggregate outstanding principal balance of the Term Loan held by such Non-Funding Lender and all accrued interest with respect thereto through the date of sale, such purchase and sale to be consummated pursuant to an executed assignment agreement in form and substance reasonably satisfactory to, and acknowledged by, Collateral Agent.</w:t>
      </w:r>
    </w:p>
    <w:p>
      <w:pPr>
        <w:spacing w:after="0" w:line="125" w:lineRule="exact"/>
        <w:rPr>
          <w:sz w:val="20"/>
          <w:szCs w:val="20"/>
          <w:color w:val="auto"/>
        </w:rPr>
      </w:pPr>
    </w:p>
    <w:p>
      <w:pPr>
        <w:jc w:val="both"/>
        <w:ind w:firstLine="1219"/>
        <w:spacing w:after="0" w:line="211" w:lineRule="auto"/>
        <w:tabs>
          <w:tab w:leader="none" w:pos="1849"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Actions in Concert</w:t>
      </w:r>
      <w:r>
        <w:rPr>
          <w:rFonts w:ascii="Arial" w:cs="Arial" w:eastAsia="Arial" w:hAnsi="Arial"/>
          <w:sz w:val="19"/>
          <w:szCs w:val="19"/>
          <w:color w:val="auto"/>
        </w:rPr>
        <w:t>. Anything in this Agreement to the contrary notwithstanding, each Lender hereby agrees with each other Lender that no Lender shall take any action to protect or enforce its rights arising out of any Loan Document (including exercising any rights of setoff) without first obtaining the prior written consent of Collateral Agent or Required Lenders, it being the intent of Lenders that any such action to protect or enforce rights under any Loan Document shall be taken in concert and at the direction or with the consent of Collateral Agent or Required Lenders.</w:t>
      </w:r>
    </w:p>
    <w:p>
      <w:pPr>
        <w:sectPr>
          <w:pgSz w:w="11900" w:h="16838" w:orient="portrait"/>
          <w:cols w:equalWidth="0" w:num="1">
            <w:col w:w="11240"/>
          </w:cols>
          <w:pgMar w:left="320" w:top="1440"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9"/>
          <w:szCs w:val="19"/>
          <w:b w:val="1"/>
          <w:bCs w:val="1"/>
          <w:color w:val="auto"/>
        </w:rPr>
        <w:t>EXHIBIT 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[Taxes; Increased Costs.]</w:t>
      </w:r>
    </w:p>
    <w:p>
      <w:pPr>
        <w:spacing w:after="0" w:line="143" w:lineRule="exact"/>
        <w:rPr>
          <w:sz w:val="20"/>
          <w:szCs w:val="20"/>
          <w:color w:val="auto"/>
        </w:rPr>
      </w:pPr>
    </w:p>
    <w:p>
      <w:pPr>
        <w:ind w:left="1240" w:hanging="629"/>
        <w:spacing w:after="0"/>
        <w:tabs>
          <w:tab w:leader="none" w:pos="1240" w:val="left"/>
        </w:tabs>
        <w:numPr>
          <w:ilvl w:val="0"/>
          <w:numId w:val="2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Defined Terms. </w:t>
      </w:r>
      <w:r>
        <w:rPr>
          <w:rFonts w:ascii="Arial" w:cs="Arial" w:eastAsia="Arial" w:hAnsi="Arial"/>
          <w:sz w:val="19"/>
          <w:szCs w:val="19"/>
          <w:color w:val="auto"/>
        </w:rPr>
        <w:t>For purposes of this Exhibit C:</w:t>
      </w:r>
    </w:p>
    <w:p>
      <w:pPr>
        <w:spacing w:after="0" w:line="156" w:lineRule="exact"/>
        <w:rPr>
          <w:rFonts w:ascii="Arial" w:cs="Arial" w:eastAsia="Arial" w:hAnsi="Arial"/>
          <w:sz w:val="19"/>
          <w:szCs w:val="19"/>
          <w:b w:val="1"/>
          <w:bCs w:val="1"/>
          <w:color w:val="auto"/>
        </w:rPr>
      </w:pPr>
    </w:p>
    <w:p>
      <w:pPr>
        <w:ind w:firstLine="1219"/>
        <w:spacing w:after="0" w:line="234" w:lineRule="auto"/>
        <w:tabs>
          <w:tab w:leader="none" w:pos="1852" w:val="left"/>
        </w:tabs>
        <w:numPr>
          <w:ilvl w:val="1"/>
          <w:numId w:val="2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Connection Income Taxes</w:t>
      </w:r>
      <w:r>
        <w:rPr>
          <w:rFonts w:ascii="Arial" w:cs="Arial" w:eastAsia="Arial" w:hAnsi="Arial"/>
          <w:sz w:val="19"/>
          <w:szCs w:val="19"/>
          <w:color w:val="auto"/>
        </w:rPr>
        <w:t>” means Other Connection Taxes that are imposed on or measured by net income (however denominated) or that are franchise Taxes or branch profits Taxes.</w:t>
      </w:r>
    </w:p>
    <w:p>
      <w:pPr>
        <w:spacing w:after="0" w:line="129" w:lineRule="exact"/>
        <w:rPr>
          <w:rFonts w:ascii="Arial" w:cs="Arial" w:eastAsia="Arial" w:hAnsi="Arial"/>
          <w:sz w:val="19"/>
          <w:szCs w:val="19"/>
          <w:color w:val="auto"/>
        </w:rPr>
      </w:pPr>
    </w:p>
    <w:p>
      <w:pPr>
        <w:jc w:val="both"/>
        <w:ind w:firstLine="1219"/>
        <w:spacing w:after="0" w:line="230" w:lineRule="auto"/>
        <w:tabs>
          <w:tab w:leader="none" w:pos="1849" w:val="left"/>
        </w:tabs>
        <w:numPr>
          <w:ilvl w:val="1"/>
          <w:numId w:val="2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Taxes</w:t>
      </w:r>
      <w:r>
        <w:rPr>
          <w:rFonts w:ascii="Arial" w:cs="Arial" w:eastAsia="Arial" w:hAnsi="Arial"/>
          <w:sz w:val="17"/>
          <w:szCs w:val="17"/>
          <w:color w:val="auto"/>
        </w:rPr>
        <w:t>”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Term Loan or Term Loan Commitment pursuant to a law in effect on the date on which (A) such Lender acquires such interest in the Term Loan or Term Commitment or (B) such Lender changes its lending office, except in each case to the extent that, pursuant to Section 2 or Section 4 of this Exhibit C,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Exhibit C and (iv) any withholding Taxes imposed under FATCA.</w:t>
      </w:r>
    </w:p>
    <w:p>
      <w:pPr>
        <w:spacing w:after="0" w:line="116" w:lineRule="exact"/>
        <w:rPr>
          <w:rFonts w:ascii="Arial" w:cs="Arial" w:eastAsia="Arial" w:hAnsi="Arial"/>
          <w:sz w:val="17"/>
          <w:szCs w:val="17"/>
          <w:color w:val="auto"/>
        </w:rPr>
      </w:pPr>
    </w:p>
    <w:p>
      <w:pPr>
        <w:jc w:val="both"/>
        <w:ind w:firstLine="1219"/>
        <w:spacing w:after="0" w:line="213" w:lineRule="auto"/>
        <w:tabs>
          <w:tab w:leader="none" w:pos="1852" w:val="left"/>
        </w:tabs>
        <w:numPr>
          <w:ilvl w:val="1"/>
          <w:numId w:val="2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w:t>
      </w:r>
      <w:r>
        <w:rPr>
          <w:rFonts w:ascii="Arial" w:cs="Arial" w:eastAsia="Arial" w:hAnsi="Arial"/>
          <w:sz w:val="19"/>
          <w:szCs w:val="19"/>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28" w:lineRule="exact"/>
        <w:rPr>
          <w:rFonts w:ascii="Arial" w:cs="Arial" w:eastAsia="Arial" w:hAnsi="Arial"/>
          <w:sz w:val="19"/>
          <w:szCs w:val="19"/>
          <w:color w:val="auto"/>
        </w:rPr>
      </w:pPr>
    </w:p>
    <w:p>
      <w:pPr>
        <w:ind w:left="1860" w:hanging="641"/>
        <w:spacing w:after="0"/>
        <w:tabs>
          <w:tab w:leader="none" w:pos="1860" w:val="left"/>
        </w:tabs>
        <w:numPr>
          <w:ilvl w:val="1"/>
          <w:numId w:val="2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Foreign Lender</w:t>
      </w:r>
      <w:r>
        <w:rPr>
          <w:rFonts w:ascii="Arial" w:cs="Arial" w:eastAsia="Arial" w:hAnsi="Arial"/>
          <w:sz w:val="19"/>
          <w:szCs w:val="19"/>
          <w:color w:val="auto"/>
        </w:rPr>
        <w:t>” means a Lender that is not a U.S. Person.</w:t>
      </w:r>
    </w:p>
    <w:p>
      <w:pPr>
        <w:spacing w:after="0" w:line="156" w:lineRule="exact"/>
        <w:rPr>
          <w:rFonts w:ascii="Arial" w:cs="Arial" w:eastAsia="Arial" w:hAnsi="Arial"/>
          <w:sz w:val="19"/>
          <w:szCs w:val="19"/>
          <w:color w:val="auto"/>
        </w:rPr>
      </w:pPr>
    </w:p>
    <w:p>
      <w:pPr>
        <w:ind w:firstLine="1219"/>
        <w:spacing w:after="0" w:line="285" w:lineRule="auto"/>
        <w:tabs>
          <w:tab w:leader="none" w:pos="1852" w:val="left"/>
        </w:tabs>
        <w:numPr>
          <w:ilvl w:val="1"/>
          <w:numId w:val="2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Taxes</w:t>
      </w:r>
      <w:r>
        <w:rPr>
          <w:rFonts w:ascii="Arial" w:cs="Arial" w:eastAsia="Arial" w:hAnsi="Arial"/>
          <w:sz w:val="17"/>
          <w:szCs w:val="17"/>
          <w:color w:val="auto"/>
        </w:rPr>
        <w:t>” means (i) Taxes, other than Excluded Taxes, imposed on or with respect to any payment made by or on account of any obligation of Borrower under any Loan Document and (ii) to the extent not otherwise described in clause (i), Other Taxes.</w:t>
      </w:r>
    </w:p>
    <w:p>
      <w:pPr>
        <w:spacing w:after="0" w:line="78" w:lineRule="exact"/>
        <w:rPr>
          <w:rFonts w:ascii="Arial" w:cs="Arial" w:eastAsia="Arial" w:hAnsi="Arial"/>
          <w:sz w:val="17"/>
          <w:szCs w:val="17"/>
          <w:color w:val="auto"/>
        </w:rPr>
      </w:pPr>
    </w:p>
    <w:p>
      <w:pPr>
        <w:jc w:val="both"/>
        <w:ind w:firstLine="1219"/>
        <w:spacing w:after="0" w:line="243" w:lineRule="auto"/>
        <w:tabs>
          <w:tab w:leader="none" w:pos="1857" w:val="left"/>
        </w:tabs>
        <w:numPr>
          <w:ilvl w:val="1"/>
          <w:numId w:val="2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spacing w:after="0" w:line="125" w:lineRule="exact"/>
        <w:rPr>
          <w:rFonts w:ascii="Arial" w:cs="Arial" w:eastAsia="Arial" w:hAnsi="Arial"/>
          <w:sz w:val="17"/>
          <w:szCs w:val="17"/>
          <w:color w:val="auto"/>
        </w:rPr>
      </w:pPr>
    </w:p>
    <w:p>
      <w:pPr>
        <w:jc w:val="both"/>
        <w:ind w:firstLine="1219"/>
        <w:spacing w:after="0" w:line="216" w:lineRule="auto"/>
        <w:tabs>
          <w:tab w:leader="none" w:pos="1849" w:val="left"/>
        </w:tabs>
        <w:numPr>
          <w:ilvl w:val="1"/>
          <w:numId w:val="2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30" w:lineRule="exact"/>
        <w:rPr>
          <w:rFonts w:ascii="Arial" w:cs="Arial" w:eastAsia="Arial" w:hAnsi="Arial"/>
          <w:sz w:val="19"/>
          <w:szCs w:val="19"/>
          <w:color w:val="auto"/>
        </w:rPr>
      </w:pPr>
    </w:p>
    <w:p>
      <w:pPr>
        <w:ind w:left="1860" w:hanging="641"/>
        <w:spacing w:after="0"/>
        <w:tabs>
          <w:tab w:leader="none" w:pos="1860" w:val="left"/>
        </w:tabs>
        <w:numPr>
          <w:ilvl w:val="1"/>
          <w:numId w:val="2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Recipient</w:t>
      </w:r>
      <w:r>
        <w:rPr>
          <w:rFonts w:ascii="Arial" w:cs="Arial" w:eastAsia="Arial" w:hAnsi="Arial"/>
          <w:sz w:val="19"/>
          <w:szCs w:val="19"/>
          <w:color w:val="auto"/>
        </w:rPr>
        <w:t>” means Collateral Agent or any Lender, as applicable.</w:t>
      </w:r>
    </w:p>
    <w:p>
      <w:pPr>
        <w:spacing w:after="0" w:line="143" w:lineRule="exact"/>
        <w:rPr>
          <w:rFonts w:ascii="Arial" w:cs="Arial" w:eastAsia="Arial" w:hAnsi="Arial"/>
          <w:sz w:val="19"/>
          <w:szCs w:val="19"/>
          <w:color w:val="auto"/>
        </w:rPr>
      </w:pPr>
    </w:p>
    <w:p>
      <w:pPr>
        <w:ind w:left="1860" w:hanging="641"/>
        <w:spacing w:after="0"/>
        <w:tabs>
          <w:tab w:leader="none" w:pos="186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U.S. Person</w:t>
      </w:r>
      <w:r>
        <w:rPr>
          <w:rFonts w:ascii="Arial" w:cs="Arial" w:eastAsia="Arial" w:hAnsi="Arial"/>
          <w:sz w:val="17"/>
          <w:szCs w:val="17"/>
          <w:color w:val="auto"/>
        </w:rPr>
        <w:t>” means any Person that is a “United States person” as defined in Section 7701(a)(30) of the Internal Revenue</w:t>
      </w:r>
    </w:p>
    <w:p>
      <w:pPr>
        <w:spacing w:after="0" w:line="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Code.</w:t>
      </w:r>
    </w:p>
    <w:p>
      <w:pPr>
        <w:spacing w:after="0" w:line="134" w:lineRule="exact"/>
        <w:rPr>
          <w:rFonts w:ascii="Arial" w:cs="Arial" w:eastAsia="Arial" w:hAnsi="Arial"/>
          <w:sz w:val="17"/>
          <w:szCs w:val="17"/>
          <w:color w:val="auto"/>
        </w:rPr>
      </w:pPr>
    </w:p>
    <w:p>
      <w:pPr>
        <w:ind w:left="1860" w:hanging="641"/>
        <w:spacing w:after="0"/>
        <w:tabs>
          <w:tab w:leader="none" w:pos="1860" w:val="left"/>
        </w:tabs>
        <w:numPr>
          <w:ilvl w:val="1"/>
          <w:numId w:val="2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Withholding Agent</w:t>
      </w:r>
      <w:r>
        <w:rPr>
          <w:rFonts w:ascii="Arial" w:cs="Arial" w:eastAsia="Arial" w:hAnsi="Arial"/>
          <w:sz w:val="19"/>
          <w:szCs w:val="19"/>
          <w:color w:val="auto"/>
        </w:rPr>
        <w:t>” means Borrower and Collateral Agent.</w:t>
      </w:r>
    </w:p>
    <w:p>
      <w:pPr>
        <w:spacing w:after="0" w:line="156" w:lineRule="exact"/>
        <w:rPr>
          <w:rFonts w:ascii="Arial" w:cs="Arial" w:eastAsia="Arial" w:hAnsi="Arial"/>
          <w:sz w:val="19"/>
          <w:szCs w:val="19"/>
          <w:color w:val="auto"/>
        </w:rPr>
      </w:pPr>
    </w:p>
    <w:p>
      <w:pPr>
        <w:jc w:val="both"/>
        <w:ind w:firstLine="611"/>
        <w:spacing w:after="0" w:line="213" w:lineRule="auto"/>
        <w:tabs>
          <w:tab w:leader="none" w:pos="1228" w:val="left"/>
        </w:tabs>
        <w:numPr>
          <w:ilvl w:val="0"/>
          <w:numId w:val="2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Payments Free of Taxes. </w:t>
      </w:r>
      <w:r>
        <w:rPr>
          <w:rFonts w:ascii="Arial" w:cs="Arial" w:eastAsia="Arial" w:hAnsi="Arial"/>
          <w:sz w:val="19"/>
          <w:szCs w:val="19"/>
          <w:color w:val="auto"/>
        </w:rPr>
        <w:t>Any and all payments by or on account of any obligation of Borrower under any Loan Document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w:t>
      </w:r>
    </w:p>
    <w:p>
      <w:pPr>
        <w:sectPr>
          <w:pgSz w:w="11900" w:h="16838" w:orient="portrait"/>
          <w:cols w:equalWidth="0" w:num="1">
            <w:col w:w="11240"/>
          </w:cols>
          <w:pgMar w:left="320" w:top="1344" w:right="339" w:bottom="1440" w:gutter="0" w:footer="0" w:header="0"/>
        </w:sectPr>
      </w:pPr>
    </w:p>
    <w:bookmarkStart w:id="259" w:name="page260"/>
    <w:bookmarkEnd w:id="259"/>
    <w:p>
      <w:pPr>
        <w:jc w:val="both"/>
        <w:spacing w:after="0" w:line="215" w:lineRule="auto"/>
        <w:rPr>
          <w:sz w:val="20"/>
          <w:szCs w:val="20"/>
          <w:color w:val="auto"/>
        </w:rPr>
      </w:pPr>
      <w:r>
        <w:rPr>
          <w:rFonts w:ascii="Arial" w:cs="Arial" w:eastAsia="Arial" w:hAnsi="Arial"/>
          <w:sz w:val="19"/>
          <w:szCs w:val="19"/>
          <w:color w:val="auto"/>
        </w:rPr>
        <w:t>to the relevant Governmental Authority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Section 2 or Section 4 of this Exhibit C) the applicable Recipient receives an amount equal to the sum it would have received had no such deduction or withholding been made.</w:t>
      </w:r>
    </w:p>
    <w:p>
      <w:pPr>
        <w:spacing w:after="0" w:line="128" w:lineRule="exact"/>
        <w:rPr>
          <w:sz w:val="20"/>
          <w:szCs w:val="20"/>
          <w:color w:val="auto"/>
        </w:rPr>
      </w:pPr>
    </w:p>
    <w:p>
      <w:pPr>
        <w:ind w:firstLine="611"/>
        <w:spacing w:after="0" w:line="234" w:lineRule="auto"/>
        <w:tabs>
          <w:tab w:leader="none" w:pos="1228" w:val="left"/>
        </w:tabs>
        <w:numPr>
          <w:ilvl w:val="0"/>
          <w:numId w:val="21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Payment of Other Taxes by Borrower. </w:t>
      </w:r>
      <w:r>
        <w:rPr>
          <w:rFonts w:ascii="Arial" w:cs="Arial" w:eastAsia="Arial" w:hAnsi="Arial"/>
          <w:sz w:val="19"/>
          <w:szCs w:val="19"/>
          <w:color w:val="auto"/>
        </w:rPr>
        <w:t>Borrower shall timely pay to the relevant Governmental Authority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or at the option of Collateral Agent timely reimburse it for the payment of, any Other Taxes.</w:t>
      </w:r>
    </w:p>
    <w:p>
      <w:pPr>
        <w:spacing w:after="0" w:line="116" w:lineRule="exact"/>
        <w:rPr>
          <w:rFonts w:ascii="Arial" w:cs="Arial" w:eastAsia="Arial" w:hAnsi="Arial"/>
          <w:sz w:val="19"/>
          <w:szCs w:val="19"/>
          <w:b w:val="1"/>
          <w:bCs w:val="1"/>
          <w:color w:val="auto"/>
        </w:rPr>
      </w:pPr>
    </w:p>
    <w:p>
      <w:pPr>
        <w:jc w:val="both"/>
        <w:ind w:firstLine="611"/>
        <w:spacing w:after="0" w:line="235" w:lineRule="auto"/>
        <w:tabs>
          <w:tab w:leader="none" w:pos="1228"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Indemnification by Borrower. </w:t>
      </w:r>
      <w:r>
        <w:rPr>
          <w:rFonts w:ascii="Arial" w:cs="Arial" w:eastAsia="Arial" w:hAnsi="Arial"/>
          <w:sz w:val="17"/>
          <w:szCs w:val="17"/>
          <w:color w:val="auto"/>
        </w:rPr>
        <w:t>Borrower shall indemnify each Recipient, within ten (10) days after demand therefor, for the full</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any Indemnified Taxes (including Indemnified Taxes imposed or asserted on or attributable to amounts payable under Section 2 of this Exhibit C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(with a copy to Collateral Agent), or by Collateral Agent on its own behalf or on behalf of a Lender, shall be conclusive absent manifest error.</w:t>
      </w:r>
    </w:p>
    <w:p>
      <w:pPr>
        <w:spacing w:after="0" w:line="130" w:lineRule="exact"/>
        <w:rPr>
          <w:rFonts w:ascii="Arial" w:cs="Arial" w:eastAsia="Arial" w:hAnsi="Arial"/>
          <w:sz w:val="17"/>
          <w:szCs w:val="17"/>
          <w:b w:val="1"/>
          <w:bCs w:val="1"/>
          <w:color w:val="auto"/>
        </w:rPr>
      </w:pPr>
    </w:p>
    <w:p>
      <w:pPr>
        <w:jc w:val="both"/>
        <w:ind w:firstLine="611"/>
        <w:spacing w:after="0" w:line="217" w:lineRule="auto"/>
        <w:tabs>
          <w:tab w:leader="none" w:pos="1228"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Indemnification by the Lenders. </w:t>
      </w:r>
      <w:r>
        <w:rPr>
          <w:rFonts w:ascii="Arial" w:cs="Arial" w:eastAsia="Arial" w:hAnsi="Arial"/>
          <w:sz w:val="18"/>
          <w:szCs w:val="18"/>
          <w:color w:val="auto"/>
        </w:rPr>
        <w:t>Each Lender shall severally indemnify Collateral Agent, within ten (10) days after demand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 for (a) any Indemnified Taxes attributable to such Lender (but only to the extent that Borrower has not already indemnified Collateral Agent for such Indemnified Taxes and without limiting the obligation of Borrower to do so), (b) any Taxes attributable to such Lender’s failure to comply with the provisions of Section 12.1 of the Agreement relating to the maintenance of a Participant Register and (c) any Excluded Taxes attributable to such Lender, in each case, that are payable or paid by Collateral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Collateral Agent shall be conclusive absent manifest error. Each Lender hereby authorizes Collateral Agent to set off and apply any and all amounts at any time owing to such Lender under any Loan Document or otherwise payable by Collateral Agent to the Lender from any other source against any amount due to Collateral Agent under this Section 5.</w:t>
      </w:r>
    </w:p>
    <w:p>
      <w:pPr>
        <w:spacing w:after="0" w:line="131" w:lineRule="exact"/>
        <w:rPr>
          <w:rFonts w:ascii="Arial" w:cs="Arial" w:eastAsia="Arial" w:hAnsi="Arial"/>
          <w:sz w:val="18"/>
          <w:szCs w:val="18"/>
          <w:b w:val="1"/>
          <w:bCs w:val="1"/>
          <w:color w:val="auto"/>
        </w:rPr>
      </w:pPr>
    </w:p>
    <w:p>
      <w:pPr>
        <w:jc w:val="both"/>
        <w:ind w:firstLine="611"/>
        <w:spacing w:after="0" w:line="216" w:lineRule="auto"/>
        <w:tabs>
          <w:tab w:leader="none" w:pos="1228" w:val="left"/>
        </w:tabs>
        <w:numPr>
          <w:ilvl w:val="0"/>
          <w:numId w:val="21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Evidence of Payments. </w:t>
      </w:r>
      <w:r>
        <w:rPr>
          <w:rFonts w:ascii="Arial" w:cs="Arial" w:eastAsia="Arial" w:hAnsi="Arial"/>
          <w:sz w:val="19"/>
          <w:szCs w:val="19"/>
          <w:color w:val="auto"/>
        </w:rPr>
        <w:t>As soon as practicable after any payment of Taxes by Borrower to a Governmental Authority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provisions of this Exhibit C, Borrower shall deliver to Collateral Agent the original or a certified copy of a receipt issued by such Governmental Authority evidencing such payment, a copy of the return reporting such payment or other evidence of such payment reasonably satisfactory to Collateral Agent.</w:t>
      </w:r>
    </w:p>
    <w:p>
      <w:pPr>
        <w:spacing w:after="0" w:line="117" w:lineRule="exact"/>
        <w:rPr>
          <w:rFonts w:ascii="Arial" w:cs="Arial" w:eastAsia="Arial" w:hAnsi="Arial"/>
          <w:sz w:val="19"/>
          <w:szCs w:val="19"/>
          <w:b w:val="1"/>
          <w:bCs w:val="1"/>
          <w:color w:val="auto"/>
        </w:rPr>
      </w:pPr>
    </w:p>
    <w:p>
      <w:pPr>
        <w:ind w:left="1240" w:hanging="629"/>
        <w:spacing w:after="0"/>
        <w:tabs>
          <w:tab w:leader="none" w:pos="1240" w:val="left"/>
        </w:tabs>
        <w:numPr>
          <w:ilvl w:val="0"/>
          <w:numId w:val="218"/>
        </w:numPr>
        <w:rPr>
          <w:rFonts w:ascii="Arial" w:cs="Arial" w:eastAsia="Arial" w:hAnsi="Arial"/>
          <w:sz w:val="19"/>
          <w:szCs w:val="19"/>
          <w:b w:val="1"/>
          <w:bCs w:val="1"/>
          <w:color w:val="auto"/>
        </w:rPr>
      </w:pPr>
      <w:r>
        <w:rPr>
          <w:rFonts w:ascii="Arial" w:cs="Arial" w:eastAsia="Arial" w:hAnsi="Arial"/>
          <w:sz w:val="19"/>
          <w:szCs w:val="19"/>
          <w:b w:val="1"/>
          <w:bCs w:val="1"/>
          <w:color w:val="auto"/>
        </w:rPr>
        <w:t>Status of Lenders</w:t>
      </w:r>
      <w:r>
        <w:rPr>
          <w:rFonts w:ascii="Arial" w:cs="Arial" w:eastAsia="Arial" w:hAnsi="Arial"/>
          <w:sz w:val="19"/>
          <w:szCs w:val="19"/>
          <w:color w:val="auto"/>
        </w:rPr>
        <w:t>.</w:t>
      </w:r>
    </w:p>
    <w:p>
      <w:pPr>
        <w:spacing w:after="0" w:line="162" w:lineRule="exact"/>
        <w:rPr>
          <w:rFonts w:ascii="Arial" w:cs="Arial" w:eastAsia="Arial" w:hAnsi="Arial"/>
          <w:sz w:val="19"/>
          <w:szCs w:val="19"/>
          <w:b w:val="1"/>
          <w:bCs w:val="1"/>
          <w:color w:val="auto"/>
        </w:rPr>
      </w:pPr>
    </w:p>
    <w:p>
      <w:pPr>
        <w:jc w:val="both"/>
        <w:ind w:firstLine="1219"/>
        <w:spacing w:after="0" w:line="216" w:lineRule="auto"/>
        <w:tabs>
          <w:tab w:leader="none" w:pos="185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with respect to payments made under any Loan Document shall deliver to Borrower and Collateral Agent, at the time or times reasonably requested by Borrower or Collateral Agent, such properly completed and executed documentation reasonably requested by Borrower or Collateral Agent as will permit such payments to be made without withholding or at a reduced rate of withholding. In addition, any Lender, if reasonably requested by Borrower or Collateral Agent, shall deliver such other documentation prescribed by applicable law or reasonably requested by Borrower or Collateral Agent as will enable Borrower or Collateral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Exhibit C)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39" w:lineRule="exact"/>
        <w:rPr>
          <w:rFonts w:ascii="Arial" w:cs="Arial" w:eastAsia="Arial" w:hAnsi="Arial"/>
          <w:sz w:val="18"/>
          <w:szCs w:val="18"/>
          <w:color w:val="auto"/>
        </w:rPr>
      </w:pPr>
    </w:p>
    <w:p>
      <w:pPr>
        <w:ind w:left="1860" w:hanging="641"/>
        <w:spacing w:after="0"/>
        <w:tabs>
          <w:tab w:leader="none" w:pos="1860" w:val="left"/>
        </w:tabs>
        <w:numPr>
          <w:ilvl w:val="1"/>
          <w:numId w:val="218"/>
        </w:numPr>
        <w:rPr>
          <w:rFonts w:ascii="Arial" w:cs="Arial" w:eastAsia="Arial" w:hAnsi="Arial"/>
          <w:sz w:val="19"/>
          <w:szCs w:val="19"/>
          <w:color w:val="auto"/>
        </w:rPr>
      </w:pPr>
      <w:r>
        <w:rPr>
          <w:rFonts w:ascii="Arial" w:cs="Arial" w:eastAsia="Arial" w:hAnsi="Arial"/>
          <w:sz w:val="19"/>
          <w:szCs w:val="19"/>
          <w:color w:val="auto"/>
        </w:rPr>
        <w:t>Without limiting the generality of the foregoing, in the event that Borrower is a U.S. Person,</w:t>
      </w:r>
    </w:p>
    <w:p>
      <w:pPr>
        <w:spacing w:after="0" w:line="143" w:lineRule="exact"/>
        <w:rPr>
          <w:rFonts w:ascii="Arial" w:cs="Arial" w:eastAsia="Arial" w:hAnsi="Arial"/>
          <w:sz w:val="19"/>
          <w:szCs w:val="19"/>
          <w:color w:val="auto"/>
        </w:rPr>
      </w:pPr>
    </w:p>
    <w:p>
      <w:pPr>
        <w:jc w:val="both"/>
        <w:ind w:firstLine="1852"/>
        <w:spacing w:after="0" w:line="232" w:lineRule="auto"/>
        <w:tabs>
          <w:tab w:leader="none" w:pos="2479" w:val="left"/>
        </w:tabs>
        <w:numPr>
          <w:ilvl w:val="2"/>
          <w:numId w:val="218"/>
        </w:numPr>
        <w:rPr>
          <w:rFonts w:ascii="Arial" w:cs="Arial" w:eastAsia="Arial" w:hAnsi="Arial"/>
          <w:sz w:val="18"/>
          <w:szCs w:val="18"/>
          <w:color w:val="auto"/>
        </w:rPr>
      </w:pPr>
      <w:r>
        <w:rPr>
          <w:rFonts w:ascii="Arial" w:cs="Arial" w:eastAsia="Arial" w:hAnsi="Arial"/>
          <w:sz w:val="18"/>
          <w:szCs w:val="18"/>
          <w:color w:val="auto"/>
        </w:rPr>
        <w:t>any Lender that is a U.S. Person shall deliver to Borrower and Collateral Agent on or prior to the date on which such Lender becomes a Lender under this Agreement (and from time to time thereafter upon the reasonable request of Borrower or Collateral Agent), executed copies of IRS Form W-9 certifying that such Lender is exempt from U.S. federal backup withholding tax;</w:t>
      </w:r>
    </w:p>
    <w:p>
      <w:pPr>
        <w:sectPr>
          <w:pgSz w:w="11900" w:h="16838" w:orient="portrait"/>
          <w:cols w:equalWidth="0" w:num="1">
            <w:col w:w="11240"/>
          </w:cols>
          <w:pgMar w:left="320" w:top="1350" w:right="339" w:bottom="1440" w:gutter="0" w:footer="0" w:header="0"/>
        </w:sectPr>
      </w:pPr>
    </w:p>
    <w:bookmarkStart w:id="260" w:name="page261"/>
    <w:bookmarkEnd w:id="260"/>
    <w:p>
      <w:pPr>
        <w:jc w:val="both"/>
        <w:ind w:left="-611" w:firstLine="1852"/>
        <w:spacing w:after="0" w:line="215" w:lineRule="auto"/>
        <w:tabs>
          <w:tab w:leader="none" w:pos="1869" w:val="left"/>
        </w:tabs>
        <w:numPr>
          <w:ilvl w:val="0"/>
          <w:numId w:val="219"/>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Borrower and Collateral Agent (in such number of copies as shall be requested by the recipient) on or prior to the date on which such Foreign Lender becomes a Lender under this Agreement (and from time to time thereafter upon the reasonable request of Borrower or Collateral Agent), whichever of the following is applicable:</w:t>
      </w:r>
    </w:p>
    <w:p>
      <w:pPr>
        <w:spacing w:after="0" w:line="134" w:lineRule="exact"/>
        <w:rPr>
          <w:sz w:val="20"/>
          <w:szCs w:val="20"/>
          <w:color w:val="auto"/>
        </w:rPr>
      </w:pPr>
    </w:p>
    <w:p>
      <w:pPr>
        <w:ind w:left="1829" w:hanging="605"/>
        <w:spacing w:after="0"/>
        <w:tabs>
          <w:tab w:leader="none" w:pos="1829" w:val="left"/>
        </w:tabs>
        <w:numPr>
          <w:ilvl w:val="1"/>
          <w:numId w:val="220"/>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w:t>
      </w:r>
    </w:p>
    <w:p>
      <w:pPr>
        <w:spacing w:after="0" w:line="1" w:lineRule="exact"/>
        <w:rPr>
          <w:rFonts w:ascii="Arial" w:cs="Arial" w:eastAsia="Arial" w:hAnsi="Arial"/>
          <w:sz w:val="17"/>
          <w:szCs w:val="17"/>
          <w:color w:val="auto"/>
        </w:rPr>
      </w:pPr>
    </w:p>
    <w:p>
      <w:pPr>
        <w:jc w:val="both"/>
        <w:ind w:left="1829"/>
        <w:spacing w:after="0" w:line="219" w:lineRule="auto"/>
        <w:rPr>
          <w:rFonts w:ascii="Arial" w:cs="Arial" w:eastAsia="Arial" w:hAnsi="Arial"/>
          <w:sz w:val="17"/>
          <w:szCs w:val="17"/>
          <w:color w:val="auto"/>
        </w:rPr>
      </w:pPr>
      <w:r>
        <w:rPr>
          <w:rFonts w:ascii="Arial" w:cs="Arial" w:eastAsia="Arial" w:hAnsi="Arial"/>
          <w:sz w:val="18"/>
          <w:szCs w:val="18"/>
          <w:color w:val="auto"/>
        </w:rPr>
        <w:t>(x)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24" w:lineRule="exact"/>
        <w:rPr>
          <w:rFonts w:ascii="Arial" w:cs="Arial" w:eastAsia="Arial" w:hAnsi="Arial"/>
          <w:sz w:val="17"/>
          <w:szCs w:val="17"/>
          <w:color w:val="auto"/>
        </w:rPr>
      </w:pPr>
    </w:p>
    <w:p>
      <w:pPr>
        <w:ind w:left="1829" w:hanging="605"/>
        <w:spacing w:after="0"/>
        <w:tabs>
          <w:tab w:leader="none" w:pos="1829" w:val="left"/>
        </w:tabs>
        <w:numPr>
          <w:ilvl w:val="1"/>
          <w:numId w:val="220"/>
        </w:numPr>
        <w:rPr>
          <w:rFonts w:ascii="Arial" w:cs="Arial" w:eastAsia="Arial" w:hAnsi="Arial"/>
          <w:sz w:val="19"/>
          <w:szCs w:val="19"/>
          <w:color w:val="auto"/>
        </w:rPr>
      </w:pPr>
      <w:r>
        <w:rPr>
          <w:rFonts w:ascii="Arial" w:cs="Arial" w:eastAsia="Arial" w:hAnsi="Arial"/>
          <w:sz w:val="19"/>
          <w:szCs w:val="19"/>
          <w:color w:val="auto"/>
        </w:rPr>
        <w:t>executed copies of IRS Form W-8ECI;</w:t>
      </w:r>
    </w:p>
    <w:p>
      <w:pPr>
        <w:spacing w:after="0" w:line="156" w:lineRule="exact"/>
        <w:rPr>
          <w:rFonts w:ascii="Arial" w:cs="Arial" w:eastAsia="Arial" w:hAnsi="Arial"/>
          <w:sz w:val="19"/>
          <w:szCs w:val="19"/>
          <w:color w:val="auto"/>
        </w:rPr>
      </w:pPr>
    </w:p>
    <w:p>
      <w:pPr>
        <w:jc w:val="both"/>
        <w:ind w:left="1829" w:hanging="605"/>
        <w:spacing w:after="0" w:line="219" w:lineRule="auto"/>
        <w:tabs>
          <w:tab w:leader="none" w:pos="1819" w:val="left"/>
        </w:tabs>
        <w:numPr>
          <w:ilvl w:val="1"/>
          <w:numId w:val="220"/>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Internal Revenue Code, (x) a certificate, in form and substance reasonably acceptable to Borrower and Collateral Agent, to the effect that such Foreign Lender (or other applicable Person) is not a “bank” within the meaning of Section 881(c)(3)(A) of the Internal Revenue Code, a “10 percent shareholder” of Borrower within the meaning of Section 871(h)(3)(B) of the Internal Revenue Code, or a “controlled foreign corporation” related to Borrower as described in Section 881(c)(3)(C) of the Internal Revenue Code (a “</w:t>
      </w:r>
      <w:r>
        <w:rPr>
          <w:rFonts w:ascii="Arial" w:cs="Arial" w:eastAsia="Arial" w:hAnsi="Arial"/>
          <w:sz w:val="18"/>
          <w:szCs w:val="18"/>
          <w:b w:val="1"/>
          <w:bCs w:val="1"/>
          <w:color w:val="auto"/>
        </w:rPr>
        <w:t>U.S. Tax Compliance</w:t>
      </w:r>
      <w:r>
        <w:rPr>
          <w:rFonts w:ascii="Arial" w:cs="Arial" w:eastAsia="Arial" w:hAnsi="Arial"/>
          <w:sz w:val="18"/>
          <w:szCs w:val="18"/>
          <w:color w:val="auto"/>
        </w:rPr>
        <w:t xml:space="preserve"> </w:t>
      </w:r>
      <w:r>
        <w:rPr>
          <w:rFonts w:ascii="Arial" w:cs="Arial" w:eastAsia="Arial" w:hAnsi="Arial"/>
          <w:sz w:val="18"/>
          <w:szCs w:val="18"/>
          <w:b w:val="1"/>
          <w:bCs w:val="1"/>
          <w:color w:val="auto"/>
        </w:rPr>
        <w:t>Certificate</w:t>
      </w:r>
      <w:r>
        <w:rPr>
          <w:rFonts w:ascii="Arial" w:cs="Arial" w:eastAsia="Arial" w:hAnsi="Arial"/>
          <w:sz w:val="18"/>
          <w:szCs w:val="18"/>
          <w:color w:val="auto"/>
        </w:rPr>
        <w:t>”) and (y) executed copies of IRS Form W-8BEN or IRS Form W-8BEN-E; or</w:t>
      </w:r>
    </w:p>
    <w:p>
      <w:pPr>
        <w:spacing w:after="0" w:line="137" w:lineRule="exact"/>
        <w:rPr>
          <w:rFonts w:ascii="Arial" w:cs="Arial" w:eastAsia="Arial" w:hAnsi="Arial"/>
          <w:sz w:val="18"/>
          <w:szCs w:val="18"/>
          <w:color w:val="auto"/>
        </w:rPr>
      </w:pPr>
    </w:p>
    <w:p>
      <w:pPr>
        <w:jc w:val="both"/>
        <w:ind w:left="1829" w:hanging="605"/>
        <w:spacing w:after="0" w:line="209" w:lineRule="auto"/>
        <w:tabs>
          <w:tab w:leader="none" w:pos="1817" w:val="left"/>
        </w:tabs>
        <w:numPr>
          <w:ilvl w:val="1"/>
          <w:numId w:val="220"/>
        </w:numPr>
        <w:rPr>
          <w:rFonts w:ascii="Arial" w:cs="Arial" w:eastAsia="Arial" w:hAnsi="Arial"/>
          <w:sz w:val="19"/>
          <w:szCs w:val="19"/>
          <w:color w:val="auto"/>
        </w:rPr>
      </w:pPr>
      <w:r>
        <w:rPr>
          <w:rFonts w:ascii="Arial" w:cs="Arial" w:eastAsia="Arial" w:hAnsi="Arial"/>
          <w:sz w:val="19"/>
          <w:szCs w:val="19"/>
          <w:color w:val="auto"/>
        </w:rPr>
        <w:t>to the extent a Foreign Lender is not the beneficial owner, executed copies of IRS Form W-8IMY, accompanied by IRS Form W-8ECI, IRS Form W-8BEN, IRS Form W-8BEN-E, a U.S. Tax Compliance Certificate,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spacing w:after="0" w:line="124" w:lineRule="exact"/>
        <w:rPr>
          <w:rFonts w:ascii="Arial" w:cs="Arial" w:eastAsia="Arial" w:hAnsi="Arial"/>
          <w:sz w:val="19"/>
          <w:szCs w:val="19"/>
          <w:color w:val="auto"/>
        </w:rPr>
      </w:pPr>
    </w:p>
    <w:p>
      <w:pPr>
        <w:jc w:val="both"/>
        <w:ind w:left="-611" w:firstLine="1852"/>
        <w:spacing w:after="0" w:line="209" w:lineRule="auto"/>
        <w:tabs>
          <w:tab w:leader="none" w:pos="1857" w:val="left"/>
        </w:tabs>
        <w:numPr>
          <w:ilvl w:val="2"/>
          <w:numId w:val="220"/>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Borrower and Collateral Agent (in such number of copies as shall be requested by the recipient) on or prior to the date on which such Foreign Lender becomes a Lender under this Agreement (and from time to time thereafter upon the reasonable request of Borrower or Collateral Agent), executed copies of any other form prescribed by applicable law as a basis for claiming exemption from or a reduction in U.S. federal withholding Tax, duly completed, together with such supplementary documentation as may be prescribed by applicable law to permit Borrower or Collateral Agent to determine the withholding or deduction required to be made; and</w:t>
      </w:r>
    </w:p>
    <w:p>
      <w:pPr>
        <w:spacing w:after="0" w:line="137" w:lineRule="exact"/>
        <w:rPr>
          <w:rFonts w:ascii="Arial" w:cs="Arial" w:eastAsia="Arial" w:hAnsi="Arial"/>
          <w:sz w:val="19"/>
          <w:szCs w:val="19"/>
          <w:color w:val="auto"/>
        </w:rPr>
      </w:pPr>
    </w:p>
    <w:p>
      <w:pPr>
        <w:jc w:val="both"/>
        <w:ind w:left="-611" w:firstLine="1852"/>
        <w:spacing w:after="0" w:line="206" w:lineRule="auto"/>
        <w:tabs>
          <w:tab w:leader="none" w:pos="1859" w:val="left"/>
        </w:tabs>
        <w:numPr>
          <w:ilvl w:val="2"/>
          <w:numId w:val="220"/>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Borrower and Collateral Agent at the time or times prescribed by law and at such time or times reasonably requested by Borrower or Collateral Agent such documentation prescribed by applicable law (including as prescribed by Section 1471(b)(3)(C)(i) of the Internal Revenue Code) and such additional documentation reasonably requested by Borrower or Collateral Agent as may be necessary for Borrower and Collateral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spacing w:after="0" w:line="134" w:lineRule="exact"/>
        <w:rPr>
          <w:rFonts w:ascii="Arial" w:cs="Arial" w:eastAsia="Arial" w:hAnsi="Arial"/>
          <w:sz w:val="19"/>
          <w:szCs w:val="19"/>
          <w:color w:val="auto"/>
        </w:rPr>
      </w:pPr>
    </w:p>
    <w:p>
      <w:pPr>
        <w:jc w:val="both"/>
        <w:ind w:left="-611" w:firstLine="1852"/>
        <w:spacing w:after="0" w:line="220" w:lineRule="auto"/>
        <w:tabs>
          <w:tab w:leader="none" w:pos="1858" w:val="left"/>
        </w:tabs>
        <w:numPr>
          <w:ilvl w:val="2"/>
          <w:numId w:val="220"/>
        </w:numPr>
        <w:rPr>
          <w:rFonts w:ascii="Arial" w:cs="Arial" w:eastAsia="Arial" w:hAnsi="Arial"/>
          <w:sz w:val="19"/>
          <w:szCs w:val="19"/>
          <w:color w:val="auto"/>
        </w:rPr>
      </w:pPr>
      <w:r>
        <w:rPr>
          <w:rFonts w:ascii="Arial" w:cs="Arial" w:eastAsia="Arial" w:hAnsi="Arial"/>
          <w:sz w:val="19"/>
          <w:szCs w:val="19"/>
          <w:color w:val="auto"/>
        </w:rPr>
        <w:t>Each Lender agrees that if any form or certification it previously delivered expires or becomes obsolete or inaccurate in any respect, it shall update such form or certification or promptly notify Borrower and Collateral Agent in writing of its legal inability to do so.</w:t>
      </w:r>
    </w:p>
    <w:p>
      <w:pPr>
        <w:spacing w:after="0" w:line="116" w:lineRule="exact"/>
        <w:rPr>
          <w:rFonts w:ascii="Arial" w:cs="Arial" w:eastAsia="Arial" w:hAnsi="Arial"/>
          <w:sz w:val="19"/>
          <w:szCs w:val="19"/>
          <w:color w:val="auto"/>
        </w:rPr>
      </w:pPr>
    </w:p>
    <w:p>
      <w:pPr>
        <w:ind w:left="-611" w:firstLine="611"/>
        <w:spacing w:after="0" w:line="234" w:lineRule="auto"/>
        <w:tabs>
          <w:tab w:leader="none" w:pos="617" w:val="left"/>
        </w:tabs>
        <w:numPr>
          <w:ilvl w:val="0"/>
          <w:numId w:val="22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Treatment of Certain Refunds. </w:t>
      </w:r>
      <w:r>
        <w:rPr>
          <w:rFonts w:ascii="Arial" w:cs="Arial" w:eastAsia="Arial" w:hAnsi="Arial"/>
          <w:sz w:val="19"/>
          <w:szCs w:val="19"/>
          <w:color w:val="auto"/>
        </w:rPr>
        <w:t>If any party determines, in its sole discretion exercised in good faith, that it has received a refund</w:t>
      </w:r>
      <w:r>
        <w:rPr>
          <w:rFonts w:ascii="Arial" w:cs="Arial" w:eastAsia="Arial" w:hAnsi="Arial"/>
          <w:sz w:val="19"/>
          <w:szCs w:val="19"/>
          <w:b w:val="1"/>
          <w:bCs w:val="1"/>
          <w:color w:val="auto"/>
        </w:rPr>
        <w:t xml:space="preserve"> </w:t>
      </w:r>
      <w:r>
        <w:rPr>
          <w:rFonts w:ascii="Arial" w:cs="Arial" w:eastAsia="Arial" w:hAnsi="Arial"/>
          <w:sz w:val="19"/>
          <w:szCs w:val="19"/>
          <w:color w:val="auto"/>
        </w:rPr>
        <w:t>of any Taxes as to which it has been indemnified pursuant to the provisions of this Exhibit C</w:t>
      </w:r>
    </w:p>
    <w:p>
      <w:pPr>
        <w:sectPr>
          <w:pgSz w:w="11900" w:h="16838" w:orient="portrait"/>
          <w:cols w:equalWidth="0" w:num="1">
            <w:col w:w="10629"/>
          </w:cols>
          <w:pgMar w:left="931" w:top="1351" w:right="339" w:bottom="1440" w:gutter="0" w:footer="0" w:header="0"/>
        </w:sectPr>
      </w:pPr>
    </w:p>
    <w:bookmarkStart w:id="261" w:name="page262"/>
    <w:bookmarkEnd w:id="261"/>
    <w:p>
      <w:pPr>
        <w:jc w:val="both"/>
        <w:spacing w:after="0" w:line="215" w:lineRule="auto"/>
        <w:rPr>
          <w:sz w:val="20"/>
          <w:szCs w:val="20"/>
          <w:color w:val="auto"/>
        </w:rPr>
      </w:pPr>
      <w:r>
        <w:rPr>
          <w:rFonts w:ascii="Arial" w:cs="Arial" w:eastAsia="Arial" w:hAnsi="Arial"/>
          <w:sz w:val="18"/>
          <w:szCs w:val="18"/>
          <w:color w:val="auto"/>
        </w:rPr>
        <w:t>(including by the payment of additional amounts pursuant to the provisions of this Exhibit C), it shall pay to the indemnifying party an amount equal to such refund (but only to the extent of indemnity payments made under the provisions of this Exhibit C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 (or any other information relating to its Taxes that it deems confidential) to the indemnifying party or any other Person.</w:t>
      </w:r>
    </w:p>
    <w:p>
      <w:pPr>
        <w:spacing w:after="0" w:line="133" w:lineRule="exact"/>
        <w:rPr>
          <w:sz w:val="20"/>
          <w:szCs w:val="20"/>
          <w:color w:val="auto"/>
        </w:rPr>
      </w:pPr>
    </w:p>
    <w:p>
      <w:pPr>
        <w:jc w:val="both"/>
        <w:ind w:firstLine="611"/>
        <w:spacing w:after="0" w:line="209" w:lineRule="auto"/>
        <w:tabs>
          <w:tab w:leader="none" w:pos="1228" w:val="left"/>
        </w:tabs>
        <w:numPr>
          <w:ilvl w:val="0"/>
          <w:numId w:val="2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Increased Costs. </w:t>
      </w:r>
      <w:r>
        <w:rPr>
          <w:rFonts w:ascii="Arial" w:cs="Arial" w:eastAsia="Arial" w:hAnsi="Arial"/>
          <w:sz w:val="19"/>
          <w:szCs w:val="19"/>
          <w:color w:val="auto"/>
        </w:rPr>
        <w:t>If any change in applicable law shall subject any Recipient to any Taxes (other than (A) Indemnified Taxes, (B)</w:t>
      </w:r>
      <w:r>
        <w:rPr>
          <w:rFonts w:ascii="Arial" w:cs="Arial" w:eastAsia="Arial" w:hAnsi="Arial"/>
          <w:sz w:val="19"/>
          <w:szCs w:val="19"/>
          <w:b w:val="1"/>
          <w:bCs w:val="1"/>
          <w:color w:val="auto"/>
        </w:rPr>
        <w:t xml:space="preserve"> </w:t>
      </w:r>
      <w:r>
        <w:rPr>
          <w:rFonts w:ascii="Arial" w:cs="Arial" w:eastAsia="Arial" w:hAnsi="Arial"/>
          <w:sz w:val="19"/>
          <w:szCs w:val="19"/>
          <w:color w:val="auto"/>
        </w:rPr>
        <w:t>Taxes 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or of maintaining its obligation to make any such Term Loan, or to reduce the amount of any sum received or receivable by such Recipient (whether of principal, interest or any other amount), then, upon the request of such Recipient, Borrower will pay to such Recipient such additional amount or amounts as will compensate such Recipient for such additional costs incurred or reduction suffered.</w:t>
      </w:r>
    </w:p>
    <w:p>
      <w:pPr>
        <w:spacing w:after="0" w:line="115" w:lineRule="exact"/>
        <w:rPr>
          <w:rFonts w:ascii="Arial" w:cs="Arial" w:eastAsia="Arial" w:hAnsi="Arial"/>
          <w:sz w:val="19"/>
          <w:szCs w:val="19"/>
          <w:b w:val="1"/>
          <w:bCs w:val="1"/>
          <w:color w:val="auto"/>
        </w:rPr>
      </w:pPr>
    </w:p>
    <w:p>
      <w:pPr>
        <w:jc w:val="both"/>
        <w:ind w:firstLine="611"/>
        <w:spacing w:after="0" w:line="222" w:lineRule="auto"/>
        <w:tabs>
          <w:tab w:leader="none" w:pos="1232" w:val="left"/>
        </w:tabs>
        <w:numPr>
          <w:ilvl w:val="0"/>
          <w:numId w:val="2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Survival. </w:t>
      </w:r>
      <w:r>
        <w:rPr>
          <w:rFonts w:ascii="Arial" w:cs="Arial" w:eastAsia="Arial" w:hAnsi="Arial"/>
          <w:sz w:val="19"/>
          <w:szCs w:val="19"/>
          <w:color w:val="auto"/>
        </w:rPr>
        <w:t>Each party’s obligations under the provisions of this Exhibit C shall survive the resignation or replacement of Collateral</w:t>
      </w:r>
      <w:r>
        <w:rPr>
          <w:rFonts w:ascii="Arial" w:cs="Arial" w:eastAsia="Arial" w:hAnsi="Arial"/>
          <w:sz w:val="19"/>
          <w:szCs w:val="19"/>
          <w:b w:val="1"/>
          <w:bCs w:val="1"/>
          <w:color w:val="auto"/>
        </w:rPr>
        <w:t xml:space="preserve"> </w:t>
      </w:r>
      <w:r>
        <w:rPr>
          <w:rFonts w:ascii="Arial" w:cs="Arial" w:eastAsia="Arial" w:hAnsi="Arial"/>
          <w:sz w:val="19"/>
          <w:szCs w:val="19"/>
          <w:color w:val="auto"/>
        </w:rPr>
        <w:t>Agent or any assignment of rights by, or the replacement of, a Lender, the termination of the Term Loan Commitments and the repayment, satisfaction or discharge of all obligations under any Loan Document.</w:t>
      </w:r>
    </w:p>
    <w:p>
      <w:pPr>
        <w:sectPr>
          <w:pgSz w:w="11900" w:h="16838" w:orient="portrait"/>
          <w:cols w:equalWidth="0" w:num="1">
            <w:col w:w="11240"/>
          </w:cols>
          <w:pgMar w:left="320" w:top="1351"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9"/>
          <w:szCs w:val="19"/>
          <w:b w:val="1"/>
          <w:bCs w:val="1"/>
          <w:color w:val="auto"/>
        </w:rPr>
        <w:t>EXHIBIT D</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180" w:type="dxa"/>
            <w:vAlign w:val="bottom"/>
          </w:tcPr>
          <w:p>
            <w:pPr>
              <w:spacing w:after="0"/>
              <w:rPr>
                <w:sz w:val="21"/>
                <w:szCs w:val="21"/>
                <w:color w:val="auto"/>
              </w:rPr>
            </w:pPr>
          </w:p>
        </w:tc>
        <w:tc>
          <w:tcPr>
            <w:tcW w:w="6580" w:type="dxa"/>
            <w:vAlign w:val="bottom"/>
          </w:tcPr>
          <w:p>
            <w:pPr>
              <w:ind w:left="1260"/>
              <w:spacing w:after="0"/>
              <w:rPr>
                <w:sz w:val="20"/>
                <w:szCs w:val="20"/>
                <w:color w:val="auto"/>
              </w:rPr>
            </w:pPr>
            <w:r>
              <w:rPr>
                <w:rFonts w:ascii="Arial" w:cs="Arial" w:eastAsia="Arial" w:hAnsi="Arial"/>
                <w:sz w:val="19"/>
                <w:szCs w:val="19"/>
                <w:b w:val="1"/>
                <w:bCs w:val="1"/>
                <w:color w:val="auto"/>
              </w:rPr>
              <w:t>Loan Payment Request Form</w:t>
            </w:r>
          </w:p>
        </w:tc>
      </w:tr>
      <w:tr>
        <w:trPr>
          <w:trHeight w:val="362"/>
        </w:trPr>
        <w:tc>
          <w:tcPr>
            <w:tcW w:w="9760" w:type="dxa"/>
            <w:vAlign w:val="bottom"/>
            <w:gridSpan w:val="2"/>
          </w:tcPr>
          <w:p>
            <w:pPr>
              <w:spacing w:after="0"/>
              <w:rPr>
                <w:sz w:val="20"/>
                <w:szCs w:val="20"/>
                <w:color w:val="auto"/>
              </w:rPr>
            </w:pPr>
            <w:r>
              <w:rPr>
                <w:rFonts w:ascii="Arial" w:cs="Arial" w:eastAsia="Arial" w:hAnsi="Arial"/>
                <w:sz w:val="19"/>
                <w:szCs w:val="19"/>
                <w:color w:val="auto"/>
              </w:rPr>
              <w:t>Fax To: (212) 993-1698  Date: _____________________</w:t>
            </w:r>
          </w:p>
        </w:tc>
      </w:tr>
      <w:tr>
        <w:trPr>
          <w:trHeight w:val="202"/>
        </w:trPr>
        <w:tc>
          <w:tcPr>
            <w:tcW w:w="318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r>
      <w:tr>
        <w:trPr>
          <w:trHeight w:val="209"/>
        </w:trPr>
        <w:tc>
          <w:tcPr>
            <w:tcW w:w="3180" w:type="dxa"/>
            <w:vAlign w:val="bottom"/>
            <w:tcBorders>
              <w:left w:val="single" w:sz="8" w:color="auto"/>
            </w:tcBorders>
          </w:tcPr>
          <w:p>
            <w:pPr>
              <w:ind w:left="40"/>
              <w:spacing w:after="0" w:line="209" w:lineRule="exact"/>
              <w:rPr>
                <w:sz w:val="20"/>
                <w:szCs w:val="20"/>
                <w:color w:val="auto"/>
              </w:rPr>
            </w:pPr>
            <w:r>
              <w:rPr>
                <w:rFonts w:ascii="Arial" w:cs="Arial" w:eastAsia="Arial" w:hAnsi="Arial"/>
                <w:sz w:val="19"/>
                <w:szCs w:val="19"/>
                <w:b w:val="1"/>
                <w:bCs w:val="1"/>
                <w:color w:val="auto"/>
              </w:rPr>
              <w:t>Loan Payment</w:t>
            </w:r>
            <w:r>
              <w:rPr>
                <w:rFonts w:ascii="Arial" w:cs="Arial" w:eastAsia="Arial" w:hAnsi="Arial"/>
                <w:sz w:val="13"/>
                <w:szCs w:val="13"/>
                <w:b w:val="1"/>
                <w:bCs w:val="1"/>
                <w:color w:val="auto"/>
              </w:rPr>
              <w:t>:</w:t>
            </w:r>
          </w:p>
        </w:tc>
        <w:tc>
          <w:tcPr>
            <w:tcW w:w="6580" w:type="dxa"/>
            <w:vAlign w:val="bottom"/>
            <w:tcBorders>
              <w:right w:val="single" w:sz="8" w:color="auto"/>
            </w:tcBorders>
          </w:tcPr>
          <w:p>
            <w:pPr>
              <w:spacing w:after="0"/>
              <w:rPr>
                <w:sz w:val="18"/>
                <w:szCs w:val="18"/>
                <w:color w:val="auto"/>
              </w:rPr>
            </w:pPr>
          </w:p>
        </w:tc>
      </w:tr>
      <w:tr>
        <w:trPr>
          <w:trHeight w:val="241"/>
        </w:trPr>
        <w:tc>
          <w:tcPr>
            <w:tcW w:w="3180" w:type="dxa"/>
            <w:vAlign w:val="bottom"/>
            <w:tcBorders>
              <w:left w:val="single" w:sz="8" w:color="auto"/>
            </w:tcBorders>
          </w:tcPr>
          <w:p>
            <w:pPr>
              <w:ind w:left="40"/>
              <w:spacing w:after="0"/>
              <w:rPr>
                <w:sz w:val="20"/>
                <w:szCs w:val="20"/>
                <w:color w:val="auto"/>
              </w:rPr>
            </w:pPr>
            <w:r>
              <w:rPr>
                <w:rFonts w:ascii="Arial" w:cs="Arial" w:eastAsia="Arial" w:hAnsi="Arial"/>
                <w:sz w:val="19"/>
                <w:szCs w:val="19"/>
                <w:color w:val="auto"/>
                <w:w w:val="98"/>
              </w:rPr>
              <w:t>ARCUTIS BIOTHERAPEUTICS, INC.</w:t>
            </w:r>
          </w:p>
        </w:tc>
        <w:tc>
          <w:tcPr>
            <w:tcW w:w="6580" w:type="dxa"/>
            <w:vAlign w:val="bottom"/>
            <w:tcBorders>
              <w:right w:val="single" w:sz="8" w:color="auto"/>
            </w:tcBorders>
          </w:tcPr>
          <w:p>
            <w:pPr>
              <w:spacing w:after="0"/>
              <w:rPr>
                <w:sz w:val="20"/>
                <w:szCs w:val="20"/>
                <w:color w:val="auto"/>
              </w:rPr>
            </w:pPr>
          </w:p>
        </w:tc>
      </w:tr>
      <w:tr>
        <w:trPr>
          <w:trHeight w:val="578"/>
        </w:trPr>
        <w:tc>
          <w:tcPr>
            <w:tcW w:w="31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w w:val="89"/>
              </w:rPr>
              <w:t>From Account #________________________________</w:t>
            </w:r>
          </w:p>
        </w:tc>
        <w:tc>
          <w:tcPr>
            <w:tcW w:w="65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To Account #__________________________________________________</w:t>
            </w:r>
          </w:p>
        </w:tc>
      </w:tr>
      <w:tr>
        <w:trPr>
          <w:trHeight w:val="181"/>
        </w:trPr>
        <w:tc>
          <w:tcPr>
            <w:tcW w:w="3180" w:type="dxa"/>
            <w:vAlign w:val="bottom"/>
            <w:tcBorders>
              <w:left w:val="single" w:sz="8" w:color="auto"/>
            </w:tcBorders>
          </w:tcPr>
          <w:p>
            <w:pPr>
              <w:ind w:left="1280"/>
              <w:spacing w:after="0"/>
              <w:rPr>
                <w:sz w:val="20"/>
                <w:szCs w:val="20"/>
                <w:color w:val="auto"/>
              </w:rPr>
            </w:pPr>
            <w:r>
              <w:rPr>
                <w:rFonts w:ascii="Arial" w:cs="Arial" w:eastAsia="Arial" w:hAnsi="Arial"/>
                <w:sz w:val="14"/>
                <w:szCs w:val="14"/>
                <w:color w:val="auto"/>
              </w:rPr>
              <w:t>(Deposit Account #)</w:t>
            </w:r>
          </w:p>
        </w:tc>
        <w:tc>
          <w:tcPr>
            <w:tcW w:w="65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(Loan Account #)</w:t>
            </w:r>
          </w:p>
        </w:tc>
      </w:tr>
      <w:tr>
        <w:trPr>
          <w:trHeight w:val="181"/>
        </w:trPr>
        <w:tc>
          <w:tcPr>
            <w:tcW w:w="9760" w:type="dxa"/>
            <w:vAlign w:val="bottom"/>
            <w:tcBorders>
              <w:left w:val="single" w:sz="8" w:color="auto"/>
              <w:right w:val="single" w:sz="8" w:color="auto"/>
            </w:tcBorders>
            <w:gridSpan w:val="2"/>
          </w:tcPr>
          <w:p>
            <w:pPr>
              <w:ind w:left="1280"/>
              <w:spacing w:after="0"/>
              <w:rPr>
                <w:sz w:val="20"/>
                <w:szCs w:val="20"/>
                <w:color w:val="auto"/>
              </w:rPr>
            </w:pPr>
            <w:r>
              <w:rPr>
                <w:rFonts w:ascii="Arial" w:cs="Arial" w:eastAsia="Arial" w:hAnsi="Arial"/>
                <w:sz w:val="14"/>
                <w:szCs w:val="14"/>
                <w:color w:val="auto"/>
              </w:rPr>
              <w:t>Principal $____________________________________  and/or Interest $________________________________________________</w:t>
            </w:r>
          </w:p>
        </w:tc>
      </w:tr>
      <w:tr>
        <w:trPr>
          <w:trHeight w:val="620"/>
        </w:trPr>
        <w:tc>
          <w:tcPr>
            <w:tcW w:w="31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Authorized Signature:  Phone Number:</w:t>
            </w:r>
          </w:p>
        </w:tc>
        <w:tc>
          <w:tcPr>
            <w:tcW w:w="6580" w:type="dxa"/>
            <w:vAlign w:val="bottom"/>
            <w:tcBorders>
              <w:right w:val="single" w:sz="8" w:color="auto"/>
            </w:tcBorders>
          </w:tcPr>
          <w:p>
            <w:pPr>
              <w:spacing w:after="0"/>
              <w:rPr>
                <w:sz w:val="24"/>
                <w:szCs w:val="24"/>
                <w:color w:val="auto"/>
              </w:rPr>
            </w:pPr>
          </w:p>
        </w:tc>
      </w:tr>
      <w:tr>
        <w:trPr>
          <w:trHeight w:val="181"/>
        </w:trPr>
        <w:tc>
          <w:tcPr>
            <w:tcW w:w="31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Print Name/Title:</w:t>
            </w:r>
          </w:p>
        </w:tc>
        <w:tc>
          <w:tcPr>
            <w:tcW w:w="6580" w:type="dxa"/>
            <w:vAlign w:val="bottom"/>
            <w:tcBorders>
              <w:right w:val="single" w:sz="8" w:color="auto"/>
            </w:tcBorders>
          </w:tcPr>
          <w:p>
            <w:pPr>
              <w:spacing w:after="0"/>
              <w:rPr>
                <w:sz w:val="15"/>
                <w:szCs w:val="15"/>
                <w:color w:val="auto"/>
              </w:rPr>
            </w:pPr>
          </w:p>
        </w:tc>
      </w:tr>
      <w:tr>
        <w:trPr>
          <w:trHeight w:val="451"/>
        </w:trPr>
        <w:tc>
          <w:tcPr>
            <w:tcW w:w="3180" w:type="dxa"/>
            <w:vAlign w:val="bottom"/>
            <w:tcBorders>
              <w:left w:val="single" w:sz="8" w:color="auto"/>
              <w:bottom w:val="single" w:sz="8" w:color="auto"/>
            </w:tcBorders>
          </w:tcPr>
          <w:p>
            <w:pPr>
              <w:spacing w:after="0"/>
              <w:rPr>
                <w:sz w:val="24"/>
                <w:szCs w:val="24"/>
                <w:color w:val="auto"/>
              </w:rPr>
            </w:pPr>
          </w:p>
        </w:tc>
        <w:tc>
          <w:tcPr>
            <w:tcW w:w="658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221615</wp:posOffset>
            </wp:positionV>
            <wp:extent cx="6178550" cy="28632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6178550" cy="2863215"/>
                    </a:xfrm>
                    <a:prstGeom prst="rect">
                      <a:avLst/>
                    </a:prstGeom>
                    <a:noFill/>
                  </pic:spPr>
                </pic:pic>
              </a:graphicData>
            </a:graphic>
          </wp:anchor>
        </w:drawing>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Loan Advance</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Complete </w:t>
      </w:r>
      <w:r>
        <w:rPr>
          <w:rFonts w:ascii="Arial" w:cs="Arial" w:eastAsia="Arial" w:hAnsi="Arial"/>
          <w:sz w:val="14"/>
          <w:szCs w:val="14"/>
          <w:i w:val="1"/>
          <w:iCs w:val="1"/>
          <w:color w:val="auto"/>
        </w:rPr>
        <w:t>Outgoing Wire Request</w:t>
      </w:r>
      <w:r>
        <w:rPr>
          <w:rFonts w:ascii="Arial" w:cs="Arial" w:eastAsia="Arial" w:hAnsi="Arial"/>
          <w:sz w:val="14"/>
          <w:szCs w:val="14"/>
          <w:color w:val="auto"/>
        </w:rPr>
        <w:t xml:space="preserve"> section below if all or a portion of the funds from this loan advance are for an outgoing wire.</w:t>
      </w:r>
    </w:p>
    <w:p>
      <w:pPr>
        <w:spacing w:after="0" w:line="200" w:lineRule="exact"/>
        <w:rPr>
          <w:sz w:val="20"/>
          <w:szCs w:val="20"/>
          <w:color w:val="auto"/>
        </w:rPr>
      </w:pPr>
    </w:p>
    <w:p>
      <w:pPr>
        <w:spacing w:after="0" w:line="259" w:lineRule="exact"/>
        <w:rPr>
          <w:sz w:val="20"/>
          <w:szCs w:val="20"/>
          <w:color w:val="auto"/>
        </w:rPr>
      </w:pPr>
    </w:p>
    <w:p>
      <w:pPr>
        <w:ind w:left="40"/>
        <w:spacing w:after="0"/>
        <w:tabs>
          <w:tab w:leader="none" w:pos="3260" w:val="left"/>
        </w:tabs>
        <w:rPr>
          <w:sz w:val="20"/>
          <w:szCs w:val="20"/>
          <w:color w:val="auto"/>
        </w:rPr>
      </w:pPr>
      <w:r>
        <w:rPr>
          <w:rFonts w:ascii="Arial" w:cs="Arial" w:eastAsia="Arial" w:hAnsi="Arial"/>
          <w:sz w:val="14"/>
          <w:szCs w:val="14"/>
          <w:color w:val="auto"/>
        </w:rPr>
        <w:t>From Account #________________________________</w:t>
      </w:r>
      <w:r>
        <w:rPr>
          <w:sz w:val="20"/>
          <w:szCs w:val="20"/>
          <w:color w:val="auto"/>
        </w:rPr>
        <w:tab/>
      </w:r>
      <w:r>
        <w:rPr>
          <w:rFonts w:ascii="Arial" w:cs="Arial" w:eastAsia="Arial" w:hAnsi="Arial"/>
          <w:sz w:val="11"/>
          <w:szCs w:val="11"/>
          <w:color w:val="auto"/>
        </w:rPr>
        <w:t>To Account #__________________________________________________</w:t>
      </w:r>
    </w:p>
    <w:p>
      <w:pPr>
        <w:spacing w:after="0" w:line="20" w:lineRule="exact"/>
        <w:rPr>
          <w:sz w:val="20"/>
          <w:szCs w:val="20"/>
          <w:color w:val="auto"/>
        </w:rPr>
      </w:pPr>
    </w:p>
    <w:p>
      <w:pPr>
        <w:ind w:left="1280"/>
        <w:spacing w:after="0"/>
        <w:tabs>
          <w:tab w:leader="none" w:pos="3060" w:val="left"/>
        </w:tabs>
        <w:rPr>
          <w:sz w:val="20"/>
          <w:szCs w:val="20"/>
          <w:color w:val="auto"/>
        </w:rPr>
      </w:pPr>
      <w:r>
        <w:rPr>
          <w:rFonts w:ascii="Arial" w:cs="Arial" w:eastAsia="Arial" w:hAnsi="Arial"/>
          <w:sz w:val="14"/>
          <w:szCs w:val="14"/>
          <w:color w:val="auto"/>
        </w:rPr>
        <w:t>(Loan Account #)</w:t>
      </w:r>
      <w:r>
        <w:rPr>
          <w:sz w:val="20"/>
          <w:szCs w:val="20"/>
          <w:color w:val="auto"/>
        </w:rPr>
        <w:tab/>
      </w:r>
      <w:r>
        <w:rPr>
          <w:rFonts w:ascii="Arial" w:cs="Arial" w:eastAsia="Arial" w:hAnsi="Arial"/>
          <w:sz w:val="11"/>
          <w:szCs w:val="11"/>
          <w:color w:val="auto"/>
        </w:rPr>
        <w:t>(Deposit Account #)</w:t>
      </w:r>
    </w:p>
    <w:p>
      <w:pPr>
        <w:spacing w:after="0" w:line="200" w:lineRule="exact"/>
        <w:rPr>
          <w:sz w:val="20"/>
          <w:szCs w:val="20"/>
          <w:color w:val="auto"/>
        </w:rPr>
      </w:pP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Amount of Advance $___________________________</w:t>
      </w:r>
    </w:p>
    <w:p>
      <w:pPr>
        <w:spacing w:after="0" w:line="200" w:lineRule="exact"/>
        <w:rPr>
          <w:sz w:val="20"/>
          <w:szCs w:val="20"/>
          <w:color w:val="auto"/>
        </w:rPr>
      </w:pPr>
    </w:p>
    <w:p>
      <w:pPr>
        <w:spacing w:after="0" w:line="259" w:lineRule="exact"/>
        <w:rPr>
          <w:sz w:val="20"/>
          <w:szCs w:val="20"/>
          <w:color w:val="auto"/>
        </w:rPr>
      </w:pPr>
    </w:p>
    <w:p>
      <w:pPr>
        <w:ind w:left="40" w:right="1640" w:firstLine="1240"/>
        <w:spacing w:after="0" w:line="276" w:lineRule="auto"/>
        <w:rPr>
          <w:sz w:val="20"/>
          <w:szCs w:val="20"/>
          <w:color w:val="auto"/>
        </w:rPr>
      </w:pPr>
      <w:r>
        <w:rPr>
          <w:rFonts w:ascii="Arial" w:cs="Arial" w:eastAsia="Arial" w:hAnsi="Arial"/>
          <w:sz w:val="14"/>
          <w:szCs w:val="14"/>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200" w:lineRule="exact"/>
        <w:rPr>
          <w:sz w:val="20"/>
          <w:szCs w:val="20"/>
          <w:color w:val="auto"/>
        </w:rPr>
      </w:pPr>
    </w:p>
    <w:p>
      <w:pPr>
        <w:spacing w:after="0" w:line="218"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4"/>
          <w:szCs w:val="14"/>
          <w:color w:val="auto"/>
        </w:rPr>
        <w:t>Authorized Signature</w:t>
      </w:r>
      <w:r>
        <w:rPr>
          <w:rFonts w:ascii="Arial" w:cs="Arial" w:eastAsia="Arial" w:hAnsi="Arial"/>
          <w:sz w:val="14"/>
          <w:szCs w:val="14"/>
          <w:b w:val="1"/>
          <w:bCs w:val="1"/>
          <w:color w:val="auto"/>
        </w:rPr>
        <w:t>:</w:t>
      </w:r>
      <w:r>
        <w:rPr>
          <w:sz w:val="20"/>
          <w:szCs w:val="20"/>
          <w:color w:val="auto"/>
        </w:rPr>
        <w:tab/>
      </w:r>
      <w:r>
        <w:rPr>
          <w:rFonts w:ascii="Arial" w:cs="Arial" w:eastAsia="Arial" w:hAnsi="Arial"/>
          <w:sz w:val="11"/>
          <w:szCs w:val="11"/>
          <w:color w:val="auto"/>
        </w:rPr>
        <w:t>Phone Number:</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Print Name/Title</w:t>
      </w:r>
      <w:r>
        <w:rPr>
          <w:rFonts w:ascii="Arial" w:cs="Arial" w:eastAsia="Arial" w:hAnsi="Arial"/>
          <w:sz w:val="14"/>
          <w:szCs w:val="14"/>
          <w:b w:val="1"/>
          <w:bCs w:val="1"/>
          <w:color w:val="auto"/>
        </w:rPr>
        <w:t>:</w:t>
      </w:r>
    </w:p>
    <w:p>
      <w:pPr>
        <w:sectPr>
          <w:pgSz w:w="11900" w:h="16838" w:orient="portrait"/>
          <w:cols w:equalWidth="0" w:num="1">
            <w:col w:w="11240"/>
          </w:cols>
          <w:pgMar w:left="320" w:top="1345" w:right="339" w:bottom="1440" w:gutter="0" w:footer="0" w:header="0"/>
        </w:sectPr>
      </w:pPr>
    </w:p>
    <w:bookmarkStart w:id="263" w:name="page264"/>
    <w:bookmarkEnd w:id="263"/>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893445</wp:posOffset>
            </wp:positionV>
            <wp:extent cx="7146290" cy="35852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7146290" cy="3585210"/>
                    </a:xfrm>
                    <a:prstGeom prst="rect">
                      <a:avLst/>
                    </a:prstGeom>
                    <a:noFill/>
                  </pic:spPr>
                </pic:pic>
              </a:graphicData>
            </a:graphic>
          </wp:anchor>
        </w:drawing>
        <w:t>Outgoing Wire Request</w:t>
      </w:r>
      <w:r>
        <w:rPr>
          <w:rFonts w:ascii="Arial" w:cs="Arial" w:eastAsia="Arial" w:hAnsi="Arial"/>
          <w:sz w:val="13"/>
          <w:szCs w:val="13"/>
          <w:b w:val="1"/>
          <w:bCs w:val="1"/>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Complete only if all or a portion of funds from the loan advance above is to be wired.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12"/>
          </w:tcPr>
          <w:p>
            <w:pPr>
              <w:spacing w:after="0"/>
              <w:rPr>
                <w:sz w:val="20"/>
                <w:szCs w:val="20"/>
                <w:color w:val="auto"/>
              </w:rPr>
            </w:pPr>
            <w:r>
              <w:rPr>
                <w:rFonts w:ascii="Arial" w:cs="Arial" w:eastAsia="Arial" w:hAnsi="Arial"/>
                <w:sz w:val="14"/>
                <w:szCs w:val="14"/>
                <w:color w:val="auto"/>
                <w:w w:val="92"/>
              </w:rPr>
              <w:t>Beneficiary Name: _____________________________</w:t>
            </w:r>
          </w:p>
        </w:tc>
        <w:tc>
          <w:tcPr>
            <w:tcW w:w="2900" w:type="dxa"/>
            <w:vAlign w:val="bottom"/>
            <w:gridSpan w:val="3"/>
          </w:tcPr>
          <w:p>
            <w:pPr>
              <w:ind w:left="140"/>
              <w:spacing w:after="0"/>
              <w:rPr>
                <w:sz w:val="20"/>
                <w:szCs w:val="20"/>
                <w:color w:val="auto"/>
              </w:rPr>
            </w:pPr>
            <w:r>
              <w:rPr>
                <w:rFonts w:ascii="Arial" w:cs="Arial" w:eastAsia="Arial" w:hAnsi="Arial"/>
                <w:sz w:val="14"/>
                <w:szCs w:val="14"/>
                <w:color w:val="auto"/>
              </w:rPr>
              <w:t>Amount of Wire: $</w:t>
            </w: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8"/>
        </w:trPr>
        <w:tc>
          <w:tcPr>
            <w:tcW w:w="3200" w:type="dxa"/>
            <w:vAlign w:val="bottom"/>
            <w:gridSpan w:val="12"/>
          </w:tcPr>
          <w:p>
            <w:pPr>
              <w:spacing w:after="0"/>
              <w:rPr>
                <w:sz w:val="20"/>
                <w:szCs w:val="20"/>
                <w:color w:val="auto"/>
              </w:rPr>
            </w:pPr>
            <w:r>
              <w:rPr>
                <w:rFonts w:ascii="Arial" w:cs="Arial" w:eastAsia="Arial" w:hAnsi="Arial"/>
                <w:sz w:val="14"/>
                <w:szCs w:val="14"/>
                <w:color w:val="auto"/>
                <w:w w:val="91"/>
              </w:rPr>
              <w:t>Beneficiary Bank: ______________________________</w:t>
            </w:r>
          </w:p>
        </w:tc>
        <w:tc>
          <w:tcPr>
            <w:tcW w:w="2900" w:type="dxa"/>
            <w:vAlign w:val="bottom"/>
            <w:gridSpan w:val="3"/>
          </w:tcPr>
          <w:p>
            <w:pPr>
              <w:ind w:left="20"/>
              <w:spacing w:after="0"/>
              <w:rPr>
                <w:sz w:val="20"/>
                <w:szCs w:val="20"/>
                <w:color w:val="auto"/>
              </w:rPr>
            </w:pPr>
            <w:r>
              <w:rPr>
                <w:rFonts w:ascii="Arial" w:cs="Arial" w:eastAsia="Arial" w:hAnsi="Arial"/>
                <w:sz w:val="14"/>
                <w:szCs w:val="14"/>
                <w:color w:val="auto"/>
              </w:rPr>
              <w:t>Account Number:</w:t>
            </w:r>
          </w:p>
        </w:tc>
      </w:tr>
      <w:tr>
        <w:trPr>
          <w:trHeight w:val="154"/>
        </w:trPr>
        <w:tc>
          <w:tcPr>
            <w:tcW w:w="840" w:type="dxa"/>
            <w:vAlign w:val="bottom"/>
          </w:tcPr>
          <w:p>
            <w:pPr>
              <w:spacing w:after="0" w:line="154" w:lineRule="exact"/>
              <w:rPr>
                <w:sz w:val="20"/>
                <w:szCs w:val="20"/>
                <w:color w:val="auto"/>
              </w:rPr>
            </w:pPr>
            <w:r>
              <w:rPr>
                <w:rFonts w:ascii="Arial" w:cs="Arial" w:eastAsia="Arial" w:hAnsi="Arial"/>
                <w:sz w:val="14"/>
                <w:szCs w:val="14"/>
                <w:color w:val="auto"/>
                <w:w w:val="89"/>
              </w:rPr>
              <w:t>City and State:</w:t>
            </w:r>
          </w:p>
        </w:tc>
        <w:tc>
          <w:tcPr>
            <w:tcW w:w="140" w:type="dxa"/>
            <w:vAlign w:val="bottom"/>
            <w:tcBorders>
              <w:bottom w:val="single" w:sz="8" w:color="auto"/>
            </w:tcBorders>
          </w:tcPr>
          <w:p>
            <w:pPr>
              <w:spacing w:after="0"/>
              <w:rPr>
                <w:sz w:val="13"/>
                <w:szCs w:val="13"/>
                <w:color w:val="auto"/>
              </w:rPr>
            </w:pPr>
          </w:p>
        </w:tc>
        <w:tc>
          <w:tcPr>
            <w:tcW w:w="26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600"/>
        </w:trPr>
        <w:tc>
          <w:tcPr>
            <w:tcW w:w="1980" w:type="dxa"/>
            <w:vAlign w:val="bottom"/>
            <w:gridSpan w:val="7"/>
          </w:tcPr>
          <w:p>
            <w:pPr>
              <w:spacing w:after="0"/>
              <w:rPr>
                <w:sz w:val="20"/>
                <w:szCs w:val="20"/>
                <w:color w:val="auto"/>
              </w:rPr>
            </w:pPr>
            <w:r>
              <w:rPr>
                <w:rFonts w:ascii="Arial" w:cs="Arial" w:eastAsia="Arial" w:hAnsi="Arial"/>
                <w:sz w:val="14"/>
                <w:szCs w:val="14"/>
                <w:color w:val="auto"/>
                <w:w w:val="93"/>
              </w:rPr>
              <w:t>Beneficiary Bank Transit (ABA) #:</w:t>
            </w:r>
          </w:p>
        </w:tc>
        <w:tc>
          <w:tcPr>
            <w:tcW w:w="140" w:type="dxa"/>
            <w:vAlign w:val="bottom"/>
            <w:tcBorders>
              <w:bottom w:val="single" w:sz="8" w:color="auto"/>
            </w:tcBorders>
          </w:tcPr>
          <w:p>
            <w:pPr>
              <w:spacing w:after="0"/>
              <w:rPr>
                <w:sz w:val="24"/>
                <w:szCs w:val="24"/>
                <w:color w:val="auto"/>
              </w:rPr>
            </w:pPr>
          </w:p>
        </w:tc>
        <w:tc>
          <w:tcPr>
            <w:tcW w:w="2820" w:type="dxa"/>
            <w:vAlign w:val="bottom"/>
            <w:gridSpan w:val="5"/>
          </w:tcPr>
          <w:p>
            <w:pPr>
              <w:ind w:left="120"/>
              <w:spacing w:after="0"/>
              <w:rPr>
                <w:sz w:val="20"/>
                <w:szCs w:val="20"/>
                <w:color w:val="auto"/>
              </w:rPr>
            </w:pPr>
            <w:r>
              <w:rPr>
                <w:rFonts w:ascii="Arial" w:cs="Arial" w:eastAsia="Arial" w:hAnsi="Arial"/>
                <w:sz w:val="14"/>
                <w:szCs w:val="14"/>
                <w:color w:val="auto"/>
                <w:w w:val="92"/>
              </w:rPr>
              <w:t>Beneficiary Bank Code (Swift, Sort, Chip, etc.):</w:t>
            </w:r>
          </w:p>
        </w:tc>
        <w:tc>
          <w:tcPr>
            <w:tcW w:w="14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r>
      <w:tr>
        <w:trPr>
          <w:trHeight w:val="188"/>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3"/>
          </w:tcPr>
          <w:p>
            <w:pPr>
              <w:ind w:left="1140"/>
              <w:spacing w:after="0"/>
              <w:rPr>
                <w:sz w:val="20"/>
                <w:szCs w:val="20"/>
                <w:color w:val="auto"/>
              </w:rPr>
            </w:pPr>
            <w:r>
              <w:rPr>
                <w:rFonts w:ascii="Arial" w:cs="Arial" w:eastAsia="Arial" w:hAnsi="Arial"/>
                <w:sz w:val="14"/>
                <w:szCs w:val="14"/>
                <w:b w:val="1"/>
                <w:bCs w:val="1"/>
                <w:color w:val="auto"/>
                <w:w w:val="92"/>
              </w:rPr>
              <w:t>(For International Wire Only)</w:t>
            </w:r>
          </w:p>
        </w:tc>
      </w:tr>
      <w:tr>
        <w:trPr>
          <w:trHeight w:val="154"/>
        </w:trPr>
        <w:tc>
          <w:tcPr>
            <w:tcW w:w="1100" w:type="dxa"/>
            <w:vAlign w:val="bottom"/>
            <w:gridSpan w:val="3"/>
          </w:tcPr>
          <w:p>
            <w:pPr>
              <w:spacing w:after="0" w:line="154" w:lineRule="exact"/>
              <w:rPr>
                <w:sz w:val="20"/>
                <w:szCs w:val="20"/>
                <w:color w:val="auto"/>
              </w:rPr>
            </w:pPr>
            <w:r>
              <w:rPr>
                <w:rFonts w:ascii="Arial" w:cs="Arial" w:eastAsia="Arial" w:hAnsi="Arial"/>
                <w:sz w:val="14"/>
                <w:szCs w:val="14"/>
                <w:color w:val="auto"/>
                <w:w w:val="91"/>
              </w:rPr>
              <w:t>Intermediary Bank:</w:t>
            </w:r>
          </w:p>
        </w:tc>
        <w:tc>
          <w:tcPr>
            <w:tcW w:w="140" w:type="dxa"/>
            <w:vAlign w:val="bottom"/>
            <w:tcBorders>
              <w:bottom w:val="single" w:sz="8" w:color="auto"/>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ind w:left="20"/>
              <w:spacing w:after="0" w:line="154" w:lineRule="exact"/>
              <w:rPr>
                <w:sz w:val="20"/>
                <w:szCs w:val="20"/>
                <w:color w:val="auto"/>
              </w:rPr>
            </w:pPr>
            <w:r>
              <w:rPr>
                <w:rFonts w:ascii="Arial" w:cs="Arial" w:eastAsia="Arial" w:hAnsi="Arial"/>
                <w:sz w:val="14"/>
                <w:szCs w:val="14"/>
                <w:color w:val="auto"/>
                <w:w w:val="96"/>
              </w:rPr>
              <w:t>Transit (ABA) #:</w:t>
            </w:r>
          </w:p>
        </w:tc>
        <w:tc>
          <w:tcPr>
            <w:tcW w:w="140" w:type="dxa"/>
            <w:vAlign w:val="bottom"/>
            <w:tcBorders>
              <w:bottom w:val="single" w:sz="8" w:color="auto"/>
            </w:tcBorders>
          </w:tcPr>
          <w:p>
            <w:pPr>
              <w:spacing w:after="0"/>
              <w:rPr>
                <w:sz w:val="13"/>
                <w:szCs w:val="13"/>
                <w:color w:val="auto"/>
              </w:rPr>
            </w:pPr>
          </w:p>
        </w:tc>
        <w:tc>
          <w:tcPr>
            <w:tcW w:w="700" w:type="dxa"/>
            <w:vAlign w:val="bottom"/>
            <w:gridSpan w:val="2"/>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1"/>
        </w:trPr>
        <w:tc>
          <w:tcPr>
            <w:tcW w:w="1220" w:type="dxa"/>
            <w:vAlign w:val="bottom"/>
            <w:gridSpan w:val="4"/>
          </w:tcPr>
          <w:p>
            <w:pPr>
              <w:spacing w:after="0"/>
              <w:rPr>
                <w:sz w:val="20"/>
                <w:szCs w:val="20"/>
                <w:color w:val="auto"/>
              </w:rPr>
            </w:pPr>
            <w:r>
              <w:rPr>
                <w:rFonts w:ascii="Arial" w:cs="Arial" w:eastAsia="Arial" w:hAnsi="Arial"/>
                <w:sz w:val="14"/>
                <w:szCs w:val="14"/>
                <w:color w:val="auto"/>
                <w:w w:val="91"/>
              </w:rPr>
              <w:t>For Further Credit to:</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Special Instruction:</w:t>
      </w:r>
    </w:p>
    <w:p>
      <w:pPr>
        <w:spacing w:after="0" w:line="20" w:lineRule="exact"/>
        <w:rPr>
          <w:sz w:val="20"/>
          <w:szCs w:val="20"/>
          <w:color w:val="auto"/>
        </w:rPr>
      </w:pPr>
    </w:p>
    <w:p>
      <w:pPr>
        <w:spacing w:after="0" w:line="290" w:lineRule="auto"/>
        <w:rPr>
          <w:sz w:val="20"/>
          <w:szCs w:val="20"/>
          <w:color w:val="auto"/>
        </w:rPr>
      </w:pPr>
      <w:r>
        <w:rPr>
          <w:rFonts w:ascii="Arial" w:cs="Arial" w:eastAsia="Arial" w:hAnsi="Arial"/>
          <w:sz w:val="14"/>
          <w:szCs w:val="14"/>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ectPr>
          <w:pgSz w:w="11900" w:h="16838" w:orient="portrait"/>
          <w:cols w:equalWidth="0" w:num="1">
            <w:col w:w="11160"/>
          </w:cols>
          <w:pgMar w:left="360" w:top="1422" w:right="37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Authorized Signature: ___________________________</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Print Name/Title: ______________________________</w:t>
      </w:r>
    </w:p>
    <w:p>
      <w:pPr>
        <w:spacing w:after="0" w:line="54"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Telephone #:</w:t>
      </w:r>
      <w:r>
        <w:rPr>
          <w:sz w:val="20"/>
          <w:szCs w:val="20"/>
          <w:color w:val="auto"/>
        </w:rPr>
        <w:tab/>
      </w:r>
      <w:r>
        <w:rPr>
          <w:rFonts w:ascii="Arial" w:cs="Arial" w:eastAsia="Arial" w:hAnsi="Arial"/>
          <w:sz w:val="11"/>
          <w:szCs w:val="11"/>
          <w:color w:val="auto"/>
        </w:rPr>
        <w:t>Telephone #:</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r>
        <w:rPr>
          <w:rFonts w:ascii="Arial" w:cs="Arial" w:eastAsia="Arial" w:hAnsi="Arial"/>
          <w:sz w:val="7"/>
          <w:szCs w:val="7"/>
          <w:color w:val="auto"/>
        </w:rPr>
        <w:t>nd</w:t>
      </w:r>
      <w:r>
        <w:rPr>
          <w:rFonts w:ascii="Arial" w:cs="Arial" w:eastAsia="Arial" w:hAnsi="Arial"/>
          <w:sz w:val="11"/>
          <w:szCs w:val="11"/>
          <w:color w:val="auto"/>
        </w:rPr>
        <w:t xml:space="preserve"> Signature (if required): _______________________________________</w:t>
      </w:r>
    </w:p>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Print Name/Title: ______________________________________________</w:t>
      </w:r>
    </w:p>
    <w:p>
      <w:pPr>
        <w:sectPr>
          <w:pgSz w:w="11900" w:h="16838" w:orient="portrait"/>
          <w:cols w:equalWidth="0" w:num="2">
            <w:col w:w="3100" w:space="100"/>
            <w:col w:w="7960"/>
          </w:cols>
          <w:pgMar w:left="360" w:top="1422" w:right="379" w:bottom="1440" w:gutter="0" w:footer="0" w:header="0"/>
          <w:type w:val="continuous"/>
        </w:sectPr>
      </w:pPr>
    </w:p>
    <w:bookmarkStart w:id="264" w:name="page265"/>
    <w:bookmarkEnd w:id="264"/>
    <w:p>
      <w:pPr>
        <w:jc w:val="right"/>
        <w:spacing w:after="0"/>
        <w:rPr>
          <w:sz w:val="20"/>
          <w:szCs w:val="20"/>
          <w:color w:val="auto"/>
        </w:rPr>
      </w:pPr>
      <w:r>
        <w:rPr>
          <w:rFonts w:ascii="Arial" w:cs="Arial" w:eastAsia="Arial" w:hAnsi="Arial"/>
          <w:sz w:val="19"/>
          <w:szCs w:val="19"/>
          <w:b w:val="1"/>
          <w:bCs w:val="1"/>
          <w:color w:val="auto"/>
        </w:rPr>
        <w:t>EXHIBIT E</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10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20" w:type="dxa"/>
            <w:vAlign w:val="bottom"/>
          </w:tcPr>
          <w:p>
            <w:pPr>
              <w:ind w:left="140"/>
              <w:spacing w:after="0"/>
              <w:rPr>
                <w:sz w:val="20"/>
                <w:szCs w:val="20"/>
                <w:color w:val="auto"/>
              </w:rPr>
            </w:pPr>
            <w:r>
              <w:rPr>
                <w:rFonts w:ascii="Arial" w:cs="Arial" w:eastAsia="Arial" w:hAnsi="Arial"/>
                <w:sz w:val="19"/>
                <w:szCs w:val="19"/>
                <w:b w:val="1"/>
                <w:bCs w:val="1"/>
                <w:color w:val="auto"/>
                <w:w w:val="90"/>
              </w:rPr>
              <w:t>Compliance Certificate</w:t>
            </w:r>
          </w:p>
        </w:tc>
      </w:tr>
      <w:tr>
        <w:trPr>
          <w:trHeight w:val="357"/>
        </w:trPr>
        <w:tc>
          <w:tcPr>
            <w:tcW w:w="1080" w:type="dxa"/>
            <w:vAlign w:val="bottom"/>
          </w:tcPr>
          <w:p>
            <w:pPr>
              <w:spacing w:after="0"/>
              <w:rPr>
                <w:sz w:val="20"/>
                <w:szCs w:val="20"/>
                <w:color w:val="auto"/>
              </w:rPr>
            </w:pPr>
            <w:r>
              <w:rPr>
                <w:rFonts w:ascii="Arial" w:cs="Arial" w:eastAsia="Arial" w:hAnsi="Arial"/>
                <w:sz w:val="19"/>
                <w:szCs w:val="19"/>
                <w:color w:val="auto"/>
              </w:rPr>
              <w:t>TO:</w:t>
            </w:r>
          </w:p>
        </w:tc>
        <w:tc>
          <w:tcPr>
            <w:tcW w:w="5420" w:type="dxa"/>
            <w:vAlign w:val="bottom"/>
            <w:gridSpan w:val="3"/>
          </w:tcPr>
          <w:p>
            <w:pPr>
              <w:ind w:left="480"/>
              <w:spacing w:after="0"/>
              <w:rPr>
                <w:sz w:val="20"/>
                <w:szCs w:val="20"/>
                <w:color w:val="auto"/>
              </w:rPr>
            </w:pPr>
            <w:r>
              <w:rPr>
                <w:rFonts w:ascii="Arial" w:cs="Arial" w:eastAsia="Arial" w:hAnsi="Arial"/>
                <w:sz w:val="19"/>
                <w:szCs w:val="19"/>
                <w:color w:val="auto"/>
                <w:w w:val="97"/>
              </w:rPr>
              <w:t>SLR INVESTMENT CORP., as Collateral Agent and Lender</w:t>
            </w:r>
          </w:p>
        </w:tc>
      </w:tr>
      <w:tr>
        <w:trPr>
          <w:trHeight w:val="194"/>
        </w:trPr>
        <w:tc>
          <w:tcPr>
            <w:tcW w:w="1080" w:type="dxa"/>
            <w:vAlign w:val="bottom"/>
          </w:tcPr>
          <w:p>
            <w:pPr>
              <w:spacing w:after="0"/>
              <w:rPr>
                <w:sz w:val="16"/>
                <w:szCs w:val="16"/>
                <w:color w:val="auto"/>
              </w:rPr>
            </w:pPr>
          </w:p>
        </w:tc>
        <w:tc>
          <w:tcPr>
            <w:tcW w:w="5420" w:type="dxa"/>
            <w:vAlign w:val="bottom"/>
            <w:gridSpan w:val="3"/>
          </w:tcPr>
          <w:p>
            <w:pPr>
              <w:ind w:left="480"/>
              <w:spacing w:after="0" w:line="193" w:lineRule="exact"/>
              <w:rPr>
                <w:sz w:val="20"/>
                <w:szCs w:val="20"/>
                <w:color w:val="auto"/>
              </w:rPr>
            </w:pPr>
            <w:r>
              <w:rPr>
                <w:rFonts w:ascii="Arial" w:cs="Arial" w:eastAsia="Arial" w:hAnsi="Arial"/>
                <w:sz w:val="19"/>
                <w:szCs w:val="19"/>
                <w:color w:val="auto"/>
                <w:w w:val="93"/>
              </w:rPr>
              <w:t>and the Lenders listed on Schedule 1.1 of the Loan Agreement</w:t>
            </w:r>
          </w:p>
        </w:tc>
      </w:tr>
      <w:tr>
        <w:trPr>
          <w:trHeight w:val="20"/>
        </w:trPr>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62"/>
        </w:trPr>
        <w:tc>
          <w:tcPr>
            <w:tcW w:w="1080" w:type="dxa"/>
            <w:vAlign w:val="bottom"/>
          </w:tcPr>
          <w:p>
            <w:pPr>
              <w:spacing w:after="0"/>
              <w:rPr>
                <w:sz w:val="20"/>
                <w:szCs w:val="20"/>
                <w:color w:val="auto"/>
              </w:rPr>
            </w:pPr>
            <w:r>
              <w:rPr>
                <w:rFonts w:ascii="Arial" w:cs="Arial" w:eastAsia="Arial" w:hAnsi="Arial"/>
                <w:sz w:val="19"/>
                <w:szCs w:val="19"/>
                <w:color w:val="auto"/>
              </w:rPr>
              <w:t>FROM:</w:t>
            </w:r>
          </w:p>
        </w:tc>
        <w:tc>
          <w:tcPr>
            <w:tcW w:w="5420" w:type="dxa"/>
            <w:vAlign w:val="bottom"/>
            <w:gridSpan w:val="3"/>
          </w:tcPr>
          <w:p>
            <w:pPr>
              <w:ind w:left="480"/>
              <w:spacing w:after="0"/>
              <w:rPr>
                <w:sz w:val="20"/>
                <w:szCs w:val="20"/>
                <w:color w:val="auto"/>
              </w:rPr>
            </w:pPr>
            <w:r>
              <w:rPr>
                <w:rFonts w:ascii="Arial" w:cs="Arial" w:eastAsia="Arial" w:hAnsi="Arial"/>
                <w:sz w:val="19"/>
                <w:szCs w:val="19"/>
                <w:color w:val="auto"/>
              </w:rPr>
              <w:t>ARCUTIS BIOTHERAPEUTICS, INC.</w:t>
            </w:r>
          </w:p>
        </w:tc>
      </w:tr>
    </w:tbl>
    <w:p>
      <w:pPr>
        <w:spacing w:after="0" w:line="50"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7"/>
          <w:szCs w:val="17"/>
          <w:color w:val="auto"/>
        </w:rPr>
        <w:t>The undersigned authorized officer (“</w:t>
      </w:r>
      <w:r>
        <w:rPr>
          <w:rFonts w:ascii="Arial" w:cs="Arial" w:eastAsia="Arial" w:hAnsi="Arial"/>
          <w:sz w:val="17"/>
          <w:szCs w:val="17"/>
          <w:b w:val="1"/>
          <w:bCs w:val="1"/>
          <w:color w:val="auto"/>
        </w:rPr>
        <w:t>Officer</w:t>
      </w:r>
      <w:r>
        <w:rPr>
          <w:rFonts w:ascii="Arial" w:cs="Arial" w:eastAsia="Arial" w:hAnsi="Arial"/>
          <w:sz w:val="17"/>
          <w:szCs w:val="17"/>
          <w:color w:val="auto"/>
        </w:rPr>
        <w:t>”) of ARCUTIS BIOTHERAPEUTICS, INC. (“</w:t>
      </w:r>
      <w:r>
        <w:rPr>
          <w:rFonts w:ascii="Arial" w:cs="Arial" w:eastAsia="Arial" w:hAnsi="Arial"/>
          <w:sz w:val="17"/>
          <w:szCs w:val="17"/>
          <w:b w:val="1"/>
          <w:bCs w:val="1"/>
          <w:color w:val="auto"/>
        </w:rPr>
        <w:t>Borrower</w:t>
      </w:r>
      <w:r>
        <w:rPr>
          <w:rFonts w:ascii="Arial" w:cs="Arial" w:eastAsia="Arial" w:hAnsi="Arial"/>
          <w:sz w:val="17"/>
          <w:szCs w:val="17"/>
          <w:color w:val="auto"/>
        </w:rPr>
        <w:t>”), hereby certifies solely in his/her capacity as an officer of Borrower and not in his/her individual capacity, that in accordance with the terms and conditions of the Loan and Security Agreement dated as of December 22, 2021, by and among Borrower, Collateral Agent, and the Lenders from time to time party thereto (the “</w:t>
      </w:r>
      <w:r>
        <w:rPr>
          <w:rFonts w:ascii="Arial" w:cs="Arial" w:eastAsia="Arial" w:hAnsi="Arial"/>
          <w:sz w:val="17"/>
          <w:szCs w:val="17"/>
          <w:b w:val="1"/>
          <w:bCs w:val="1"/>
          <w:color w:val="auto"/>
        </w:rPr>
        <w:t>Loan</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capitalized terms used but not otherwise defined herein shall have the meanings given them in the Loan Agreement),</w:t>
      </w:r>
    </w:p>
    <w:p>
      <w:pPr>
        <w:spacing w:after="0" w:line="132" w:lineRule="exact"/>
        <w:rPr>
          <w:sz w:val="20"/>
          <w:szCs w:val="20"/>
          <w:color w:val="auto"/>
        </w:rPr>
      </w:pPr>
    </w:p>
    <w:p>
      <w:pPr>
        <w:ind w:left="1860" w:hanging="641"/>
        <w:spacing w:after="0"/>
        <w:tabs>
          <w:tab w:leader="none" w:pos="18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Borrower is in complete compliance for the period ending _______________ with all required covenants except as noted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below;</w:t>
      </w:r>
    </w:p>
    <w:p>
      <w:pPr>
        <w:spacing w:after="0" w:line="127" w:lineRule="exact"/>
        <w:rPr>
          <w:sz w:val="20"/>
          <w:szCs w:val="20"/>
          <w:color w:val="auto"/>
        </w:rPr>
      </w:pPr>
    </w:p>
    <w:p>
      <w:pPr>
        <w:ind w:left="1860" w:hanging="641"/>
        <w:spacing w:after="0"/>
        <w:tabs>
          <w:tab w:leader="none" w:pos="186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There are no Default or Events of Default, except as noted below;</w:t>
      </w:r>
    </w:p>
    <w:p>
      <w:pPr>
        <w:spacing w:after="0" w:line="156" w:lineRule="exact"/>
        <w:rPr>
          <w:rFonts w:ascii="Arial" w:cs="Arial" w:eastAsia="Arial" w:hAnsi="Arial"/>
          <w:sz w:val="19"/>
          <w:szCs w:val="19"/>
          <w:color w:val="auto"/>
        </w:rPr>
      </w:pPr>
    </w:p>
    <w:p>
      <w:pPr>
        <w:jc w:val="both"/>
        <w:ind w:firstLine="1219"/>
        <w:spacing w:after="0"/>
        <w:tabs>
          <w:tab w:leader="none" w:pos="185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35" w:lineRule="exact"/>
        <w:rPr>
          <w:rFonts w:ascii="Arial" w:cs="Arial" w:eastAsia="Arial" w:hAnsi="Arial"/>
          <w:sz w:val="17"/>
          <w:szCs w:val="17"/>
          <w:color w:val="auto"/>
        </w:rPr>
      </w:pPr>
    </w:p>
    <w:p>
      <w:pPr>
        <w:jc w:val="both"/>
        <w:ind w:firstLine="1219"/>
        <w:spacing w:after="0" w:line="232" w:lineRule="auto"/>
        <w:tabs>
          <w:tab w:leader="none" w:pos="184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23" w:lineRule="exact"/>
        <w:rPr>
          <w:rFonts w:ascii="Arial" w:cs="Arial" w:eastAsia="Arial" w:hAnsi="Arial"/>
          <w:sz w:val="18"/>
          <w:szCs w:val="18"/>
          <w:color w:val="auto"/>
        </w:rPr>
      </w:pPr>
    </w:p>
    <w:p>
      <w:pPr>
        <w:ind w:firstLine="1219"/>
        <w:spacing w:after="0" w:line="231" w:lineRule="auto"/>
        <w:tabs>
          <w:tab w:leader="none" w:pos="1852" w:val="left"/>
        </w:tabs>
        <w:numPr>
          <w:ilvl w:val="0"/>
          <w:numId w:val="224"/>
        </w:numPr>
        <w:rPr>
          <w:rFonts w:ascii="Arial" w:cs="Arial" w:eastAsia="Arial" w:hAnsi="Arial"/>
          <w:sz w:val="19"/>
          <w:szCs w:val="19"/>
          <w:color w:val="auto"/>
        </w:rPr>
      </w:pPr>
      <w:r>
        <w:rPr>
          <w:rFonts w:ascii="Arial" w:cs="Arial" w:eastAsia="Arial" w:hAnsi="Arial"/>
          <w:sz w:val="19"/>
          <w:szCs w:val="19"/>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35" w:lineRule="exact"/>
        <w:rPr>
          <w:sz w:val="20"/>
          <w:szCs w:val="20"/>
          <w:color w:val="auto"/>
        </w:rPr>
      </w:pPr>
    </w:p>
    <w:p>
      <w:pPr>
        <w:jc w:val="both"/>
        <w:ind w:firstLine="620"/>
        <w:spacing w:after="0" w:line="212" w:lineRule="auto"/>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since the last Compliance Certificate by circling Yes, No, or N/A under “Complies”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16408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215" w:lineRule="exact"/>
        <w:rPr>
          <w:sz w:val="20"/>
          <w:szCs w:val="20"/>
          <w:color w:val="auto"/>
        </w:rPr>
      </w:pPr>
    </w:p>
    <w:p>
      <w:pPr>
        <w:ind w:left="100" w:hanging="97"/>
        <w:spacing w:after="0"/>
        <w:tabs>
          <w:tab w:leader="none" w:pos="100" w:val="left"/>
        </w:tabs>
        <w:numPr>
          <w:ilvl w:val="0"/>
          <w:numId w:val="225"/>
        </w:numPr>
        <w:rPr>
          <w:rFonts w:ascii="Arial" w:cs="Arial" w:eastAsia="Arial" w:hAnsi="Arial"/>
          <w:sz w:val="22"/>
          <w:szCs w:val="22"/>
          <w:color w:val="auto"/>
          <w:vertAlign w:val="superscript"/>
        </w:rPr>
      </w:pPr>
      <w:r>
        <w:rPr>
          <w:rFonts w:ascii="Arial" w:cs="Arial" w:eastAsia="Arial" w:hAnsi="Arial"/>
          <w:sz w:val="17"/>
          <w:szCs w:val="17"/>
          <w:color w:val="auto"/>
        </w:rPr>
        <w:t>Insert for annual and quarterly financial statements only.</w:t>
      </w:r>
    </w:p>
    <w:p>
      <w:pPr>
        <w:sectPr>
          <w:pgSz w:w="11900" w:h="16838" w:orient="portrait"/>
          <w:cols w:equalWidth="0" w:num="1">
            <w:col w:w="11240"/>
          </w:cols>
          <w:pgMar w:left="320" w:top="1344" w:right="339" w:bottom="1440" w:gutter="0" w:footer="0" w:header="0"/>
        </w:sectPr>
      </w:pPr>
    </w:p>
    <w:bookmarkStart w:id="265" w:name="page266"/>
    <w:bookmarkEnd w:id="265"/>
    <w:p>
      <w:pPr>
        <w:ind w:left="1400"/>
        <w:spacing w:after="0"/>
        <w:rPr>
          <w:sz w:val="20"/>
          <w:szCs w:val="20"/>
          <w:color w:val="auto"/>
        </w:rPr>
      </w:pPr>
      <w:r>
        <w:rPr>
          <w:rFonts w:ascii="Arial" w:cs="Arial" w:eastAsia="Arial" w:hAnsi="Arial"/>
          <w:sz w:val="17"/>
          <w:szCs w:val="17"/>
          <w:b w:val="1"/>
          <w:bCs w:val="1"/>
          <w:color w:val="auto"/>
        </w:rPr>
        <w:t>Reporting Covenant</w:t>
      </w:r>
    </w:p>
    <w:p>
      <w:pPr>
        <w:spacing w:after="0" w:line="20" w:lineRule="exact"/>
        <w:rPr>
          <w:sz w:val="20"/>
          <w:szCs w:val="20"/>
          <w:color w:val="auto"/>
        </w:rPr>
      </w:pPr>
      <w:r>
        <w:rPr>
          <w:sz w:val="20"/>
          <w:szCs w:val="20"/>
          <w:color w:val="auto"/>
        </w:rPr>
        <w:br w:type="column"/>
      </w:r>
    </w:p>
    <w:p>
      <w:pPr>
        <w:spacing w:after="0"/>
        <w:tabs>
          <w:tab w:leader="none" w:pos="2660" w:val="left"/>
          <w:tab w:leader="none" w:pos="4520" w:val="left"/>
        </w:tabs>
        <w:rPr>
          <w:sz w:val="20"/>
          <w:szCs w:val="20"/>
          <w:color w:val="auto"/>
        </w:rPr>
      </w:pPr>
      <w:r>
        <w:rPr>
          <w:rFonts w:ascii="Arial" w:cs="Arial" w:eastAsia="Arial" w:hAnsi="Arial"/>
          <w:sz w:val="19"/>
          <w:szCs w:val="19"/>
          <w:b w:val="1"/>
          <w:bCs w:val="1"/>
          <w:color w:val="auto"/>
        </w:rPr>
        <w:t>Requirement</w:t>
      </w:r>
      <w:r>
        <w:rPr>
          <w:sz w:val="20"/>
          <w:szCs w:val="20"/>
          <w:color w:val="auto"/>
        </w:rPr>
        <w:tab/>
      </w:r>
      <w:r>
        <w:rPr>
          <w:rFonts w:ascii="Arial" w:cs="Arial" w:eastAsia="Arial" w:hAnsi="Arial"/>
          <w:sz w:val="19"/>
          <w:szCs w:val="19"/>
          <w:b w:val="1"/>
          <w:bCs w:val="1"/>
          <w:color w:val="auto"/>
        </w:rPr>
        <w:t>Actual</w:t>
      </w:r>
      <w:r>
        <w:rPr>
          <w:sz w:val="20"/>
          <w:szCs w:val="20"/>
          <w:color w:val="auto"/>
        </w:rPr>
        <w:tab/>
      </w:r>
      <w:r>
        <w:rPr>
          <w:rFonts w:ascii="Arial" w:cs="Arial" w:eastAsia="Arial" w:hAnsi="Arial"/>
          <w:sz w:val="16"/>
          <w:szCs w:val="16"/>
          <w:b w:val="1"/>
          <w:bCs w:val="1"/>
          <w:color w:val="auto"/>
        </w:rPr>
        <w:t>Complies</w:t>
      </w:r>
    </w:p>
    <w:p>
      <w:pPr>
        <w:spacing w:after="0" w:line="28" w:lineRule="exact"/>
        <w:rPr>
          <w:sz w:val="20"/>
          <w:szCs w:val="20"/>
          <w:color w:val="auto"/>
        </w:rPr>
      </w:pPr>
    </w:p>
    <w:p>
      <w:pPr>
        <w:sectPr>
          <w:pgSz w:w="11900" w:h="16838" w:orient="portrait"/>
          <w:cols w:equalWidth="0" w:num="2">
            <w:col w:w="4320" w:space="720"/>
            <w:col w:w="5940"/>
          </w:cols>
          <w:pgMar w:left="320" w:top="1396" w:right="599" w:bottom="1440" w:gutter="0" w:footer="0" w:header="0"/>
        </w:sectPr>
      </w:pPr>
    </w:p>
    <w:p>
      <w:pPr>
        <w:ind w:left="660" w:hanging="592"/>
        <w:spacing w:after="0"/>
        <w:tabs>
          <w:tab w:leader="none" w:pos="660" w:val="left"/>
        </w:tabs>
        <w:numPr>
          <w:ilvl w:val="0"/>
          <w:numId w:val="226"/>
        </w:numPr>
        <w:rPr>
          <w:rFonts w:ascii="Arial" w:cs="Arial" w:eastAsia="Arial" w:hAnsi="Arial"/>
          <w:sz w:val="19"/>
          <w:szCs w:val="19"/>
          <w:b w:val="1"/>
          <w:bCs w:val="1"/>
          <w:color w:val="auto"/>
        </w:rPr>
      </w:pPr>
      <w:r>
        <w:rPr>
          <w:rFonts w:ascii="Arial" w:cs="Arial" w:eastAsia="Arial" w:hAnsi="Arial"/>
          <w:sz w:val="19"/>
          <w:szCs w:val="19"/>
          <w:color w:val="auto"/>
        </w:rPr>
        <w:t>Monthly financial statements</w:t>
      </w:r>
    </w:p>
    <w:p>
      <w:pPr>
        <w:spacing w:after="0" w:line="14" w:lineRule="exact"/>
        <w:rPr>
          <w:rFonts w:ascii="Arial" w:cs="Arial" w:eastAsia="Arial" w:hAnsi="Arial"/>
          <w:sz w:val="19"/>
          <w:szCs w:val="19"/>
          <w:b w:val="1"/>
          <w:bCs w:val="1"/>
          <w:color w:val="auto"/>
        </w:rPr>
      </w:pPr>
    </w:p>
    <w:p>
      <w:pPr>
        <w:ind w:left="660" w:hanging="592"/>
        <w:spacing w:after="0"/>
        <w:tabs>
          <w:tab w:leader="none" w:pos="660" w:val="left"/>
        </w:tabs>
        <w:numPr>
          <w:ilvl w:val="0"/>
          <w:numId w:val="226"/>
        </w:numPr>
        <w:rPr>
          <w:rFonts w:ascii="Arial" w:cs="Arial" w:eastAsia="Arial" w:hAnsi="Arial"/>
          <w:sz w:val="19"/>
          <w:szCs w:val="19"/>
          <w:b w:val="1"/>
          <w:bCs w:val="1"/>
          <w:color w:val="auto"/>
        </w:rPr>
      </w:pPr>
      <w:r>
        <w:rPr>
          <w:rFonts w:ascii="Arial" w:cs="Arial" w:eastAsia="Arial" w:hAnsi="Arial"/>
          <w:sz w:val="19"/>
          <w:szCs w:val="19"/>
          <w:color w:val="auto"/>
        </w:rPr>
        <w:t>Quarterly financial statements</w:t>
      </w:r>
    </w:p>
    <w:p>
      <w:pPr>
        <w:spacing w:after="0" w:line="96" w:lineRule="exact"/>
        <w:rPr>
          <w:rFonts w:ascii="Arial" w:cs="Arial" w:eastAsia="Arial" w:hAnsi="Arial"/>
          <w:sz w:val="19"/>
          <w:szCs w:val="19"/>
          <w:b w:val="1"/>
          <w:bCs w:val="1"/>
          <w:color w:val="auto"/>
        </w:rPr>
      </w:pPr>
    </w:p>
    <w:p>
      <w:pPr>
        <w:ind w:left="660" w:hanging="592"/>
        <w:spacing w:after="0"/>
        <w:tabs>
          <w:tab w:leader="none" w:pos="660" w:val="left"/>
        </w:tabs>
        <w:numPr>
          <w:ilvl w:val="0"/>
          <w:numId w:val="226"/>
        </w:numPr>
        <w:rPr>
          <w:rFonts w:ascii="Arial" w:cs="Arial" w:eastAsia="Arial" w:hAnsi="Arial"/>
          <w:sz w:val="18"/>
          <w:szCs w:val="18"/>
          <w:b w:val="1"/>
          <w:bCs w:val="1"/>
          <w:color w:val="auto"/>
        </w:rPr>
      </w:pPr>
      <w:r>
        <w:rPr>
          <w:rFonts w:ascii="Arial" w:cs="Arial" w:eastAsia="Arial" w:hAnsi="Arial"/>
          <w:sz w:val="18"/>
          <w:szCs w:val="18"/>
          <w:color w:val="auto"/>
        </w:rPr>
        <w:t>Annual (CPA Audited) statements</w:t>
      </w:r>
    </w:p>
    <w:p>
      <w:pPr>
        <w:spacing w:after="0" w:line="296" w:lineRule="exact"/>
        <w:rPr>
          <w:rFonts w:ascii="Arial" w:cs="Arial" w:eastAsia="Arial" w:hAnsi="Arial"/>
          <w:sz w:val="18"/>
          <w:szCs w:val="18"/>
          <w:b w:val="1"/>
          <w:bCs w:val="1"/>
          <w:color w:val="auto"/>
        </w:rPr>
      </w:pPr>
    </w:p>
    <w:p>
      <w:pPr>
        <w:ind w:left="660" w:hanging="592"/>
        <w:spacing w:after="0"/>
        <w:tabs>
          <w:tab w:leader="none" w:pos="660" w:val="left"/>
        </w:tabs>
        <w:numPr>
          <w:ilvl w:val="0"/>
          <w:numId w:val="226"/>
        </w:numPr>
        <w:rPr>
          <w:rFonts w:ascii="Arial" w:cs="Arial" w:eastAsia="Arial" w:hAnsi="Arial"/>
          <w:sz w:val="17"/>
          <w:szCs w:val="17"/>
          <w:b w:val="1"/>
          <w:bCs w:val="1"/>
          <w:color w:val="auto"/>
        </w:rPr>
      </w:pPr>
      <w:r>
        <w:rPr>
          <w:rFonts w:ascii="Arial" w:cs="Arial" w:eastAsia="Arial" w:hAnsi="Arial"/>
          <w:sz w:val="17"/>
          <w:szCs w:val="17"/>
          <w:color w:val="auto"/>
        </w:rPr>
        <w:t>Annual Financial Projections/Budget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Monthly within 30 days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Quarterly within 45 days</w:t>
      </w:r>
    </w:p>
    <w:p>
      <w:pPr>
        <w:spacing w:after="0" w:line="14" w:lineRule="exact"/>
        <w:rPr>
          <w:sz w:val="20"/>
          <w:szCs w:val="20"/>
          <w:color w:val="auto"/>
        </w:rPr>
      </w:pPr>
    </w:p>
    <w:p>
      <w:pPr>
        <w:ind w:right="1260"/>
        <w:spacing w:after="0" w:line="227" w:lineRule="auto"/>
        <w:rPr>
          <w:sz w:val="20"/>
          <w:szCs w:val="20"/>
          <w:color w:val="auto"/>
        </w:rPr>
      </w:pPr>
      <w:r>
        <w:rPr>
          <w:rFonts w:ascii="Arial" w:cs="Arial" w:eastAsia="Arial" w:hAnsi="Arial"/>
          <w:sz w:val="19"/>
          <w:szCs w:val="19"/>
          <w:color w:val="auto"/>
        </w:rPr>
        <w:t>Within 90 days after FYE or 5 days after filing with SEC</w:t>
      </w:r>
    </w:p>
    <w:p>
      <w:pPr>
        <w:ind w:right="1400"/>
        <w:spacing w:after="0" w:line="200" w:lineRule="auto"/>
        <w:rPr>
          <w:sz w:val="20"/>
          <w:szCs w:val="20"/>
          <w:color w:val="auto"/>
        </w:rPr>
      </w:pPr>
      <w:r>
        <w:rPr>
          <w:rFonts w:ascii="Arial" w:cs="Arial" w:eastAsia="Arial" w:hAnsi="Arial"/>
          <w:sz w:val="19"/>
          <w:szCs w:val="19"/>
          <w:color w:val="auto"/>
        </w:rPr>
        <w:t>Annually (within earlier 10 days of approval or Feb 28</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each year), and when revised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9"/>
                <w:szCs w:val="19"/>
                <w:color w:val="auto"/>
              </w:rPr>
              <w:t>Yes</w:t>
            </w:r>
          </w:p>
        </w:tc>
        <w:tc>
          <w:tcPr>
            <w:tcW w:w="800" w:type="dxa"/>
            <w:vAlign w:val="bottom"/>
          </w:tcPr>
          <w:p>
            <w:pPr>
              <w:ind w:left="280"/>
              <w:spacing w:after="0"/>
              <w:rPr>
                <w:sz w:val="20"/>
                <w:szCs w:val="20"/>
                <w:color w:val="auto"/>
              </w:rPr>
            </w:pPr>
            <w:r>
              <w:rPr>
                <w:rFonts w:ascii="Arial" w:cs="Arial" w:eastAsia="Arial" w:hAnsi="Arial"/>
                <w:sz w:val="19"/>
                <w:szCs w:val="19"/>
                <w:color w:val="auto"/>
              </w:rPr>
              <w:t>No</w:t>
            </w:r>
          </w:p>
        </w:tc>
        <w:tc>
          <w:tcPr>
            <w:tcW w:w="620" w:type="dxa"/>
            <w:vAlign w:val="bottom"/>
          </w:tcPr>
          <w:p>
            <w:pPr>
              <w:ind w:left="300"/>
              <w:spacing w:after="0"/>
              <w:rPr>
                <w:sz w:val="20"/>
                <w:szCs w:val="20"/>
                <w:color w:val="auto"/>
              </w:rPr>
            </w:pPr>
            <w:r>
              <w:rPr>
                <w:rFonts w:ascii="Arial" w:cs="Arial" w:eastAsia="Arial" w:hAnsi="Arial"/>
                <w:sz w:val="19"/>
                <w:szCs w:val="19"/>
                <w:color w:val="auto"/>
                <w:w w:val="94"/>
              </w:rPr>
              <w:t>N/A</w:t>
            </w:r>
          </w:p>
        </w:tc>
      </w:tr>
      <w:tr>
        <w:trPr>
          <w:trHeight w:val="241"/>
        </w:trPr>
        <w:tc>
          <w:tcPr>
            <w:tcW w:w="580" w:type="dxa"/>
            <w:vAlign w:val="bottom"/>
          </w:tcPr>
          <w:p>
            <w:pPr>
              <w:spacing w:after="0"/>
              <w:rPr>
                <w:sz w:val="20"/>
                <w:szCs w:val="20"/>
                <w:color w:val="auto"/>
              </w:rPr>
            </w:pPr>
            <w:r>
              <w:rPr>
                <w:rFonts w:ascii="Arial" w:cs="Arial" w:eastAsia="Arial" w:hAnsi="Arial"/>
                <w:sz w:val="19"/>
                <w:szCs w:val="19"/>
                <w:color w:val="auto"/>
              </w:rPr>
              <w:t>Yes</w:t>
            </w:r>
          </w:p>
        </w:tc>
        <w:tc>
          <w:tcPr>
            <w:tcW w:w="800" w:type="dxa"/>
            <w:vAlign w:val="bottom"/>
          </w:tcPr>
          <w:p>
            <w:pPr>
              <w:ind w:left="280"/>
              <w:spacing w:after="0"/>
              <w:rPr>
                <w:sz w:val="20"/>
                <w:szCs w:val="20"/>
                <w:color w:val="auto"/>
              </w:rPr>
            </w:pPr>
            <w:r>
              <w:rPr>
                <w:rFonts w:ascii="Arial" w:cs="Arial" w:eastAsia="Arial" w:hAnsi="Arial"/>
                <w:sz w:val="19"/>
                <w:szCs w:val="19"/>
                <w:color w:val="auto"/>
              </w:rPr>
              <w:t>No</w:t>
            </w:r>
          </w:p>
        </w:tc>
        <w:tc>
          <w:tcPr>
            <w:tcW w:w="620" w:type="dxa"/>
            <w:vAlign w:val="bottom"/>
          </w:tcPr>
          <w:p>
            <w:pPr>
              <w:ind w:left="300"/>
              <w:spacing w:after="0"/>
              <w:rPr>
                <w:sz w:val="20"/>
                <w:szCs w:val="20"/>
                <w:color w:val="auto"/>
              </w:rPr>
            </w:pPr>
            <w:r>
              <w:rPr>
                <w:rFonts w:ascii="Arial" w:cs="Arial" w:eastAsia="Arial" w:hAnsi="Arial"/>
                <w:sz w:val="19"/>
                <w:szCs w:val="19"/>
                <w:color w:val="auto"/>
                <w:w w:val="94"/>
              </w:rPr>
              <w:t>N/A</w:t>
            </w:r>
          </w:p>
        </w:tc>
      </w:tr>
      <w:tr>
        <w:trPr>
          <w:trHeight w:val="323"/>
        </w:trPr>
        <w:tc>
          <w:tcPr>
            <w:tcW w:w="580" w:type="dxa"/>
            <w:vAlign w:val="bottom"/>
          </w:tcPr>
          <w:p>
            <w:pPr>
              <w:spacing w:after="0"/>
              <w:rPr>
                <w:sz w:val="20"/>
                <w:szCs w:val="20"/>
                <w:color w:val="auto"/>
              </w:rPr>
            </w:pPr>
            <w:r>
              <w:rPr>
                <w:rFonts w:ascii="Arial" w:cs="Arial" w:eastAsia="Arial" w:hAnsi="Arial"/>
                <w:sz w:val="19"/>
                <w:szCs w:val="19"/>
                <w:color w:val="auto"/>
              </w:rPr>
              <w:t>Yes</w:t>
            </w:r>
          </w:p>
        </w:tc>
        <w:tc>
          <w:tcPr>
            <w:tcW w:w="800" w:type="dxa"/>
            <w:vAlign w:val="bottom"/>
          </w:tcPr>
          <w:p>
            <w:pPr>
              <w:ind w:left="280"/>
              <w:spacing w:after="0"/>
              <w:rPr>
                <w:sz w:val="20"/>
                <w:szCs w:val="20"/>
                <w:color w:val="auto"/>
              </w:rPr>
            </w:pPr>
            <w:r>
              <w:rPr>
                <w:rFonts w:ascii="Arial" w:cs="Arial" w:eastAsia="Arial" w:hAnsi="Arial"/>
                <w:sz w:val="19"/>
                <w:szCs w:val="19"/>
                <w:color w:val="auto"/>
              </w:rPr>
              <w:t>No</w:t>
            </w:r>
          </w:p>
        </w:tc>
        <w:tc>
          <w:tcPr>
            <w:tcW w:w="620" w:type="dxa"/>
            <w:vAlign w:val="bottom"/>
          </w:tcPr>
          <w:p>
            <w:pPr>
              <w:ind w:left="300"/>
              <w:spacing w:after="0"/>
              <w:rPr>
                <w:sz w:val="20"/>
                <w:szCs w:val="20"/>
                <w:color w:val="auto"/>
              </w:rPr>
            </w:pPr>
            <w:r>
              <w:rPr>
                <w:rFonts w:ascii="Arial" w:cs="Arial" w:eastAsia="Arial" w:hAnsi="Arial"/>
                <w:sz w:val="19"/>
                <w:szCs w:val="19"/>
                <w:color w:val="auto"/>
                <w:w w:val="94"/>
              </w:rPr>
              <w:t>N/A</w:t>
            </w:r>
          </w:p>
        </w:tc>
      </w:tr>
      <w:tr>
        <w:trPr>
          <w:trHeight w:val="504"/>
        </w:trPr>
        <w:tc>
          <w:tcPr>
            <w:tcW w:w="580" w:type="dxa"/>
            <w:vAlign w:val="bottom"/>
          </w:tcPr>
          <w:p>
            <w:pPr>
              <w:spacing w:after="0"/>
              <w:rPr>
                <w:sz w:val="20"/>
                <w:szCs w:val="20"/>
                <w:color w:val="auto"/>
              </w:rPr>
            </w:pPr>
            <w:r>
              <w:rPr>
                <w:rFonts w:ascii="Arial" w:cs="Arial" w:eastAsia="Arial" w:hAnsi="Arial"/>
                <w:sz w:val="19"/>
                <w:szCs w:val="19"/>
                <w:color w:val="auto"/>
              </w:rPr>
              <w:t>Yes</w:t>
            </w:r>
          </w:p>
        </w:tc>
        <w:tc>
          <w:tcPr>
            <w:tcW w:w="800" w:type="dxa"/>
            <w:vAlign w:val="bottom"/>
          </w:tcPr>
          <w:p>
            <w:pPr>
              <w:ind w:left="280"/>
              <w:spacing w:after="0"/>
              <w:rPr>
                <w:sz w:val="20"/>
                <w:szCs w:val="20"/>
                <w:color w:val="auto"/>
              </w:rPr>
            </w:pPr>
            <w:r>
              <w:rPr>
                <w:rFonts w:ascii="Arial" w:cs="Arial" w:eastAsia="Arial" w:hAnsi="Arial"/>
                <w:sz w:val="19"/>
                <w:szCs w:val="19"/>
                <w:color w:val="auto"/>
              </w:rPr>
              <w:t>No</w:t>
            </w:r>
          </w:p>
        </w:tc>
        <w:tc>
          <w:tcPr>
            <w:tcW w:w="620" w:type="dxa"/>
            <w:vAlign w:val="bottom"/>
          </w:tcPr>
          <w:p>
            <w:pPr>
              <w:ind w:left="300"/>
              <w:spacing w:after="0"/>
              <w:rPr>
                <w:sz w:val="20"/>
                <w:szCs w:val="20"/>
                <w:color w:val="auto"/>
              </w:rPr>
            </w:pPr>
            <w:r>
              <w:rPr>
                <w:rFonts w:ascii="Arial" w:cs="Arial" w:eastAsia="Arial" w:hAnsi="Arial"/>
                <w:sz w:val="19"/>
                <w:szCs w:val="19"/>
                <w:color w:val="auto"/>
                <w:w w:val="94"/>
              </w:rPr>
              <w:t>N/A</w:t>
            </w:r>
          </w:p>
        </w:tc>
      </w:tr>
    </w:tbl>
    <w:p>
      <w:pPr>
        <w:spacing w:after="0" w:line="181" w:lineRule="exact"/>
        <w:rPr>
          <w:sz w:val="20"/>
          <w:szCs w:val="20"/>
          <w:color w:val="auto"/>
        </w:rPr>
      </w:pPr>
    </w:p>
    <w:p>
      <w:pPr>
        <w:sectPr>
          <w:pgSz w:w="11900" w:h="16838" w:orient="portrait"/>
          <w:cols w:equalWidth="0" w:num="3">
            <w:col w:w="3480" w:space="440"/>
            <w:col w:w="4340" w:space="720"/>
            <w:col w:w="2000"/>
          </w:cols>
          <w:pgMar w:left="320" w:top="1396" w:right="599" w:bottom="1440" w:gutter="0" w:footer="0" w:header="0"/>
          <w:type w:val="continuous"/>
        </w:sectPr>
      </w:pPr>
    </w:p>
    <w:tbl>
      <w:tblPr>
        <w:tblLayout w:type="fixed"/>
        <w:tblInd w:w="60" w:type="dxa"/>
        <w:tblCellMar>
          <w:top w:w="0" w:type="dxa"/>
          <w:left w:w="0" w:type="dxa"/>
          <w:bottom w:w="0" w:type="dxa"/>
          <w:right w:w="0" w:type="dxa"/>
        </w:tblCellMar>
      </w:tblPr>
      <w:tr>
        <w:trPr>
          <w:trHeight w:val="218"/>
        </w:trPr>
        <w:tc>
          <w:tcPr>
            <w:tcW w:w="380" w:type="dxa"/>
            <w:vAlign w:val="bottom"/>
          </w:tcPr>
          <w:p>
            <w:pPr>
              <w:jc w:val="right"/>
              <w:ind w:right="125"/>
              <w:spacing w:after="0"/>
              <w:rPr>
                <w:sz w:val="20"/>
                <w:szCs w:val="20"/>
                <w:color w:val="auto"/>
              </w:rPr>
            </w:pPr>
            <w:r>
              <w:rPr>
                <w:rFonts w:ascii="Arial" w:cs="Arial" w:eastAsia="Arial" w:hAnsi="Arial"/>
                <w:sz w:val="19"/>
                <w:szCs w:val="19"/>
                <w:b w:val="1"/>
                <w:bCs w:val="1"/>
                <w:color w:val="auto"/>
                <w:w w:val="82"/>
              </w:rPr>
              <w:t>5)</w:t>
            </w:r>
          </w:p>
        </w:tc>
        <w:tc>
          <w:tcPr>
            <w:tcW w:w="3380" w:type="dxa"/>
            <w:vAlign w:val="bottom"/>
          </w:tcPr>
          <w:p>
            <w:pPr>
              <w:ind w:left="220"/>
              <w:spacing w:after="0"/>
              <w:rPr>
                <w:sz w:val="20"/>
                <w:szCs w:val="20"/>
                <w:color w:val="auto"/>
              </w:rPr>
            </w:pPr>
            <w:r>
              <w:rPr>
                <w:rFonts w:ascii="Arial" w:cs="Arial" w:eastAsia="Arial" w:hAnsi="Arial"/>
                <w:sz w:val="19"/>
                <w:szCs w:val="19"/>
                <w:color w:val="auto"/>
              </w:rPr>
              <w:t>A/R &amp; A/P agings</w:t>
            </w:r>
          </w:p>
        </w:tc>
        <w:tc>
          <w:tcPr>
            <w:tcW w:w="1920" w:type="dxa"/>
            <w:vAlign w:val="bottom"/>
          </w:tcPr>
          <w:p>
            <w:pPr>
              <w:ind w:left="100"/>
              <w:spacing w:after="0"/>
              <w:rPr>
                <w:sz w:val="20"/>
                <w:szCs w:val="20"/>
                <w:color w:val="auto"/>
              </w:rPr>
            </w:pPr>
            <w:r>
              <w:rPr>
                <w:rFonts w:ascii="Arial" w:cs="Arial" w:eastAsia="Arial" w:hAnsi="Arial"/>
                <w:sz w:val="19"/>
                <w:szCs w:val="19"/>
                <w:color w:val="auto"/>
              </w:rPr>
              <w:t>If applicable</w:t>
            </w:r>
          </w:p>
        </w:tc>
        <w:tc>
          <w:tcPr>
            <w:tcW w:w="0" w:type="dxa"/>
            <w:vAlign w:val="bottom"/>
          </w:tcPr>
          <w:p>
            <w:pPr>
              <w:spacing w:after="0"/>
              <w:rPr>
                <w:sz w:val="1"/>
                <w:szCs w:val="1"/>
                <w:color w:val="auto"/>
              </w:rPr>
            </w:pPr>
          </w:p>
        </w:tc>
      </w:tr>
      <w:tr>
        <w:trPr>
          <w:trHeight w:val="239"/>
        </w:trPr>
        <w:tc>
          <w:tcPr>
            <w:tcW w:w="380" w:type="dxa"/>
            <w:vAlign w:val="bottom"/>
          </w:tcPr>
          <w:p>
            <w:pPr>
              <w:jc w:val="right"/>
              <w:ind w:right="125"/>
              <w:spacing w:after="0"/>
              <w:rPr>
                <w:sz w:val="20"/>
                <w:szCs w:val="20"/>
                <w:color w:val="auto"/>
              </w:rPr>
            </w:pPr>
            <w:r>
              <w:rPr>
                <w:rFonts w:ascii="Arial" w:cs="Arial" w:eastAsia="Arial" w:hAnsi="Arial"/>
                <w:sz w:val="19"/>
                <w:szCs w:val="19"/>
                <w:b w:val="1"/>
                <w:bCs w:val="1"/>
                <w:color w:val="auto"/>
                <w:w w:val="82"/>
              </w:rPr>
              <w:t>7)</w:t>
            </w:r>
          </w:p>
        </w:tc>
        <w:tc>
          <w:tcPr>
            <w:tcW w:w="3380" w:type="dxa"/>
            <w:vAlign w:val="bottom"/>
          </w:tcPr>
          <w:p>
            <w:pPr>
              <w:ind w:left="220"/>
              <w:spacing w:after="0"/>
              <w:rPr>
                <w:sz w:val="20"/>
                <w:szCs w:val="20"/>
                <w:color w:val="auto"/>
              </w:rPr>
            </w:pPr>
            <w:r>
              <w:rPr>
                <w:rFonts w:ascii="Arial" w:cs="Arial" w:eastAsia="Arial" w:hAnsi="Arial"/>
                <w:sz w:val="19"/>
                <w:szCs w:val="19"/>
                <w:color w:val="auto"/>
              </w:rPr>
              <w:t>Compliance Certificate</w:t>
            </w:r>
          </w:p>
        </w:tc>
        <w:tc>
          <w:tcPr>
            <w:tcW w:w="1920" w:type="dxa"/>
            <w:vAlign w:val="bottom"/>
          </w:tcPr>
          <w:p>
            <w:pPr>
              <w:ind w:left="100"/>
              <w:spacing w:after="0"/>
              <w:rPr>
                <w:sz w:val="20"/>
                <w:szCs w:val="20"/>
                <w:color w:val="auto"/>
              </w:rPr>
            </w:pPr>
            <w:r>
              <w:rPr>
                <w:rFonts w:ascii="Arial" w:cs="Arial" w:eastAsia="Arial" w:hAnsi="Arial"/>
                <w:sz w:val="19"/>
                <w:szCs w:val="19"/>
                <w:color w:val="auto"/>
                <w:w w:val="93"/>
              </w:rPr>
              <w:t>Monthly within 30 days</w:t>
            </w:r>
          </w:p>
        </w:tc>
        <w:tc>
          <w:tcPr>
            <w:tcW w:w="0" w:type="dxa"/>
            <w:vAlign w:val="bottom"/>
          </w:tcPr>
          <w:p>
            <w:pPr>
              <w:spacing w:after="0"/>
              <w:rPr>
                <w:sz w:val="1"/>
                <w:szCs w:val="1"/>
                <w:color w:val="auto"/>
              </w:rPr>
            </w:pPr>
          </w:p>
        </w:tc>
      </w:tr>
      <w:tr>
        <w:trPr>
          <w:trHeight w:val="185"/>
        </w:trPr>
        <w:tc>
          <w:tcPr>
            <w:tcW w:w="380" w:type="dxa"/>
            <w:vAlign w:val="bottom"/>
            <w:vMerge w:val="restart"/>
          </w:tcPr>
          <w:p>
            <w:pPr>
              <w:jc w:val="right"/>
              <w:ind w:right="125"/>
              <w:spacing w:after="0"/>
              <w:rPr>
                <w:sz w:val="20"/>
                <w:szCs w:val="20"/>
                <w:color w:val="auto"/>
              </w:rPr>
            </w:pPr>
            <w:r>
              <w:rPr>
                <w:rFonts w:ascii="Arial" w:cs="Arial" w:eastAsia="Arial" w:hAnsi="Arial"/>
                <w:sz w:val="19"/>
                <w:szCs w:val="19"/>
                <w:b w:val="1"/>
                <w:bCs w:val="1"/>
                <w:color w:val="auto"/>
                <w:w w:val="82"/>
              </w:rPr>
              <w:t>8)</w:t>
            </w:r>
          </w:p>
        </w:tc>
        <w:tc>
          <w:tcPr>
            <w:tcW w:w="3380" w:type="dxa"/>
            <w:vAlign w:val="bottom"/>
          </w:tcPr>
          <w:p>
            <w:pPr>
              <w:ind w:left="220"/>
              <w:spacing w:after="0" w:line="184" w:lineRule="exact"/>
              <w:rPr>
                <w:sz w:val="20"/>
                <w:szCs w:val="20"/>
                <w:color w:val="auto"/>
              </w:rPr>
            </w:pPr>
            <w:r>
              <w:rPr>
                <w:rFonts w:ascii="Arial" w:cs="Arial" w:eastAsia="Arial" w:hAnsi="Arial"/>
                <w:sz w:val="19"/>
                <w:szCs w:val="19"/>
                <w:color w:val="auto"/>
                <w:w w:val="91"/>
              </w:rPr>
              <w:t>IP notice (events reasonably expected to</w:t>
            </w:r>
          </w:p>
        </w:tc>
        <w:tc>
          <w:tcPr>
            <w:tcW w:w="1920" w:type="dxa"/>
            <w:vAlign w:val="bottom"/>
            <w:vMerge w:val="restart"/>
          </w:tcPr>
          <w:p>
            <w:pPr>
              <w:ind w:left="100"/>
              <w:spacing w:after="0"/>
              <w:rPr>
                <w:sz w:val="20"/>
                <w:szCs w:val="20"/>
                <w:color w:val="auto"/>
              </w:rPr>
            </w:pPr>
            <w:r>
              <w:rPr>
                <w:rFonts w:ascii="Arial" w:cs="Arial" w:eastAsia="Arial" w:hAnsi="Arial"/>
                <w:sz w:val="19"/>
                <w:szCs w:val="19"/>
                <w:color w:val="auto"/>
              </w:rPr>
              <w:t>When required</w:t>
            </w:r>
          </w:p>
        </w:tc>
        <w:tc>
          <w:tcPr>
            <w:tcW w:w="0" w:type="dxa"/>
            <w:vAlign w:val="bottom"/>
          </w:tcPr>
          <w:p>
            <w:pPr>
              <w:spacing w:after="0"/>
              <w:rPr>
                <w:sz w:val="1"/>
                <w:szCs w:val="1"/>
                <w:color w:val="auto"/>
              </w:rPr>
            </w:pPr>
          </w:p>
        </w:tc>
      </w:tr>
      <w:tr>
        <w:trPr>
          <w:trHeight w:val="181"/>
        </w:trPr>
        <w:tc>
          <w:tcPr>
            <w:tcW w:w="380" w:type="dxa"/>
            <w:vAlign w:val="bottom"/>
            <w:vMerge w:val="continue"/>
          </w:tcPr>
          <w:p>
            <w:pPr>
              <w:spacing w:after="0"/>
              <w:rPr>
                <w:sz w:val="15"/>
                <w:szCs w:val="15"/>
                <w:color w:val="auto"/>
              </w:rPr>
            </w:pPr>
          </w:p>
        </w:tc>
        <w:tc>
          <w:tcPr>
            <w:tcW w:w="3380" w:type="dxa"/>
            <w:vAlign w:val="bottom"/>
          </w:tcPr>
          <w:p>
            <w:pPr>
              <w:ind w:left="220"/>
              <w:spacing w:after="0" w:line="181" w:lineRule="exact"/>
              <w:rPr>
                <w:sz w:val="20"/>
                <w:szCs w:val="20"/>
                <w:color w:val="auto"/>
              </w:rPr>
            </w:pPr>
            <w:r>
              <w:rPr>
                <w:rFonts w:ascii="Arial" w:cs="Arial" w:eastAsia="Arial" w:hAnsi="Arial"/>
                <w:sz w:val="19"/>
                <w:szCs w:val="19"/>
                <w:color w:val="auto"/>
                <w:w w:val="95"/>
              </w:rPr>
              <w:t>materially and adversely affect value of</w:t>
            </w: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80" w:type="dxa"/>
            <w:vAlign w:val="bottom"/>
          </w:tcPr>
          <w:p>
            <w:pPr>
              <w:spacing w:after="0"/>
              <w:rPr>
                <w:sz w:val="20"/>
                <w:szCs w:val="20"/>
                <w:color w:val="auto"/>
              </w:rPr>
            </w:pPr>
          </w:p>
        </w:tc>
        <w:tc>
          <w:tcPr>
            <w:tcW w:w="3380" w:type="dxa"/>
            <w:vAlign w:val="bottom"/>
          </w:tcPr>
          <w:p>
            <w:pPr>
              <w:ind w:left="220"/>
              <w:spacing w:after="0"/>
              <w:rPr>
                <w:sz w:val="20"/>
                <w:szCs w:val="20"/>
                <w:color w:val="auto"/>
              </w:rPr>
            </w:pPr>
            <w:r>
              <w:rPr>
                <w:rFonts w:ascii="Arial" w:cs="Arial" w:eastAsia="Arial" w:hAnsi="Arial"/>
                <w:sz w:val="19"/>
                <w:szCs w:val="19"/>
                <w:color w:val="auto"/>
              </w:rPr>
              <w:t>IP or result in MAC)</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spacing w:after="0" w:line="203" w:lineRule="auto"/>
        <w:rPr>
          <w:sz w:val="20"/>
          <w:szCs w:val="20"/>
          <w:color w:val="auto"/>
        </w:rPr>
      </w:pPr>
      <w:r>
        <w:rPr>
          <w:rFonts w:ascii="Arial" w:cs="Arial" w:eastAsia="Arial" w:hAnsi="Arial"/>
          <w:sz w:val="19"/>
          <w:szCs w:val="19"/>
          <w:color w:val="auto"/>
        </w:rPr>
        <w:t>Total amount of Borrower’s cash and</w:t>
      </w:r>
    </w:p>
    <w:p>
      <w:pPr>
        <w:ind w:left="660" w:right="3160" w:hanging="592"/>
        <w:spacing w:after="0" w:line="184" w:lineRule="auto"/>
        <w:tabs>
          <w:tab w:leader="none" w:pos="660" w:val="left"/>
        </w:tabs>
        <w:numPr>
          <w:ilvl w:val="0"/>
          <w:numId w:val="227"/>
        </w:numPr>
        <w:rPr>
          <w:rFonts w:ascii="Arial" w:cs="Arial" w:eastAsia="Arial" w:hAnsi="Arial"/>
          <w:sz w:val="30"/>
          <w:szCs w:val="30"/>
          <w:b w:val="1"/>
          <w:bCs w:val="1"/>
          <w:color w:val="auto"/>
          <w:vertAlign w:val="subscript"/>
        </w:rPr>
      </w:pPr>
      <w:r>
        <w:rPr>
          <w:rFonts w:ascii="Arial" w:cs="Arial" w:eastAsia="Arial" w:hAnsi="Arial"/>
          <w:sz w:val="16"/>
          <w:szCs w:val="16"/>
          <w:color w:val="auto"/>
        </w:rPr>
        <w:t>cash equivalents at the last day of the measurement period</w:t>
      </w:r>
    </w:p>
    <w:p>
      <w:pPr>
        <w:spacing w:after="0" w:line="73" w:lineRule="exact"/>
        <w:rPr>
          <w:rFonts w:ascii="Arial" w:cs="Arial" w:eastAsia="Arial" w:hAnsi="Arial"/>
          <w:sz w:val="30"/>
          <w:szCs w:val="30"/>
          <w:b w:val="1"/>
          <w:bCs w:val="1"/>
          <w:color w:val="auto"/>
          <w:vertAlign w:val="subscript"/>
        </w:rPr>
      </w:pPr>
    </w:p>
    <w:p>
      <w:pPr>
        <w:ind w:left="660"/>
        <w:spacing w:after="0"/>
        <w:rPr>
          <w:rFonts w:ascii="Arial" w:cs="Arial" w:eastAsia="Arial" w:hAnsi="Arial"/>
          <w:sz w:val="30"/>
          <w:szCs w:val="30"/>
          <w:b w:val="1"/>
          <w:bCs w:val="1"/>
          <w:color w:val="auto"/>
          <w:vertAlign w:val="subscript"/>
        </w:rPr>
      </w:pPr>
      <w:r>
        <w:rPr>
          <w:rFonts w:ascii="Arial" w:cs="Arial" w:eastAsia="Arial" w:hAnsi="Arial"/>
          <w:sz w:val="19"/>
          <w:szCs w:val="19"/>
          <w:color w:val="auto"/>
        </w:rPr>
        <w:t>Total amount of Borrower’s</w:t>
      </w:r>
    </w:p>
    <w:p>
      <w:pPr>
        <w:ind w:left="660" w:right="2860" w:hanging="592"/>
        <w:spacing w:after="0" w:line="184" w:lineRule="auto"/>
        <w:tabs>
          <w:tab w:leader="none" w:pos="660" w:val="left"/>
        </w:tabs>
        <w:numPr>
          <w:ilvl w:val="0"/>
          <w:numId w:val="227"/>
        </w:numPr>
        <w:rPr>
          <w:rFonts w:ascii="Arial" w:cs="Arial" w:eastAsia="Arial" w:hAnsi="Arial"/>
          <w:sz w:val="30"/>
          <w:szCs w:val="30"/>
          <w:b w:val="1"/>
          <w:bCs w:val="1"/>
          <w:color w:val="auto"/>
          <w:vertAlign w:val="subscript"/>
        </w:rPr>
      </w:pPr>
      <w:r>
        <w:rPr>
          <w:rFonts w:ascii="Arial" w:cs="Arial" w:eastAsia="Arial" w:hAnsi="Arial"/>
          <w:sz w:val="16"/>
          <w:szCs w:val="16"/>
          <w:color w:val="auto"/>
        </w:rPr>
        <w:t>Subsidiaries’ cash and cash equivalents at the last day of the measurement period</w:t>
      </w: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Deposit and Securities Accounts</w:t>
      </w:r>
    </w:p>
    <w:p>
      <w:pPr>
        <w:spacing w:after="0"/>
        <w:rPr>
          <w:sz w:val="20"/>
          <w:szCs w:val="20"/>
          <w:color w:val="auto"/>
        </w:rPr>
      </w:pPr>
      <w:r>
        <w:rPr>
          <w:rFonts w:ascii="Arial" w:cs="Arial" w:eastAsia="Arial" w:hAnsi="Arial"/>
          <w:sz w:val="16"/>
          <w:szCs w:val="16"/>
          <w:b w:val="1"/>
          <w:bCs w:val="1"/>
          <w:i w:val="1"/>
          <w:iCs w:val="1"/>
          <w:color w:val="auto"/>
        </w:rPr>
        <w:t>(Please list all accounts; attach separate sheet if additional space needed)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240" w:type="dxa"/>
            <w:vAlign w:val="bottom"/>
          </w:tcPr>
          <w:p>
            <w:pPr>
              <w:spacing w:after="0"/>
              <w:rPr>
                <w:sz w:val="19"/>
                <w:szCs w:val="19"/>
                <w:color w:val="auto"/>
              </w:rPr>
            </w:pPr>
          </w:p>
        </w:tc>
        <w:tc>
          <w:tcPr>
            <w:tcW w:w="960" w:type="dxa"/>
            <w:vAlign w:val="bottom"/>
          </w:tcPr>
          <w:p>
            <w:pPr>
              <w:ind w:left="380"/>
              <w:spacing w:after="0"/>
              <w:rPr>
                <w:sz w:val="20"/>
                <w:szCs w:val="20"/>
                <w:color w:val="auto"/>
              </w:rPr>
            </w:pPr>
            <w:r>
              <w:rPr>
                <w:rFonts w:ascii="Arial" w:cs="Arial" w:eastAsia="Arial" w:hAnsi="Arial"/>
                <w:sz w:val="19"/>
                <w:szCs w:val="19"/>
                <w:color w:val="auto"/>
              </w:rPr>
              <w:t>Yes</w:t>
            </w:r>
          </w:p>
        </w:tc>
        <w:tc>
          <w:tcPr>
            <w:tcW w:w="800" w:type="dxa"/>
            <w:vAlign w:val="bottom"/>
          </w:tcPr>
          <w:p>
            <w:pPr>
              <w:ind w:left="280"/>
              <w:spacing w:after="0"/>
              <w:rPr>
                <w:sz w:val="20"/>
                <w:szCs w:val="20"/>
                <w:color w:val="auto"/>
              </w:rPr>
            </w:pPr>
            <w:r>
              <w:rPr>
                <w:rFonts w:ascii="Arial" w:cs="Arial" w:eastAsia="Arial" w:hAnsi="Arial"/>
                <w:sz w:val="19"/>
                <w:szCs w:val="19"/>
                <w:color w:val="auto"/>
              </w:rPr>
              <w:t>No</w:t>
            </w:r>
          </w:p>
        </w:tc>
        <w:tc>
          <w:tcPr>
            <w:tcW w:w="620" w:type="dxa"/>
            <w:vAlign w:val="bottom"/>
          </w:tcPr>
          <w:p>
            <w:pPr>
              <w:ind w:left="300"/>
              <w:spacing w:after="0"/>
              <w:rPr>
                <w:sz w:val="20"/>
                <w:szCs w:val="20"/>
                <w:color w:val="auto"/>
              </w:rPr>
            </w:pPr>
            <w:r>
              <w:rPr>
                <w:rFonts w:ascii="Arial" w:cs="Arial" w:eastAsia="Arial" w:hAnsi="Arial"/>
                <w:sz w:val="19"/>
                <w:szCs w:val="19"/>
                <w:color w:val="auto"/>
                <w:w w:val="94"/>
              </w:rPr>
              <w:t>N/A</w:t>
            </w:r>
          </w:p>
        </w:tc>
      </w:tr>
      <w:tr>
        <w:trPr>
          <w:trHeight w:val="241"/>
        </w:trPr>
        <w:tc>
          <w:tcPr>
            <w:tcW w:w="1240" w:type="dxa"/>
            <w:vAlign w:val="bottom"/>
          </w:tcPr>
          <w:p>
            <w:pPr>
              <w:spacing w:after="0"/>
              <w:rPr>
                <w:sz w:val="20"/>
                <w:szCs w:val="20"/>
                <w:color w:val="auto"/>
              </w:rPr>
            </w:pPr>
          </w:p>
        </w:tc>
        <w:tc>
          <w:tcPr>
            <w:tcW w:w="960" w:type="dxa"/>
            <w:vAlign w:val="bottom"/>
          </w:tcPr>
          <w:p>
            <w:pPr>
              <w:ind w:left="380"/>
              <w:spacing w:after="0"/>
              <w:rPr>
                <w:sz w:val="20"/>
                <w:szCs w:val="20"/>
                <w:color w:val="auto"/>
              </w:rPr>
            </w:pPr>
            <w:r>
              <w:rPr>
                <w:rFonts w:ascii="Arial" w:cs="Arial" w:eastAsia="Arial" w:hAnsi="Arial"/>
                <w:sz w:val="19"/>
                <w:szCs w:val="19"/>
                <w:color w:val="auto"/>
              </w:rPr>
              <w:t>Yes</w:t>
            </w:r>
          </w:p>
        </w:tc>
        <w:tc>
          <w:tcPr>
            <w:tcW w:w="800" w:type="dxa"/>
            <w:vAlign w:val="bottom"/>
          </w:tcPr>
          <w:p>
            <w:pPr>
              <w:ind w:left="280"/>
              <w:spacing w:after="0"/>
              <w:rPr>
                <w:sz w:val="20"/>
                <w:szCs w:val="20"/>
                <w:color w:val="auto"/>
              </w:rPr>
            </w:pPr>
            <w:r>
              <w:rPr>
                <w:rFonts w:ascii="Arial" w:cs="Arial" w:eastAsia="Arial" w:hAnsi="Arial"/>
                <w:sz w:val="19"/>
                <w:szCs w:val="19"/>
                <w:color w:val="auto"/>
              </w:rPr>
              <w:t>No</w:t>
            </w:r>
          </w:p>
        </w:tc>
        <w:tc>
          <w:tcPr>
            <w:tcW w:w="620" w:type="dxa"/>
            <w:vAlign w:val="bottom"/>
          </w:tcPr>
          <w:p>
            <w:pPr>
              <w:ind w:left="300"/>
              <w:spacing w:after="0"/>
              <w:rPr>
                <w:sz w:val="20"/>
                <w:szCs w:val="20"/>
                <w:color w:val="auto"/>
              </w:rPr>
            </w:pPr>
            <w:r>
              <w:rPr>
                <w:rFonts w:ascii="Arial" w:cs="Arial" w:eastAsia="Arial" w:hAnsi="Arial"/>
                <w:sz w:val="19"/>
                <w:szCs w:val="19"/>
                <w:color w:val="auto"/>
                <w:w w:val="94"/>
              </w:rPr>
              <w:t>N/A</w:t>
            </w:r>
          </w:p>
        </w:tc>
      </w:tr>
      <w:tr>
        <w:trPr>
          <w:trHeight w:val="413"/>
        </w:trPr>
        <w:tc>
          <w:tcPr>
            <w:tcW w:w="1240" w:type="dxa"/>
            <w:vAlign w:val="bottom"/>
          </w:tcPr>
          <w:p>
            <w:pPr>
              <w:spacing w:after="0"/>
              <w:rPr>
                <w:sz w:val="24"/>
                <w:szCs w:val="24"/>
                <w:color w:val="auto"/>
              </w:rPr>
            </w:pPr>
          </w:p>
        </w:tc>
        <w:tc>
          <w:tcPr>
            <w:tcW w:w="960" w:type="dxa"/>
            <w:vAlign w:val="bottom"/>
          </w:tcPr>
          <w:p>
            <w:pPr>
              <w:ind w:left="380"/>
              <w:spacing w:after="0"/>
              <w:rPr>
                <w:sz w:val="20"/>
                <w:szCs w:val="20"/>
                <w:color w:val="auto"/>
              </w:rPr>
            </w:pPr>
            <w:r>
              <w:rPr>
                <w:rFonts w:ascii="Arial" w:cs="Arial" w:eastAsia="Arial" w:hAnsi="Arial"/>
                <w:sz w:val="19"/>
                <w:szCs w:val="19"/>
                <w:color w:val="auto"/>
              </w:rPr>
              <w:t>Yes</w:t>
            </w:r>
          </w:p>
        </w:tc>
        <w:tc>
          <w:tcPr>
            <w:tcW w:w="800" w:type="dxa"/>
            <w:vAlign w:val="bottom"/>
          </w:tcPr>
          <w:p>
            <w:pPr>
              <w:ind w:left="280"/>
              <w:spacing w:after="0"/>
              <w:rPr>
                <w:sz w:val="20"/>
                <w:szCs w:val="20"/>
                <w:color w:val="auto"/>
              </w:rPr>
            </w:pPr>
            <w:r>
              <w:rPr>
                <w:rFonts w:ascii="Arial" w:cs="Arial" w:eastAsia="Arial" w:hAnsi="Arial"/>
                <w:sz w:val="19"/>
                <w:szCs w:val="19"/>
                <w:color w:val="auto"/>
              </w:rPr>
              <w:t>No</w:t>
            </w:r>
          </w:p>
        </w:tc>
        <w:tc>
          <w:tcPr>
            <w:tcW w:w="620" w:type="dxa"/>
            <w:vAlign w:val="bottom"/>
          </w:tcPr>
          <w:p>
            <w:pPr>
              <w:ind w:left="300"/>
              <w:spacing w:after="0"/>
              <w:rPr>
                <w:sz w:val="20"/>
                <w:szCs w:val="20"/>
                <w:color w:val="auto"/>
              </w:rPr>
            </w:pPr>
            <w:r>
              <w:rPr>
                <w:rFonts w:ascii="Arial" w:cs="Arial" w:eastAsia="Arial" w:hAnsi="Arial"/>
                <w:sz w:val="19"/>
                <w:szCs w:val="19"/>
                <w:color w:val="auto"/>
                <w:w w:val="94"/>
              </w:rPr>
              <w:t>N/A</w:t>
            </w:r>
          </w:p>
        </w:tc>
      </w:tr>
      <w:tr>
        <w:trPr>
          <w:trHeight w:val="646"/>
        </w:trPr>
        <w:tc>
          <w:tcPr>
            <w:tcW w:w="1240" w:type="dxa"/>
            <w:vAlign w:val="bottom"/>
          </w:tcPr>
          <w:p>
            <w:pPr>
              <w:jc w:val="right"/>
              <w:ind w:right="285"/>
              <w:spacing w:after="0"/>
              <w:rPr>
                <w:sz w:val="20"/>
                <w:szCs w:val="20"/>
                <w:color w:val="auto"/>
              </w:rPr>
            </w:pPr>
            <w:r>
              <w:rPr>
                <w:rFonts w:ascii="Arial" w:cs="Arial" w:eastAsia="Arial" w:hAnsi="Arial"/>
                <w:sz w:val="19"/>
                <w:szCs w:val="19"/>
                <w:color w:val="auto"/>
                <w:w w:val="88"/>
              </w:rPr>
              <w:t>$________</w:t>
            </w:r>
          </w:p>
        </w:tc>
        <w:tc>
          <w:tcPr>
            <w:tcW w:w="960" w:type="dxa"/>
            <w:vAlign w:val="bottom"/>
          </w:tcPr>
          <w:p>
            <w:pPr>
              <w:ind w:left="380"/>
              <w:spacing w:after="0"/>
              <w:rPr>
                <w:sz w:val="20"/>
                <w:szCs w:val="20"/>
                <w:color w:val="auto"/>
              </w:rPr>
            </w:pPr>
            <w:r>
              <w:rPr>
                <w:rFonts w:ascii="Arial" w:cs="Arial" w:eastAsia="Arial" w:hAnsi="Arial"/>
                <w:sz w:val="19"/>
                <w:szCs w:val="19"/>
                <w:color w:val="auto"/>
              </w:rPr>
              <w:t>Yes</w:t>
            </w:r>
          </w:p>
        </w:tc>
        <w:tc>
          <w:tcPr>
            <w:tcW w:w="800" w:type="dxa"/>
            <w:vAlign w:val="bottom"/>
          </w:tcPr>
          <w:p>
            <w:pPr>
              <w:ind w:left="280"/>
              <w:spacing w:after="0"/>
              <w:rPr>
                <w:sz w:val="20"/>
                <w:szCs w:val="20"/>
                <w:color w:val="auto"/>
              </w:rPr>
            </w:pPr>
            <w:r>
              <w:rPr>
                <w:rFonts w:ascii="Arial" w:cs="Arial" w:eastAsia="Arial" w:hAnsi="Arial"/>
                <w:sz w:val="19"/>
                <w:szCs w:val="19"/>
                <w:color w:val="auto"/>
              </w:rPr>
              <w:t>No</w:t>
            </w:r>
          </w:p>
        </w:tc>
        <w:tc>
          <w:tcPr>
            <w:tcW w:w="620" w:type="dxa"/>
            <w:vAlign w:val="bottom"/>
          </w:tcPr>
          <w:p>
            <w:pPr>
              <w:ind w:left="300"/>
              <w:spacing w:after="0"/>
              <w:rPr>
                <w:sz w:val="20"/>
                <w:szCs w:val="20"/>
                <w:color w:val="auto"/>
              </w:rPr>
            </w:pPr>
            <w:r>
              <w:rPr>
                <w:rFonts w:ascii="Arial" w:cs="Arial" w:eastAsia="Arial" w:hAnsi="Arial"/>
                <w:sz w:val="19"/>
                <w:szCs w:val="19"/>
                <w:color w:val="auto"/>
                <w:w w:val="94"/>
              </w:rPr>
              <w:t>N/A</w:t>
            </w:r>
          </w:p>
        </w:tc>
      </w:tr>
      <w:tr>
        <w:trPr>
          <w:trHeight w:val="698"/>
        </w:trPr>
        <w:tc>
          <w:tcPr>
            <w:tcW w:w="1240" w:type="dxa"/>
            <w:vAlign w:val="bottom"/>
          </w:tcPr>
          <w:p>
            <w:pPr>
              <w:jc w:val="right"/>
              <w:ind w:right="285"/>
              <w:spacing w:after="0"/>
              <w:rPr>
                <w:sz w:val="20"/>
                <w:szCs w:val="20"/>
                <w:color w:val="auto"/>
              </w:rPr>
            </w:pPr>
            <w:r>
              <w:rPr>
                <w:rFonts w:ascii="Arial" w:cs="Arial" w:eastAsia="Arial" w:hAnsi="Arial"/>
                <w:sz w:val="19"/>
                <w:szCs w:val="19"/>
                <w:color w:val="auto"/>
                <w:w w:val="88"/>
              </w:rPr>
              <w:t>$________</w:t>
            </w:r>
          </w:p>
        </w:tc>
        <w:tc>
          <w:tcPr>
            <w:tcW w:w="960" w:type="dxa"/>
            <w:vAlign w:val="bottom"/>
          </w:tcPr>
          <w:p>
            <w:pPr>
              <w:ind w:left="380"/>
              <w:spacing w:after="0"/>
              <w:rPr>
                <w:sz w:val="20"/>
                <w:szCs w:val="20"/>
                <w:color w:val="auto"/>
              </w:rPr>
            </w:pPr>
            <w:r>
              <w:rPr>
                <w:rFonts w:ascii="Arial" w:cs="Arial" w:eastAsia="Arial" w:hAnsi="Arial"/>
                <w:sz w:val="19"/>
                <w:szCs w:val="19"/>
                <w:color w:val="auto"/>
              </w:rPr>
              <w:t>Yes</w:t>
            </w:r>
          </w:p>
        </w:tc>
        <w:tc>
          <w:tcPr>
            <w:tcW w:w="800" w:type="dxa"/>
            <w:vAlign w:val="bottom"/>
          </w:tcPr>
          <w:p>
            <w:pPr>
              <w:ind w:left="280"/>
              <w:spacing w:after="0"/>
              <w:rPr>
                <w:sz w:val="20"/>
                <w:szCs w:val="20"/>
                <w:color w:val="auto"/>
              </w:rPr>
            </w:pPr>
            <w:r>
              <w:rPr>
                <w:rFonts w:ascii="Arial" w:cs="Arial" w:eastAsia="Arial" w:hAnsi="Arial"/>
                <w:sz w:val="19"/>
                <w:szCs w:val="19"/>
                <w:color w:val="auto"/>
              </w:rPr>
              <w:t>No</w:t>
            </w:r>
          </w:p>
        </w:tc>
        <w:tc>
          <w:tcPr>
            <w:tcW w:w="620" w:type="dxa"/>
            <w:vAlign w:val="bottom"/>
          </w:tcPr>
          <w:p>
            <w:pPr>
              <w:ind w:left="300"/>
              <w:spacing w:after="0"/>
              <w:rPr>
                <w:sz w:val="20"/>
                <w:szCs w:val="20"/>
                <w:color w:val="auto"/>
              </w:rPr>
            </w:pPr>
            <w:r>
              <w:rPr>
                <w:rFonts w:ascii="Arial" w:cs="Arial" w:eastAsia="Arial" w:hAnsi="Arial"/>
                <w:sz w:val="19"/>
                <w:szCs w:val="19"/>
                <w:color w:val="auto"/>
                <w:w w:val="94"/>
              </w:rPr>
              <w:t>N/A</w:t>
            </w:r>
          </w:p>
        </w:tc>
      </w:tr>
    </w:tbl>
    <w:p>
      <w:pPr>
        <w:spacing w:after="0" w:line="1102" w:lineRule="exact"/>
        <w:rPr>
          <w:sz w:val="20"/>
          <w:szCs w:val="20"/>
          <w:color w:val="auto"/>
        </w:rPr>
      </w:pPr>
    </w:p>
    <w:p>
      <w:pPr>
        <w:sectPr>
          <w:pgSz w:w="11900" w:h="16838" w:orient="portrait"/>
          <w:cols w:equalWidth="0" w:num="2">
            <w:col w:w="6640" w:space="720"/>
            <w:col w:w="3620"/>
          </w:cols>
          <w:pgMar w:left="320" w:top="1396" w:right="599" w:bottom="1440" w:gutter="0" w:footer="0" w:header="0"/>
          <w:type w:val="continuous"/>
        </w:sectPr>
      </w:pPr>
    </w:p>
    <w:p>
      <w:pPr>
        <w:spacing w:after="0" w:line="59" w:lineRule="exact"/>
        <w:rPr>
          <w:sz w:val="20"/>
          <w:szCs w:val="20"/>
          <w:color w:val="auto"/>
        </w:rPr>
      </w:pPr>
    </w:p>
    <w:tbl>
      <w:tblPr>
        <w:tblLayout w:type="fixed"/>
        <w:tblInd w:w="220" w:type="dxa"/>
        <w:tblCellMar>
          <w:top w:w="0" w:type="dxa"/>
          <w:left w:w="0" w:type="dxa"/>
          <w:bottom w:w="0" w:type="dxa"/>
          <w:right w:w="0" w:type="dxa"/>
        </w:tblCellMar>
      </w:tblPr>
      <w:tr>
        <w:trPr>
          <w:trHeight w:val="233"/>
        </w:trPr>
        <w:tc>
          <w:tcPr>
            <w:tcW w:w="2420" w:type="dxa"/>
            <w:vAlign w:val="bottom"/>
          </w:tcPr>
          <w:p>
            <w:pPr>
              <w:jc w:val="right"/>
              <w:ind w:right="505"/>
              <w:spacing w:after="0"/>
              <w:rPr>
                <w:sz w:val="20"/>
                <w:szCs w:val="20"/>
                <w:color w:val="auto"/>
              </w:rPr>
            </w:pPr>
            <w:r>
              <w:rPr>
                <w:rFonts w:ascii="Arial" w:cs="Arial" w:eastAsia="Arial" w:hAnsi="Arial"/>
                <w:sz w:val="19"/>
                <w:szCs w:val="19"/>
                <w:b w:val="1"/>
                <w:bCs w:val="1"/>
                <w:color w:val="auto"/>
              </w:rPr>
              <w:t>Institution Name</w:t>
            </w:r>
          </w:p>
        </w:tc>
        <w:tc>
          <w:tcPr>
            <w:tcW w:w="2780" w:type="dxa"/>
            <w:vAlign w:val="bottom"/>
          </w:tcPr>
          <w:p>
            <w:pPr>
              <w:ind w:left="600"/>
              <w:spacing w:after="0"/>
              <w:rPr>
                <w:sz w:val="20"/>
                <w:szCs w:val="20"/>
                <w:color w:val="auto"/>
              </w:rPr>
            </w:pPr>
            <w:r>
              <w:rPr>
                <w:rFonts w:ascii="Arial" w:cs="Arial" w:eastAsia="Arial" w:hAnsi="Arial"/>
                <w:sz w:val="19"/>
                <w:szCs w:val="19"/>
                <w:b w:val="1"/>
                <w:bCs w:val="1"/>
                <w:color w:val="auto"/>
              </w:rPr>
              <w:t>Account Number</w:t>
            </w:r>
          </w:p>
        </w:tc>
        <w:tc>
          <w:tcPr>
            <w:tcW w:w="2260" w:type="dxa"/>
            <w:vAlign w:val="bottom"/>
            <w:gridSpan w:val="2"/>
          </w:tcPr>
          <w:p>
            <w:pPr>
              <w:ind w:left="820"/>
              <w:spacing w:after="0"/>
              <w:rPr>
                <w:sz w:val="20"/>
                <w:szCs w:val="20"/>
                <w:color w:val="auto"/>
              </w:rPr>
            </w:pPr>
            <w:r>
              <w:rPr>
                <w:rFonts w:ascii="Arial" w:cs="Arial" w:eastAsia="Arial" w:hAnsi="Arial"/>
                <w:sz w:val="19"/>
                <w:szCs w:val="19"/>
                <w:b w:val="1"/>
                <w:bCs w:val="1"/>
                <w:color w:val="auto"/>
              </w:rPr>
              <w:t>New Account?</w:t>
            </w:r>
          </w:p>
        </w:tc>
        <w:tc>
          <w:tcPr>
            <w:tcW w:w="2700" w:type="dxa"/>
            <w:vAlign w:val="bottom"/>
          </w:tcPr>
          <w:p>
            <w:pPr>
              <w:ind w:left="180"/>
              <w:spacing w:after="0"/>
              <w:rPr>
                <w:sz w:val="20"/>
                <w:szCs w:val="20"/>
                <w:color w:val="auto"/>
              </w:rPr>
            </w:pPr>
            <w:r>
              <w:rPr>
                <w:rFonts w:ascii="Arial" w:cs="Arial" w:eastAsia="Arial" w:hAnsi="Arial"/>
                <w:sz w:val="16"/>
                <w:szCs w:val="16"/>
                <w:b w:val="1"/>
                <w:bCs w:val="1"/>
                <w:color w:val="auto"/>
                <w:w w:val="87"/>
              </w:rPr>
              <w:t>Account Control Agreement in place?</w:t>
            </w:r>
          </w:p>
        </w:tc>
        <w:tc>
          <w:tcPr>
            <w:tcW w:w="240" w:type="dxa"/>
            <w:vAlign w:val="bottom"/>
          </w:tcPr>
          <w:p>
            <w:pPr>
              <w:spacing w:after="0"/>
              <w:rPr>
                <w:sz w:val="20"/>
                <w:szCs w:val="20"/>
                <w:color w:val="auto"/>
              </w:rPr>
            </w:pPr>
          </w:p>
        </w:tc>
      </w:tr>
      <w:tr>
        <w:trPr>
          <w:trHeight w:val="233"/>
        </w:trPr>
        <w:tc>
          <w:tcPr>
            <w:tcW w:w="2420" w:type="dxa"/>
            <w:vAlign w:val="bottom"/>
          </w:tcPr>
          <w:p>
            <w:pPr>
              <w:jc w:val="right"/>
              <w:ind w:right="2165"/>
              <w:spacing w:after="0"/>
              <w:rPr>
                <w:sz w:val="20"/>
                <w:szCs w:val="20"/>
                <w:color w:val="auto"/>
              </w:rPr>
            </w:pPr>
            <w:r>
              <w:rPr>
                <w:rFonts w:ascii="Arial" w:cs="Arial" w:eastAsia="Arial" w:hAnsi="Arial"/>
                <w:sz w:val="19"/>
                <w:szCs w:val="19"/>
                <w:b w:val="1"/>
                <w:bCs w:val="1"/>
                <w:color w:val="auto"/>
                <w:w w:val="82"/>
              </w:rPr>
              <w:t>1)</w:t>
            </w:r>
          </w:p>
        </w:tc>
        <w:tc>
          <w:tcPr>
            <w:tcW w:w="2780" w:type="dxa"/>
            <w:vAlign w:val="bottom"/>
          </w:tcPr>
          <w:p>
            <w:pPr>
              <w:spacing w:after="0"/>
              <w:rPr>
                <w:sz w:val="20"/>
                <w:szCs w:val="20"/>
                <w:color w:val="auto"/>
              </w:rPr>
            </w:pPr>
          </w:p>
        </w:tc>
        <w:tc>
          <w:tcPr>
            <w:tcW w:w="1580" w:type="dxa"/>
            <w:vAlign w:val="bottom"/>
          </w:tcPr>
          <w:p>
            <w:pPr>
              <w:ind w:left="1020"/>
              <w:spacing w:after="0"/>
              <w:rPr>
                <w:sz w:val="20"/>
                <w:szCs w:val="20"/>
                <w:color w:val="auto"/>
              </w:rPr>
            </w:pPr>
            <w:r>
              <w:rPr>
                <w:rFonts w:ascii="Arial" w:cs="Arial" w:eastAsia="Arial" w:hAnsi="Arial"/>
                <w:sz w:val="19"/>
                <w:szCs w:val="19"/>
                <w:color w:val="auto"/>
              </w:rPr>
              <w:t>Yes</w:t>
            </w:r>
          </w:p>
        </w:tc>
        <w:tc>
          <w:tcPr>
            <w:tcW w:w="680" w:type="dxa"/>
            <w:vAlign w:val="bottom"/>
          </w:tcPr>
          <w:p>
            <w:pPr>
              <w:ind w:left="280"/>
              <w:spacing w:after="0"/>
              <w:rPr>
                <w:sz w:val="20"/>
                <w:szCs w:val="20"/>
                <w:color w:val="auto"/>
              </w:rPr>
            </w:pPr>
            <w:r>
              <w:rPr>
                <w:rFonts w:ascii="Arial" w:cs="Arial" w:eastAsia="Arial" w:hAnsi="Arial"/>
                <w:sz w:val="19"/>
                <w:szCs w:val="19"/>
                <w:color w:val="auto"/>
              </w:rPr>
              <w:t>No</w:t>
            </w:r>
          </w:p>
        </w:tc>
        <w:tc>
          <w:tcPr>
            <w:tcW w:w="2700" w:type="dxa"/>
            <w:vAlign w:val="bottom"/>
          </w:tcPr>
          <w:p>
            <w:pPr>
              <w:ind w:left="960"/>
              <w:spacing w:after="0"/>
              <w:rPr>
                <w:sz w:val="20"/>
                <w:szCs w:val="20"/>
                <w:color w:val="auto"/>
              </w:rPr>
            </w:pPr>
            <w:r>
              <w:rPr>
                <w:rFonts w:ascii="Arial" w:cs="Arial" w:eastAsia="Arial" w:hAnsi="Arial"/>
                <w:sz w:val="19"/>
                <w:szCs w:val="19"/>
                <w:color w:val="auto"/>
              </w:rPr>
              <w:t>Yes</w:t>
            </w:r>
          </w:p>
        </w:tc>
        <w:tc>
          <w:tcPr>
            <w:tcW w:w="240" w:type="dxa"/>
            <w:vAlign w:val="bottom"/>
          </w:tcPr>
          <w:p>
            <w:pPr>
              <w:ind w:left="20"/>
              <w:spacing w:after="0"/>
              <w:rPr>
                <w:sz w:val="20"/>
                <w:szCs w:val="20"/>
                <w:color w:val="auto"/>
              </w:rPr>
            </w:pPr>
            <w:r>
              <w:rPr>
                <w:rFonts w:ascii="Arial" w:cs="Arial" w:eastAsia="Arial" w:hAnsi="Arial"/>
                <w:sz w:val="19"/>
                <w:szCs w:val="19"/>
                <w:color w:val="auto"/>
                <w:w w:val="82"/>
              </w:rPr>
              <w:t>No</w:t>
            </w:r>
          </w:p>
        </w:tc>
      </w:tr>
      <w:tr>
        <w:trPr>
          <w:trHeight w:val="233"/>
        </w:trPr>
        <w:tc>
          <w:tcPr>
            <w:tcW w:w="2420" w:type="dxa"/>
            <w:vAlign w:val="bottom"/>
          </w:tcPr>
          <w:p>
            <w:pPr>
              <w:jc w:val="right"/>
              <w:ind w:right="2165"/>
              <w:spacing w:after="0"/>
              <w:rPr>
                <w:sz w:val="20"/>
                <w:szCs w:val="20"/>
                <w:color w:val="auto"/>
              </w:rPr>
            </w:pPr>
            <w:r>
              <w:rPr>
                <w:rFonts w:ascii="Arial" w:cs="Arial" w:eastAsia="Arial" w:hAnsi="Arial"/>
                <w:sz w:val="19"/>
                <w:szCs w:val="19"/>
                <w:b w:val="1"/>
                <w:bCs w:val="1"/>
                <w:color w:val="auto"/>
                <w:w w:val="82"/>
              </w:rPr>
              <w:t>2)</w:t>
            </w:r>
          </w:p>
        </w:tc>
        <w:tc>
          <w:tcPr>
            <w:tcW w:w="2780" w:type="dxa"/>
            <w:vAlign w:val="bottom"/>
          </w:tcPr>
          <w:p>
            <w:pPr>
              <w:spacing w:after="0"/>
              <w:rPr>
                <w:sz w:val="20"/>
                <w:szCs w:val="20"/>
                <w:color w:val="auto"/>
              </w:rPr>
            </w:pPr>
          </w:p>
        </w:tc>
        <w:tc>
          <w:tcPr>
            <w:tcW w:w="1580" w:type="dxa"/>
            <w:vAlign w:val="bottom"/>
          </w:tcPr>
          <w:p>
            <w:pPr>
              <w:ind w:left="1020"/>
              <w:spacing w:after="0"/>
              <w:rPr>
                <w:sz w:val="20"/>
                <w:szCs w:val="20"/>
                <w:color w:val="auto"/>
              </w:rPr>
            </w:pPr>
            <w:r>
              <w:rPr>
                <w:rFonts w:ascii="Arial" w:cs="Arial" w:eastAsia="Arial" w:hAnsi="Arial"/>
                <w:sz w:val="19"/>
                <w:szCs w:val="19"/>
                <w:color w:val="auto"/>
              </w:rPr>
              <w:t>Yes</w:t>
            </w:r>
          </w:p>
        </w:tc>
        <w:tc>
          <w:tcPr>
            <w:tcW w:w="680" w:type="dxa"/>
            <w:vAlign w:val="bottom"/>
          </w:tcPr>
          <w:p>
            <w:pPr>
              <w:ind w:left="280"/>
              <w:spacing w:after="0"/>
              <w:rPr>
                <w:sz w:val="20"/>
                <w:szCs w:val="20"/>
                <w:color w:val="auto"/>
              </w:rPr>
            </w:pPr>
            <w:r>
              <w:rPr>
                <w:rFonts w:ascii="Arial" w:cs="Arial" w:eastAsia="Arial" w:hAnsi="Arial"/>
                <w:sz w:val="19"/>
                <w:szCs w:val="19"/>
                <w:color w:val="auto"/>
              </w:rPr>
              <w:t>No</w:t>
            </w:r>
          </w:p>
        </w:tc>
        <w:tc>
          <w:tcPr>
            <w:tcW w:w="2700" w:type="dxa"/>
            <w:vAlign w:val="bottom"/>
          </w:tcPr>
          <w:p>
            <w:pPr>
              <w:ind w:left="960"/>
              <w:spacing w:after="0"/>
              <w:rPr>
                <w:sz w:val="20"/>
                <w:szCs w:val="20"/>
                <w:color w:val="auto"/>
              </w:rPr>
            </w:pPr>
            <w:r>
              <w:rPr>
                <w:rFonts w:ascii="Arial" w:cs="Arial" w:eastAsia="Arial" w:hAnsi="Arial"/>
                <w:sz w:val="19"/>
                <w:szCs w:val="19"/>
                <w:color w:val="auto"/>
              </w:rPr>
              <w:t>Yes</w:t>
            </w:r>
          </w:p>
        </w:tc>
        <w:tc>
          <w:tcPr>
            <w:tcW w:w="240" w:type="dxa"/>
            <w:vAlign w:val="bottom"/>
          </w:tcPr>
          <w:p>
            <w:pPr>
              <w:ind w:left="20"/>
              <w:spacing w:after="0"/>
              <w:rPr>
                <w:sz w:val="20"/>
                <w:szCs w:val="20"/>
                <w:color w:val="auto"/>
              </w:rPr>
            </w:pPr>
            <w:r>
              <w:rPr>
                <w:rFonts w:ascii="Arial" w:cs="Arial" w:eastAsia="Arial" w:hAnsi="Arial"/>
                <w:sz w:val="19"/>
                <w:szCs w:val="19"/>
                <w:color w:val="auto"/>
                <w:w w:val="82"/>
              </w:rPr>
              <w:t>No</w:t>
            </w:r>
          </w:p>
        </w:tc>
      </w:tr>
      <w:tr>
        <w:trPr>
          <w:trHeight w:val="233"/>
        </w:trPr>
        <w:tc>
          <w:tcPr>
            <w:tcW w:w="2420" w:type="dxa"/>
            <w:vAlign w:val="bottom"/>
          </w:tcPr>
          <w:p>
            <w:pPr>
              <w:jc w:val="right"/>
              <w:ind w:right="2165"/>
              <w:spacing w:after="0"/>
              <w:rPr>
                <w:sz w:val="20"/>
                <w:szCs w:val="20"/>
                <w:color w:val="auto"/>
              </w:rPr>
            </w:pPr>
            <w:r>
              <w:rPr>
                <w:rFonts w:ascii="Arial" w:cs="Arial" w:eastAsia="Arial" w:hAnsi="Arial"/>
                <w:sz w:val="19"/>
                <w:szCs w:val="19"/>
                <w:b w:val="1"/>
                <w:bCs w:val="1"/>
                <w:color w:val="auto"/>
                <w:w w:val="82"/>
              </w:rPr>
              <w:t>3)</w:t>
            </w:r>
          </w:p>
        </w:tc>
        <w:tc>
          <w:tcPr>
            <w:tcW w:w="2780" w:type="dxa"/>
            <w:vAlign w:val="bottom"/>
          </w:tcPr>
          <w:p>
            <w:pPr>
              <w:spacing w:after="0"/>
              <w:rPr>
                <w:sz w:val="20"/>
                <w:szCs w:val="20"/>
                <w:color w:val="auto"/>
              </w:rPr>
            </w:pPr>
          </w:p>
        </w:tc>
        <w:tc>
          <w:tcPr>
            <w:tcW w:w="1580" w:type="dxa"/>
            <w:vAlign w:val="bottom"/>
          </w:tcPr>
          <w:p>
            <w:pPr>
              <w:ind w:left="1020"/>
              <w:spacing w:after="0"/>
              <w:rPr>
                <w:sz w:val="20"/>
                <w:szCs w:val="20"/>
                <w:color w:val="auto"/>
              </w:rPr>
            </w:pPr>
            <w:r>
              <w:rPr>
                <w:rFonts w:ascii="Arial" w:cs="Arial" w:eastAsia="Arial" w:hAnsi="Arial"/>
                <w:sz w:val="19"/>
                <w:szCs w:val="19"/>
                <w:color w:val="auto"/>
              </w:rPr>
              <w:t>Yes</w:t>
            </w:r>
          </w:p>
        </w:tc>
        <w:tc>
          <w:tcPr>
            <w:tcW w:w="680" w:type="dxa"/>
            <w:vAlign w:val="bottom"/>
          </w:tcPr>
          <w:p>
            <w:pPr>
              <w:ind w:left="280"/>
              <w:spacing w:after="0"/>
              <w:rPr>
                <w:sz w:val="20"/>
                <w:szCs w:val="20"/>
                <w:color w:val="auto"/>
              </w:rPr>
            </w:pPr>
            <w:r>
              <w:rPr>
                <w:rFonts w:ascii="Arial" w:cs="Arial" w:eastAsia="Arial" w:hAnsi="Arial"/>
                <w:sz w:val="19"/>
                <w:szCs w:val="19"/>
                <w:color w:val="auto"/>
              </w:rPr>
              <w:t>No</w:t>
            </w:r>
          </w:p>
        </w:tc>
        <w:tc>
          <w:tcPr>
            <w:tcW w:w="2700" w:type="dxa"/>
            <w:vAlign w:val="bottom"/>
          </w:tcPr>
          <w:p>
            <w:pPr>
              <w:ind w:left="960"/>
              <w:spacing w:after="0"/>
              <w:rPr>
                <w:sz w:val="20"/>
                <w:szCs w:val="20"/>
                <w:color w:val="auto"/>
              </w:rPr>
            </w:pPr>
            <w:r>
              <w:rPr>
                <w:rFonts w:ascii="Arial" w:cs="Arial" w:eastAsia="Arial" w:hAnsi="Arial"/>
                <w:sz w:val="19"/>
                <w:szCs w:val="19"/>
                <w:color w:val="auto"/>
              </w:rPr>
              <w:t>Yes</w:t>
            </w:r>
          </w:p>
        </w:tc>
        <w:tc>
          <w:tcPr>
            <w:tcW w:w="240" w:type="dxa"/>
            <w:vAlign w:val="bottom"/>
          </w:tcPr>
          <w:p>
            <w:pPr>
              <w:ind w:left="20"/>
              <w:spacing w:after="0"/>
              <w:rPr>
                <w:sz w:val="20"/>
                <w:szCs w:val="20"/>
                <w:color w:val="auto"/>
              </w:rPr>
            </w:pPr>
            <w:r>
              <w:rPr>
                <w:rFonts w:ascii="Arial" w:cs="Arial" w:eastAsia="Arial" w:hAnsi="Arial"/>
                <w:sz w:val="19"/>
                <w:szCs w:val="19"/>
                <w:color w:val="auto"/>
                <w:w w:val="82"/>
              </w:rPr>
              <w:t>No</w:t>
            </w:r>
          </w:p>
        </w:tc>
      </w:tr>
      <w:tr>
        <w:trPr>
          <w:trHeight w:val="247"/>
        </w:trPr>
        <w:tc>
          <w:tcPr>
            <w:tcW w:w="2420" w:type="dxa"/>
            <w:vAlign w:val="bottom"/>
          </w:tcPr>
          <w:p>
            <w:pPr>
              <w:jc w:val="right"/>
              <w:ind w:right="2165"/>
              <w:spacing w:after="0"/>
              <w:rPr>
                <w:sz w:val="20"/>
                <w:szCs w:val="20"/>
                <w:color w:val="auto"/>
              </w:rPr>
            </w:pPr>
            <w:r>
              <w:rPr>
                <w:rFonts w:ascii="Arial" w:cs="Arial" w:eastAsia="Arial" w:hAnsi="Arial"/>
                <w:sz w:val="19"/>
                <w:szCs w:val="19"/>
                <w:b w:val="1"/>
                <w:bCs w:val="1"/>
                <w:color w:val="auto"/>
                <w:w w:val="82"/>
              </w:rPr>
              <w:t>4)</w:t>
            </w:r>
          </w:p>
        </w:tc>
        <w:tc>
          <w:tcPr>
            <w:tcW w:w="2780" w:type="dxa"/>
            <w:vAlign w:val="bottom"/>
          </w:tcPr>
          <w:p>
            <w:pPr>
              <w:spacing w:after="0"/>
              <w:rPr>
                <w:sz w:val="21"/>
                <w:szCs w:val="21"/>
                <w:color w:val="auto"/>
              </w:rPr>
            </w:pPr>
          </w:p>
        </w:tc>
        <w:tc>
          <w:tcPr>
            <w:tcW w:w="1580" w:type="dxa"/>
            <w:vAlign w:val="bottom"/>
          </w:tcPr>
          <w:p>
            <w:pPr>
              <w:ind w:left="1020"/>
              <w:spacing w:after="0"/>
              <w:rPr>
                <w:sz w:val="20"/>
                <w:szCs w:val="20"/>
                <w:color w:val="auto"/>
              </w:rPr>
            </w:pPr>
            <w:r>
              <w:rPr>
                <w:rFonts w:ascii="Arial" w:cs="Arial" w:eastAsia="Arial" w:hAnsi="Arial"/>
                <w:sz w:val="19"/>
                <w:szCs w:val="19"/>
                <w:color w:val="auto"/>
              </w:rPr>
              <w:t>Yes</w:t>
            </w:r>
          </w:p>
        </w:tc>
        <w:tc>
          <w:tcPr>
            <w:tcW w:w="680" w:type="dxa"/>
            <w:vAlign w:val="bottom"/>
          </w:tcPr>
          <w:p>
            <w:pPr>
              <w:ind w:left="280"/>
              <w:spacing w:after="0"/>
              <w:rPr>
                <w:sz w:val="20"/>
                <w:szCs w:val="20"/>
                <w:color w:val="auto"/>
              </w:rPr>
            </w:pPr>
            <w:r>
              <w:rPr>
                <w:rFonts w:ascii="Arial" w:cs="Arial" w:eastAsia="Arial" w:hAnsi="Arial"/>
                <w:sz w:val="19"/>
                <w:szCs w:val="19"/>
                <w:color w:val="auto"/>
              </w:rPr>
              <w:t>No</w:t>
            </w:r>
          </w:p>
        </w:tc>
        <w:tc>
          <w:tcPr>
            <w:tcW w:w="2700" w:type="dxa"/>
            <w:vAlign w:val="bottom"/>
          </w:tcPr>
          <w:p>
            <w:pPr>
              <w:ind w:left="960"/>
              <w:spacing w:after="0"/>
              <w:rPr>
                <w:sz w:val="20"/>
                <w:szCs w:val="20"/>
                <w:color w:val="auto"/>
              </w:rPr>
            </w:pPr>
            <w:r>
              <w:rPr>
                <w:rFonts w:ascii="Arial" w:cs="Arial" w:eastAsia="Arial" w:hAnsi="Arial"/>
                <w:sz w:val="19"/>
                <w:szCs w:val="19"/>
                <w:color w:val="auto"/>
              </w:rPr>
              <w:t>Yes</w:t>
            </w:r>
          </w:p>
        </w:tc>
        <w:tc>
          <w:tcPr>
            <w:tcW w:w="240" w:type="dxa"/>
            <w:vAlign w:val="bottom"/>
          </w:tcPr>
          <w:p>
            <w:pPr>
              <w:ind w:left="20"/>
              <w:spacing w:after="0"/>
              <w:rPr>
                <w:sz w:val="20"/>
                <w:szCs w:val="20"/>
                <w:color w:val="auto"/>
              </w:rPr>
            </w:pPr>
            <w:r>
              <w:rPr>
                <w:rFonts w:ascii="Arial" w:cs="Arial" w:eastAsia="Arial" w:hAnsi="Arial"/>
                <w:sz w:val="19"/>
                <w:szCs w:val="19"/>
                <w:color w:val="auto"/>
                <w:w w:val="82"/>
              </w:rPr>
              <w:t>No</w:t>
            </w:r>
          </w:p>
        </w:tc>
      </w:tr>
    </w:tbl>
    <w:p>
      <w:pPr>
        <w:sectPr>
          <w:pgSz w:w="11900" w:h="16838" w:orient="portrait"/>
          <w:cols w:equalWidth="0" w:num="1">
            <w:col w:w="10980"/>
          </w:cols>
          <w:pgMar w:left="320" w:top="1396" w:right="599" w:bottom="1440" w:gutter="0" w:footer="0" w:header="0"/>
          <w:type w:val="continuous"/>
        </w:sectPr>
      </w:pPr>
    </w:p>
    <w:bookmarkStart w:id="266" w:name="page267"/>
    <w:bookmarkEnd w:id="2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920" w:type="dxa"/>
            <w:vAlign w:val="bottom"/>
            <w:gridSpan w:val="3"/>
          </w:tcPr>
          <w:p>
            <w:pPr>
              <w:spacing w:after="0"/>
              <w:rPr>
                <w:sz w:val="20"/>
                <w:szCs w:val="20"/>
                <w:color w:val="auto"/>
              </w:rPr>
            </w:pPr>
            <w:r>
              <w:rPr>
                <w:rFonts w:ascii="Arial" w:cs="Arial" w:eastAsia="Arial" w:hAnsi="Arial"/>
                <w:sz w:val="19"/>
                <w:szCs w:val="19"/>
                <w:b w:val="1"/>
                <w:bCs w:val="1"/>
                <w:color w:val="auto"/>
              </w:rPr>
              <w:t>Financial Covenants</w:t>
            </w:r>
          </w:p>
        </w:tc>
        <w:tc>
          <w:tcPr>
            <w:tcW w:w="25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32"/>
        </w:trPr>
        <w:tc>
          <w:tcPr>
            <w:tcW w:w="2920" w:type="dxa"/>
            <w:vAlign w:val="bottom"/>
            <w:gridSpan w:val="3"/>
          </w:tcPr>
          <w:p>
            <w:pPr>
              <w:jc w:val="center"/>
              <w:ind w:left="305"/>
              <w:spacing w:after="0"/>
              <w:rPr>
                <w:sz w:val="20"/>
                <w:szCs w:val="20"/>
                <w:color w:val="auto"/>
              </w:rPr>
            </w:pPr>
            <w:r>
              <w:rPr>
                <w:rFonts w:ascii="Arial" w:cs="Arial" w:eastAsia="Arial" w:hAnsi="Arial"/>
                <w:sz w:val="19"/>
                <w:szCs w:val="19"/>
                <w:b w:val="1"/>
                <w:bCs w:val="1"/>
                <w:color w:val="auto"/>
                <w:w w:val="93"/>
              </w:rPr>
              <w:t>Minimum Net Product</w:t>
            </w:r>
          </w:p>
        </w:tc>
        <w:tc>
          <w:tcPr>
            <w:tcW w:w="2520" w:type="dxa"/>
            <w:vAlign w:val="bottom"/>
          </w:tcPr>
          <w:p>
            <w:pPr>
              <w:jc w:val="center"/>
              <w:spacing w:after="0"/>
              <w:rPr>
                <w:sz w:val="20"/>
                <w:szCs w:val="20"/>
                <w:color w:val="auto"/>
              </w:rPr>
            </w:pPr>
            <w:r>
              <w:rPr>
                <w:rFonts w:ascii="Arial" w:cs="Arial" w:eastAsia="Arial" w:hAnsi="Arial"/>
                <w:sz w:val="19"/>
                <w:szCs w:val="19"/>
                <w:b w:val="1"/>
                <w:bCs w:val="1"/>
                <w:color w:val="auto"/>
                <w:w w:val="90"/>
              </w:rPr>
              <w:t>Actual Net Product Revenue</w:t>
            </w:r>
          </w:p>
        </w:tc>
        <w:tc>
          <w:tcPr>
            <w:tcW w:w="2880" w:type="dxa"/>
            <w:vAlign w:val="bottom"/>
          </w:tcPr>
          <w:p>
            <w:pPr>
              <w:jc w:val="center"/>
              <w:ind w:right="5"/>
              <w:spacing w:after="0"/>
              <w:rPr>
                <w:sz w:val="20"/>
                <w:szCs w:val="20"/>
                <w:color w:val="auto"/>
              </w:rPr>
            </w:pPr>
            <w:r>
              <w:rPr>
                <w:rFonts w:ascii="Arial" w:cs="Arial" w:eastAsia="Arial" w:hAnsi="Arial"/>
                <w:sz w:val="19"/>
                <w:szCs w:val="19"/>
                <w:b w:val="1"/>
                <w:bCs w:val="1"/>
                <w:color w:val="auto"/>
                <w:w w:val="91"/>
              </w:rPr>
              <w:t>Minimum Net Product Revenue</w:t>
            </w:r>
          </w:p>
        </w:tc>
        <w:tc>
          <w:tcPr>
            <w:tcW w:w="500" w:type="dxa"/>
            <w:vAlign w:val="bottom"/>
          </w:tcPr>
          <w:p>
            <w:pPr>
              <w:spacing w:after="0"/>
              <w:rPr>
                <w:sz w:val="24"/>
                <w:szCs w:val="24"/>
                <w:color w:val="auto"/>
              </w:rPr>
            </w:pPr>
          </w:p>
        </w:tc>
      </w:tr>
      <w:tr>
        <w:trPr>
          <w:trHeight w:val="223"/>
        </w:trPr>
        <w:tc>
          <w:tcPr>
            <w:tcW w:w="1180" w:type="dxa"/>
            <w:vAlign w:val="bottom"/>
          </w:tcPr>
          <w:p>
            <w:pPr>
              <w:spacing w:after="0"/>
              <w:rPr>
                <w:sz w:val="19"/>
                <w:szCs w:val="19"/>
                <w:color w:val="auto"/>
              </w:rPr>
            </w:pPr>
          </w:p>
        </w:tc>
        <w:tc>
          <w:tcPr>
            <w:tcW w:w="1740" w:type="dxa"/>
            <w:vAlign w:val="bottom"/>
            <w:gridSpan w:val="2"/>
          </w:tcPr>
          <w:p>
            <w:pPr>
              <w:jc w:val="center"/>
              <w:ind w:right="760"/>
              <w:spacing w:after="0"/>
              <w:rPr>
                <w:sz w:val="20"/>
                <w:szCs w:val="20"/>
                <w:color w:val="auto"/>
              </w:rPr>
            </w:pPr>
            <w:r>
              <w:rPr>
                <w:rFonts w:ascii="Arial" w:cs="Arial" w:eastAsia="Arial" w:hAnsi="Arial"/>
                <w:sz w:val="19"/>
                <w:szCs w:val="19"/>
                <w:b w:val="1"/>
                <w:bCs w:val="1"/>
                <w:color w:val="auto"/>
                <w:w w:val="88"/>
              </w:rPr>
              <w:t>Revenue</w:t>
            </w:r>
          </w:p>
        </w:tc>
        <w:tc>
          <w:tcPr>
            <w:tcW w:w="2520" w:type="dxa"/>
            <w:vAlign w:val="bottom"/>
          </w:tcPr>
          <w:p>
            <w:pPr>
              <w:spacing w:after="0"/>
              <w:rPr>
                <w:sz w:val="19"/>
                <w:szCs w:val="19"/>
                <w:color w:val="auto"/>
              </w:rPr>
            </w:pPr>
          </w:p>
        </w:tc>
        <w:tc>
          <w:tcPr>
            <w:tcW w:w="2880" w:type="dxa"/>
            <w:vAlign w:val="bottom"/>
          </w:tcPr>
          <w:p>
            <w:pPr>
              <w:jc w:val="center"/>
              <w:ind w:right="5"/>
              <w:spacing w:after="0"/>
              <w:rPr>
                <w:sz w:val="20"/>
                <w:szCs w:val="20"/>
                <w:color w:val="auto"/>
              </w:rPr>
            </w:pPr>
            <w:r>
              <w:rPr>
                <w:rFonts w:ascii="Arial" w:cs="Arial" w:eastAsia="Arial" w:hAnsi="Arial"/>
                <w:sz w:val="19"/>
                <w:szCs w:val="19"/>
                <w:b w:val="1"/>
                <w:bCs w:val="1"/>
                <w:color w:val="auto"/>
                <w:w w:val="89"/>
              </w:rPr>
              <w:t>per Section 7.15</w:t>
            </w:r>
          </w:p>
        </w:tc>
        <w:tc>
          <w:tcPr>
            <w:tcW w:w="500" w:type="dxa"/>
            <w:vAlign w:val="bottom"/>
          </w:tcPr>
          <w:p>
            <w:pPr>
              <w:spacing w:after="0"/>
              <w:rPr>
                <w:sz w:val="19"/>
                <w:szCs w:val="19"/>
                <w:color w:val="auto"/>
              </w:rPr>
            </w:pPr>
          </w:p>
        </w:tc>
      </w:tr>
      <w:tr>
        <w:trPr>
          <w:trHeight w:val="247"/>
        </w:trPr>
        <w:tc>
          <w:tcPr>
            <w:tcW w:w="2920" w:type="dxa"/>
            <w:vAlign w:val="bottom"/>
            <w:gridSpan w:val="3"/>
          </w:tcPr>
          <w:p>
            <w:pPr>
              <w:jc w:val="center"/>
              <w:ind w:left="305"/>
              <w:spacing w:after="0"/>
              <w:rPr>
                <w:sz w:val="20"/>
                <w:szCs w:val="20"/>
                <w:color w:val="auto"/>
              </w:rPr>
            </w:pPr>
            <w:r>
              <w:rPr>
                <w:rFonts w:ascii="Arial" w:cs="Arial" w:eastAsia="Arial" w:hAnsi="Arial"/>
                <w:sz w:val="19"/>
                <w:szCs w:val="19"/>
                <w:b w:val="1"/>
                <w:bCs w:val="1"/>
                <w:color w:val="auto"/>
                <w:w w:val="89"/>
              </w:rPr>
              <w:t>(period ending __________)</w:t>
            </w:r>
          </w:p>
        </w:tc>
        <w:tc>
          <w:tcPr>
            <w:tcW w:w="2520" w:type="dxa"/>
            <w:vAlign w:val="bottom"/>
          </w:tcPr>
          <w:p>
            <w:pPr>
              <w:jc w:val="right"/>
              <w:ind w:right="485"/>
              <w:spacing w:after="0"/>
              <w:rPr>
                <w:sz w:val="20"/>
                <w:szCs w:val="20"/>
                <w:color w:val="auto"/>
              </w:rPr>
            </w:pPr>
            <w:r>
              <w:rPr>
                <w:rFonts w:ascii="Arial" w:cs="Arial" w:eastAsia="Arial" w:hAnsi="Arial"/>
                <w:sz w:val="19"/>
                <w:szCs w:val="19"/>
                <w:b w:val="1"/>
                <w:bCs w:val="1"/>
                <w:color w:val="auto"/>
              </w:rPr>
              <w:t>$_____________</w:t>
            </w:r>
          </w:p>
        </w:tc>
        <w:tc>
          <w:tcPr>
            <w:tcW w:w="2880" w:type="dxa"/>
            <w:vAlign w:val="bottom"/>
          </w:tcPr>
          <w:p>
            <w:pPr>
              <w:jc w:val="center"/>
              <w:ind w:right="5"/>
              <w:spacing w:after="0"/>
              <w:rPr>
                <w:sz w:val="20"/>
                <w:szCs w:val="20"/>
                <w:color w:val="auto"/>
              </w:rPr>
            </w:pPr>
            <w:r>
              <w:rPr>
                <w:rFonts w:ascii="Arial" w:cs="Arial" w:eastAsia="Arial" w:hAnsi="Arial"/>
                <w:sz w:val="19"/>
                <w:szCs w:val="19"/>
                <w:b w:val="1"/>
                <w:bCs w:val="1"/>
                <w:color w:val="auto"/>
                <w:w w:val="90"/>
              </w:rPr>
              <w:t>$_____________</w:t>
            </w:r>
          </w:p>
        </w:tc>
        <w:tc>
          <w:tcPr>
            <w:tcW w:w="500" w:type="dxa"/>
            <w:vAlign w:val="bottom"/>
          </w:tcPr>
          <w:p>
            <w:pPr>
              <w:ind w:left="220"/>
              <w:spacing w:after="0"/>
              <w:rPr>
                <w:sz w:val="20"/>
                <w:szCs w:val="20"/>
                <w:color w:val="auto"/>
              </w:rPr>
            </w:pPr>
            <w:r>
              <w:rPr>
                <w:rFonts w:ascii="Arial" w:cs="Arial" w:eastAsia="Arial" w:hAnsi="Arial"/>
                <w:sz w:val="19"/>
                <w:szCs w:val="19"/>
                <w:b w:val="1"/>
                <w:bCs w:val="1"/>
                <w:color w:val="auto"/>
                <w:w w:val="76"/>
              </w:rPr>
              <w:t>Yes</w:t>
            </w:r>
          </w:p>
        </w:tc>
      </w:tr>
      <w:tr>
        <w:trPr>
          <w:trHeight w:val="487"/>
        </w:trPr>
        <w:tc>
          <w:tcPr>
            <w:tcW w:w="11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93"/>
              </w:rPr>
              <w:t>Other Matters</w:t>
            </w:r>
          </w:p>
        </w:tc>
        <w:tc>
          <w:tcPr>
            <w:tcW w:w="1740" w:type="dxa"/>
            <w:vAlign w:val="bottom"/>
            <w:gridSpan w:val="2"/>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55" w:lineRule="exact"/>
        <w:rPr>
          <w:sz w:val="20"/>
          <w:szCs w:val="20"/>
          <w:color w:val="auto"/>
        </w:rPr>
      </w:pPr>
    </w:p>
    <w:p>
      <w:pPr>
        <w:ind w:left="880" w:hanging="549"/>
        <w:spacing w:after="0"/>
        <w:tabs>
          <w:tab w:leader="none" w:pos="880" w:val="left"/>
        </w:tabs>
        <w:numPr>
          <w:ilvl w:val="0"/>
          <w:numId w:val="228"/>
        </w:numPr>
        <w:rPr>
          <w:rFonts w:ascii="Arial" w:cs="Arial" w:eastAsia="Arial" w:hAnsi="Arial"/>
          <w:sz w:val="19"/>
          <w:szCs w:val="19"/>
          <w:b w:val="1"/>
          <w:bCs w:val="1"/>
          <w:color w:val="auto"/>
        </w:rPr>
      </w:pPr>
      <w:r>
        <w:rPr>
          <w:rFonts w:ascii="Arial" w:cs="Arial" w:eastAsia="Arial" w:hAnsi="Arial"/>
          <w:sz w:val="19"/>
          <w:szCs w:val="19"/>
          <w:color w:val="auto"/>
        </w:rPr>
        <w:t>Have there been any changes in Key Persons since the last Compliance Certificate?</w:t>
      </w:r>
    </w:p>
    <w:p>
      <w:pPr>
        <w:spacing w:after="0" w:line="220" w:lineRule="exact"/>
        <w:rPr>
          <w:rFonts w:ascii="Arial" w:cs="Arial" w:eastAsia="Arial" w:hAnsi="Arial"/>
          <w:sz w:val="19"/>
          <w:szCs w:val="19"/>
          <w:b w:val="1"/>
          <w:bCs w:val="1"/>
          <w:color w:val="auto"/>
        </w:rPr>
      </w:pPr>
    </w:p>
    <w:p>
      <w:pPr>
        <w:ind w:left="880" w:right="600" w:hanging="549"/>
        <w:spacing w:after="0" w:line="183" w:lineRule="auto"/>
        <w:tabs>
          <w:tab w:leader="none" w:pos="880" w:val="left"/>
        </w:tabs>
        <w:numPr>
          <w:ilvl w:val="0"/>
          <w:numId w:val="228"/>
        </w:numPr>
        <w:rPr>
          <w:rFonts w:ascii="Arial" w:cs="Arial" w:eastAsia="Arial" w:hAnsi="Arial"/>
          <w:sz w:val="31"/>
          <w:szCs w:val="31"/>
          <w:b w:val="1"/>
          <w:bCs w:val="1"/>
          <w:color w:val="auto"/>
          <w:vertAlign w:val="subscript"/>
        </w:rPr>
      </w:pPr>
      <w:r>
        <w:rPr>
          <w:rFonts w:ascii="Arial" w:cs="Arial" w:eastAsia="Arial" w:hAnsi="Arial"/>
          <w:sz w:val="17"/>
          <w:szCs w:val="17"/>
          <w:color w:val="auto"/>
        </w:rPr>
        <w:t>Have there been any transfers/sales/disposals/retirement of Collateral or IP prohibited by the Loan Agreement?</w:t>
      </w:r>
    </w:p>
    <w:p>
      <w:pPr>
        <w:spacing w:after="0" w:line="199" w:lineRule="exact"/>
        <w:rPr>
          <w:rFonts w:ascii="Arial" w:cs="Arial" w:eastAsia="Arial" w:hAnsi="Arial"/>
          <w:sz w:val="31"/>
          <w:szCs w:val="31"/>
          <w:b w:val="1"/>
          <w:bCs w:val="1"/>
          <w:color w:val="auto"/>
          <w:vertAlign w:val="subscript"/>
        </w:rPr>
      </w:pPr>
    </w:p>
    <w:p>
      <w:pPr>
        <w:ind w:left="880" w:right="140" w:hanging="549"/>
        <w:spacing w:after="0" w:line="183" w:lineRule="auto"/>
        <w:tabs>
          <w:tab w:leader="none" w:pos="880" w:val="left"/>
        </w:tabs>
        <w:numPr>
          <w:ilvl w:val="0"/>
          <w:numId w:val="228"/>
        </w:numPr>
        <w:rPr>
          <w:rFonts w:ascii="Arial" w:cs="Arial" w:eastAsia="Arial" w:hAnsi="Arial"/>
          <w:sz w:val="31"/>
          <w:szCs w:val="31"/>
          <w:b w:val="1"/>
          <w:bCs w:val="1"/>
          <w:color w:val="auto"/>
          <w:vertAlign w:val="subscript"/>
        </w:rPr>
      </w:pPr>
      <w:r>
        <w:rPr>
          <w:rFonts w:ascii="Arial" w:cs="Arial" w:eastAsia="Arial" w:hAnsi="Arial"/>
          <w:sz w:val="17"/>
          <w:szCs w:val="17"/>
          <w:color w:val="auto"/>
        </w:rPr>
        <w:t>Have there been any new or pending claims or causes of action against Borrower that involve more than One Million Dollars ($1,000,000.00)?</w:t>
      </w:r>
    </w:p>
    <w:p>
      <w:pPr>
        <w:ind w:left="880" w:hanging="549"/>
        <w:spacing w:after="0" w:line="187" w:lineRule="auto"/>
        <w:tabs>
          <w:tab w:leader="none" w:pos="880" w:val="left"/>
        </w:tabs>
        <w:numPr>
          <w:ilvl w:val="0"/>
          <w:numId w:val="228"/>
        </w:numPr>
        <w:rPr>
          <w:rFonts w:ascii="Arial" w:cs="Arial" w:eastAsia="Arial" w:hAnsi="Arial"/>
          <w:sz w:val="30"/>
          <w:szCs w:val="30"/>
          <w:b w:val="1"/>
          <w:bCs w:val="1"/>
          <w:color w:val="auto"/>
          <w:vertAlign w:val="subscript"/>
        </w:rPr>
      </w:pPr>
      <w:r>
        <w:rPr>
          <w:rFonts w:ascii="Arial" w:cs="Arial" w:eastAsia="Arial" w:hAnsi="Arial"/>
          <w:sz w:val="16"/>
          <w:szCs w:val="16"/>
          <w:color w:val="auto"/>
        </w:rPr>
        <w:t>Have there been any amendments or changes to the Operating Documents of Borrower or any of its Subsidiaries? If yes, provide copies of any such amendments or changes with this Compliance Certificate.</w:t>
      </w:r>
    </w:p>
    <w:p>
      <w:pPr>
        <w:spacing w:after="0" w:line="1" w:lineRule="exact"/>
        <w:rPr>
          <w:rFonts w:ascii="Arial" w:cs="Arial" w:eastAsia="Arial" w:hAnsi="Arial"/>
          <w:sz w:val="30"/>
          <w:szCs w:val="30"/>
          <w:b w:val="1"/>
          <w:bCs w:val="1"/>
          <w:color w:val="auto"/>
          <w:vertAlign w:val="subscript"/>
        </w:rPr>
      </w:pPr>
    </w:p>
    <w:p>
      <w:pPr>
        <w:ind w:left="880" w:right="80" w:hanging="549"/>
        <w:spacing w:after="0" w:line="187" w:lineRule="auto"/>
        <w:tabs>
          <w:tab w:leader="none" w:pos="880" w:val="left"/>
        </w:tabs>
        <w:numPr>
          <w:ilvl w:val="0"/>
          <w:numId w:val="228"/>
        </w:numPr>
        <w:rPr>
          <w:rFonts w:ascii="Arial" w:cs="Arial" w:eastAsia="Arial" w:hAnsi="Arial"/>
          <w:sz w:val="30"/>
          <w:szCs w:val="30"/>
          <w:b w:val="1"/>
          <w:bCs w:val="1"/>
          <w:color w:val="auto"/>
          <w:vertAlign w:val="subscript"/>
        </w:rPr>
      </w:pPr>
      <w:r>
        <w:rPr>
          <w:rFonts w:ascii="Arial" w:cs="Arial" w:eastAsia="Arial" w:hAnsi="Arial"/>
          <w:sz w:val="16"/>
          <w:szCs w:val="16"/>
          <w:color w:val="auto"/>
        </w:rPr>
        <w:t>Has Borrower or any Subsidiary entered into or amended and Material Agreement? If yes, please explain and provide a copy of the Material Agreement(s) and/or amendment(s)</w:t>
      </w:r>
    </w:p>
    <w:p>
      <w:pPr>
        <w:spacing w:after="0" w:line="1" w:lineRule="exact"/>
        <w:rPr>
          <w:rFonts w:ascii="Arial" w:cs="Arial" w:eastAsia="Arial" w:hAnsi="Arial"/>
          <w:sz w:val="30"/>
          <w:szCs w:val="30"/>
          <w:b w:val="1"/>
          <w:bCs w:val="1"/>
          <w:color w:val="auto"/>
          <w:vertAlign w:val="subscript"/>
        </w:rPr>
      </w:pPr>
    </w:p>
    <w:p>
      <w:pPr>
        <w:ind w:left="880" w:right="440" w:hanging="549"/>
        <w:spacing w:after="0" w:line="187" w:lineRule="auto"/>
        <w:tabs>
          <w:tab w:leader="none" w:pos="880" w:val="left"/>
        </w:tabs>
        <w:numPr>
          <w:ilvl w:val="0"/>
          <w:numId w:val="228"/>
        </w:numPr>
        <w:rPr>
          <w:rFonts w:ascii="Arial" w:cs="Arial" w:eastAsia="Arial" w:hAnsi="Arial"/>
          <w:sz w:val="30"/>
          <w:szCs w:val="30"/>
          <w:b w:val="1"/>
          <w:bCs w:val="1"/>
          <w:color w:val="auto"/>
          <w:vertAlign w:val="subscript"/>
        </w:rPr>
      </w:pPr>
      <w:r>
        <w:rPr>
          <w:rFonts w:ascii="Arial" w:cs="Arial" w:eastAsia="Arial" w:hAnsi="Arial"/>
          <w:sz w:val="16"/>
          <w:szCs w:val="16"/>
          <w:color w:val="auto"/>
        </w:rPr>
        <w:t>Has Borrower provided the Collateral Agent with all notices required to be delivered under Sections 6.2(a) and 6.2(b) of the Loan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Complies</w:t>
      </w:r>
    </w:p>
    <w:p>
      <w:pPr>
        <w:spacing w:after="0" w:line="111" w:lineRule="exact"/>
        <w:rPr>
          <w:sz w:val="20"/>
          <w:szCs w:val="20"/>
          <w:color w:val="auto"/>
        </w:rPr>
      </w:pPr>
    </w:p>
    <w:p>
      <w:pPr>
        <w:jc w:val="both"/>
        <w:ind w:left="260"/>
        <w:spacing w:after="0"/>
        <w:tabs>
          <w:tab w:leader="none" w:pos="120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9"/>
          <w:szCs w:val="19"/>
          <w:color w:val="auto"/>
        </w:rPr>
        <w:t>Yes</w:t>
      </w:r>
      <w:r>
        <w:rPr>
          <w:sz w:val="20"/>
          <w:szCs w:val="20"/>
          <w:color w:val="auto"/>
        </w:rPr>
        <w:tab/>
      </w:r>
      <w:r>
        <w:rPr>
          <w:rFonts w:ascii="Arial" w:cs="Arial" w:eastAsia="Arial" w:hAnsi="Arial"/>
          <w:sz w:val="19"/>
          <w:szCs w:val="19"/>
          <w:color w:val="auto"/>
        </w:rPr>
        <w:t>No</w:t>
      </w:r>
    </w:p>
    <w:p>
      <w:pPr>
        <w:spacing w:after="0" w:line="31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9"/>
          <w:szCs w:val="19"/>
          <w:color w:val="auto"/>
        </w:rPr>
        <w:t>Yes</w:t>
      </w:r>
      <w:r>
        <w:rPr>
          <w:sz w:val="20"/>
          <w:szCs w:val="20"/>
          <w:color w:val="auto"/>
        </w:rPr>
        <w:tab/>
      </w:r>
      <w:r>
        <w:rPr>
          <w:rFonts w:ascii="Arial" w:cs="Arial" w:eastAsia="Arial" w:hAnsi="Arial"/>
          <w:sz w:val="19"/>
          <w:szCs w:val="19"/>
          <w:color w:val="auto"/>
        </w:rPr>
        <w:t>No</w:t>
      </w:r>
    </w:p>
    <w:p>
      <w:pPr>
        <w:spacing w:after="0" w:line="200" w:lineRule="exact"/>
        <w:rPr>
          <w:sz w:val="20"/>
          <w:szCs w:val="20"/>
          <w:color w:val="auto"/>
        </w:rPr>
      </w:pPr>
    </w:p>
    <w:p>
      <w:pPr>
        <w:spacing w:after="0" w:line="202"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9"/>
          <w:szCs w:val="19"/>
          <w:color w:val="auto"/>
        </w:rPr>
        <w:t>Yes</w:t>
      </w:r>
      <w:r>
        <w:rPr>
          <w:sz w:val="20"/>
          <w:szCs w:val="20"/>
          <w:color w:val="auto"/>
        </w:rPr>
        <w:tab/>
      </w:r>
      <w:r>
        <w:rPr>
          <w:rFonts w:ascii="Arial" w:cs="Arial" w:eastAsia="Arial" w:hAnsi="Arial"/>
          <w:sz w:val="19"/>
          <w:szCs w:val="19"/>
          <w:color w:val="auto"/>
        </w:rPr>
        <w:t>No</w:t>
      </w:r>
    </w:p>
    <w:p>
      <w:pPr>
        <w:spacing w:after="0" w:line="195"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9"/>
          <w:szCs w:val="19"/>
          <w:color w:val="auto"/>
        </w:rPr>
        <w:t>Yes</w:t>
      </w:r>
      <w:r>
        <w:rPr>
          <w:sz w:val="20"/>
          <w:szCs w:val="20"/>
          <w:color w:val="auto"/>
        </w:rPr>
        <w:tab/>
      </w:r>
      <w:r>
        <w:rPr>
          <w:rFonts w:ascii="Arial" w:cs="Arial" w:eastAsia="Arial" w:hAnsi="Arial"/>
          <w:sz w:val="19"/>
          <w:szCs w:val="19"/>
          <w:color w:val="auto"/>
        </w:rPr>
        <w:t>No</w:t>
      </w:r>
    </w:p>
    <w:p>
      <w:pPr>
        <w:spacing w:after="0" w:line="195"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9"/>
          <w:szCs w:val="19"/>
          <w:color w:val="auto"/>
        </w:rPr>
        <w:t>Yes</w:t>
      </w:r>
      <w:r>
        <w:rPr>
          <w:sz w:val="20"/>
          <w:szCs w:val="20"/>
          <w:color w:val="auto"/>
        </w:rPr>
        <w:tab/>
      </w:r>
      <w:r>
        <w:rPr>
          <w:rFonts w:ascii="Arial" w:cs="Arial" w:eastAsia="Arial" w:hAnsi="Arial"/>
          <w:sz w:val="19"/>
          <w:szCs w:val="19"/>
          <w:color w:val="auto"/>
        </w:rPr>
        <w:t>No</w:t>
      </w:r>
    </w:p>
    <w:p>
      <w:pPr>
        <w:spacing w:after="0" w:line="195"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9"/>
          <w:szCs w:val="19"/>
          <w:color w:val="auto"/>
        </w:rPr>
        <w:t>Yes</w:t>
      </w:r>
      <w:r>
        <w:rPr>
          <w:sz w:val="20"/>
          <w:szCs w:val="20"/>
          <w:color w:val="auto"/>
        </w:rPr>
        <w:tab/>
      </w:r>
      <w:r>
        <w:rPr>
          <w:rFonts w:ascii="Arial" w:cs="Arial" w:eastAsia="Arial" w:hAnsi="Arial"/>
          <w:sz w:val="19"/>
          <w:szCs w:val="19"/>
          <w:color w:val="auto"/>
        </w:rPr>
        <w:t>No</w:t>
      </w:r>
    </w:p>
    <w:p>
      <w:pPr>
        <w:sectPr>
          <w:pgSz w:w="11900" w:h="16838" w:orient="portrait"/>
          <w:cols w:equalWidth="0" w:num="2">
            <w:col w:w="8920" w:space="400"/>
            <w:col w:w="1560"/>
          </w:cols>
          <w:pgMar w:left="320" w:top="1329" w:right="699" w:bottom="1440" w:gutter="0" w:footer="0" w:header="0"/>
        </w:sectPr>
      </w:pPr>
    </w:p>
    <w:bookmarkStart w:id="267" w:name="page268"/>
    <w:bookmarkEnd w:id="267"/>
    <w:p>
      <w:pPr>
        <w:spacing w:after="0"/>
        <w:rPr>
          <w:sz w:val="20"/>
          <w:szCs w:val="20"/>
          <w:color w:val="auto"/>
        </w:rPr>
      </w:pPr>
      <w:r>
        <w:rPr>
          <w:rFonts w:ascii="Arial" w:cs="Arial" w:eastAsia="Arial" w:hAnsi="Arial"/>
          <w:sz w:val="19"/>
          <w:szCs w:val="19"/>
          <w:b w:val="1"/>
          <w:bCs w:val="1"/>
          <w:u w:val="single" w:color="auto"/>
          <w:color w:val="auto"/>
        </w:rPr>
        <w:t>Exceptions</w:t>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Please explain any exceptions with respect to the certification above: (If no exceptions exist, state “No exceptions.” Attach separate sheet if additional space needed.)</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color w:val="auto"/>
        </w:rPr>
        <w:t>ARCUTIS BIOTHERAPEUTICS, INC.</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198" w:lineRule="auto"/>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-113030</wp:posOffset>
            </wp:positionV>
            <wp:extent cx="4806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-137795</wp:posOffset>
            </wp:positionV>
            <wp:extent cx="4806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480695" cy="8255"/>
                    </a:xfrm>
                    <a:prstGeom prst="rect">
                      <a:avLst/>
                    </a:prstGeom>
                    <a:noFill/>
                  </pic:spPr>
                </pic:pic>
              </a:graphicData>
            </a:graphic>
          </wp:anchor>
        </w:drawing>
        <w:drawing>
          <wp:anchor simplePos="0" relativeHeight="251657728" behindDoc="1" locked="0" layoutInCell="0" allowOverlap="1">
            <wp:simplePos x="0" y="0"/>
            <wp:positionH relativeFrom="column">
              <wp:posOffset>318135</wp:posOffset>
            </wp:positionH>
            <wp:positionV relativeFrom="paragraph">
              <wp:posOffset>-22860</wp:posOffset>
            </wp:positionV>
            <wp:extent cx="4806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41" w:lineRule="exact"/>
        <w:rPr>
          <w:sz w:val="20"/>
          <w:szCs w:val="20"/>
          <w:color w:val="auto"/>
        </w:rPr>
      </w:pPr>
    </w:p>
    <w:p>
      <w:pPr>
        <w:ind w:left="3380"/>
        <w:spacing w:after="0"/>
        <w:rPr>
          <w:sz w:val="20"/>
          <w:szCs w:val="20"/>
          <w:color w:val="auto"/>
        </w:rPr>
      </w:pPr>
      <w:r>
        <w:rPr>
          <w:rFonts w:ascii="Arial" w:cs="Arial" w:eastAsia="Arial" w:hAnsi="Arial"/>
          <w:sz w:val="19"/>
          <w:szCs w:val="19"/>
          <w:b w:val="1"/>
          <w:bCs w:val="1"/>
          <w:color w:val="auto"/>
        </w:rPr>
        <w:t>COLLATERAL AGENT USE ONLY</w:t>
      </w:r>
    </w:p>
    <w:p>
      <w:pPr>
        <w:spacing w:after="0" w:line="206" w:lineRule="exact"/>
        <w:rPr>
          <w:sz w:val="20"/>
          <w:szCs w:val="20"/>
          <w:color w:val="auto"/>
        </w:rPr>
      </w:pPr>
    </w:p>
    <w:tbl>
      <w:tblPr>
        <w:tblLayout w:type="fixed"/>
        <w:tblInd w:w="3380" w:type="dxa"/>
        <w:tblCellMar>
          <w:top w:w="0" w:type="dxa"/>
          <w:left w:w="0" w:type="dxa"/>
          <w:bottom w:w="0" w:type="dxa"/>
          <w:right w:w="0" w:type="dxa"/>
        </w:tblCellMar>
      </w:tblPr>
      <w:tr>
        <w:trPr>
          <w:trHeight w:val="218"/>
        </w:trPr>
        <w:tc>
          <w:tcPr>
            <w:tcW w:w="1000" w:type="dxa"/>
            <w:vAlign w:val="bottom"/>
          </w:tcPr>
          <w:p>
            <w:pPr>
              <w:spacing w:after="0"/>
              <w:rPr>
                <w:sz w:val="20"/>
                <w:szCs w:val="20"/>
                <w:color w:val="auto"/>
              </w:rPr>
            </w:pPr>
            <w:r>
              <w:rPr>
                <w:rFonts w:ascii="Arial" w:cs="Arial" w:eastAsia="Arial" w:hAnsi="Arial"/>
                <w:sz w:val="19"/>
                <w:szCs w:val="19"/>
                <w:color w:val="auto"/>
                <w:w w:val="89"/>
              </w:rPr>
              <w:t>Received by:</w:t>
            </w:r>
          </w:p>
        </w:tc>
        <w:tc>
          <w:tcPr>
            <w:tcW w:w="800" w:type="dxa"/>
            <w:vAlign w:val="bottom"/>
            <w:tcBorders>
              <w:bottom w:val="single" w:sz="8" w:color="auto"/>
            </w:tcBorders>
            <w:gridSpan w:val="3"/>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ind w:left="1140"/>
              <w:spacing w:after="0"/>
              <w:rPr>
                <w:sz w:val="20"/>
                <w:szCs w:val="20"/>
                <w:color w:val="auto"/>
              </w:rPr>
            </w:pPr>
            <w:r>
              <w:rPr>
                <w:rFonts w:ascii="Arial" w:cs="Arial" w:eastAsia="Arial" w:hAnsi="Arial"/>
                <w:sz w:val="19"/>
                <w:szCs w:val="19"/>
                <w:color w:val="auto"/>
                <w:w w:val="83"/>
              </w:rPr>
              <w:t>Date:</w:t>
            </w:r>
          </w:p>
        </w:tc>
      </w:tr>
      <w:tr>
        <w:trPr>
          <w:trHeight w:val="419"/>
        </w:trPr>
        <w:tc>
          <w:tcPr>
            <w:tcW w:w="1020" w:type="dxa"/>
            <w:vAlign w:val="bottom"/>
            <w:gridSpan w:val="2"/>
          </w:tcPr>
          <w:p>
            <w:pPr>
              <w:spacing w:after="0"/>
              <w:rPr>
                <w:sz w:val="20"/>
                <w:szCs w:val="20"/>
                <w:color w:val="auto"/>
              </w:rPr>
            </w:pPr>
            <w:r>
              <w:rPr>
                <w:rFonts w:ascii="Arial" w:cs="Arial" w:eastAsia="Arial" w:hAnsi="Arial"/>
                <w:sz w:val="19"/>
                <w:szCs w:val="19"/>
                <w:color w:val="auto"/>
              </w:rPr>
              <w:t>Verified by:</w:t>
            </w:r>
          </w:p>
        </w:tc>
        <w:tc>
          <w:tcPr>
            <w:tcW w:w="740" w:type="dxa"/>
            <w:vAlign w:val="bottom"/>
            <w:tcBorders>
              <w:bottom w:val="single" w:sz="8" w:color="auto"/>
            </w:tcBorders>
          </w:tcPr>
          <w:p>
            <w:pPr>
              <w:spacing w:after="0"/>
              <w:rPr>
                <w:sz w:val="24"/>
                <w:szCs w:val="24"/>
                <w:color w:val="auto"/>
              </w:rPr>
            </w:pPr>
          </w:p>
        </w:tc>
        <w:tc>
          <w:tcPr>
            <w:tcW w:w="380" w:type="dxa"/>
            <w:vAlign w:val="bottom"/>
            <w:gridSpan w:val="2"/>
          </w:tcPr>
          <w:p>
            <w:pPr>
              <w:spacing w:after="0"/>
              <w:rPr>
                <w:sz w:val="24"/>
                <w:szCs w:val="24"/>
                <w:color w:val="auto"/>
              </w:rPr>
            </w:pPr>
          </w:p>
        </w:tc>
        <w:tc>
          <w:tcPr>
            <w:tcW w:w="1540" w:type="dxa"/>
            <w:vAlign w:val="bottom"/>
          </w:tcPr>
          <w:p>
            <w:pPr>
              <w:ind w:left="1140"/>
              <w:spacing w:after="0"/>
              <w:rPr>
                <w:sz w:val="20"/>
                <w:szCs w:val="20"/>
                <w:color w:val="auto"/>
              </w:rPr>
            </w:pPr>
            <w:r>
              <w:rPr>
                <w:rFonts w:ascii="Arial" w:cs="Arial" w:eastAsia="Arial" w:hAnsi="Arial"/>
                <w:sz w:val="19"/>
                <w:szCs w:val="19"/>
                <w:color w:val="auto"/>
                <w:w w:val="83"/>
              </w:rPr>
              <w:t>Date:</w:t>
            </w:r>
          </w:p>
        </w:tc>
      </w:tr>
      <w:tr>
        <w:trPr>
          <w:trHeight w:val="462"/>
        </w:trPr>
        <w:tc>
          <w:tcPr>
            <w:tcW w:w="2140" w:type="dxa"/>
            <w:vAlign w:val="bottom"/>
            <w:gridSpan w:val="5"/>
          </w:tcPr>
          <w:p>
            <w:pPr>
              <w:spacing w:after="0"/>
              <w:rPr>
                <w:sz w:val="20"/>
                <w:szCs w:val="20"/>
                <w:color w:val="auto"/>
              </w:rPr>
            </w:pPr>
            <w:r>
              <w:rPr>
                <w:rFonts w:ascii="Arial" w:cs="Arial" w:eastAsia="Arial" w:hAnsi="Arial"/>
                <w:sz w:val="19"/>
                <w:szCs w:val="19"/>
                <w:color w:val="auto"/>
              </w:rPr>
              <w:t>Compliance Status:  Yes</w:t>
            </w:r>
          </w:p>
        </w:tc>
        <w:tc>
          <w:tcPr>
            <w:tcW w:w="1540" w:type="dxa"/>
            <w:vAlign w:val="bottom"/>
          </w:tcPr>
          <w:p>
            <w:pPr>
              <w:ind w:left="180"/>
              <w:spacing w:after="0"/>
              <w:rPr>
                <w:sz w:val="20"/>
                <w:szCs w:val="20"/>
                <w:color w:val="auto"/>
              </w:rPr>
            </w:pPr>
            <w:r>
              <w:rPr>
                <w:rFonts w:ascii="Arial" w:cs="Arial" w:eastAsia="Arial" w:hAnsi="Arial"/>
                <w:sz w:val="19"/>
                <w:szCs w:val="19"/>
                <w:color w:val="auto"/>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-584835</wp:posOffset>
            </wp:positionV>
            <wp:extent cx="2406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240665" cy="8255"/>
                    </a:xfrm>
                    <a:prstGeom prst="rect">
                      <a:avLst/>
                    </a:prstGeom>
                    <a:noFill/>
                  </pic:spPr>
                </pic:pic>
              </a:graphicData>
            </a:graphic>
          </wp:anchor>
        </w:drawing>
        <w:drawing>
          <wp:anchor simplePos="0" relativeHeight="251657728" behindDoc="1" locked="0" layoutInCell="0" allowOverlap="1">
            <wp:simplePos x="0" y="0"/>
            <wp:positionH relativeFrom="column">
              <wp:posOffset>4546600</wp:posOffset>
            </wp:positionH>
            <wp:positionV relativeFrom="paragraph">
              <wp:posOffset>-305435</wp:posOffset>
            </wp:positionV>
            <wp:extent cx="2406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268" w:name="page269"/>
    <w:bookmarkEnd w:id="268"/>
    <w:tbl>
      <w:tblPr>
        <w:tblLayout w:type="fixed"/>
        <w:tblInd w:w="60" w:type="dxa"/>
        <w:tblCellMar>
          <w:top w:w="0" w:type="dxa"/>
          <w:left w:w="0" w:type="dxa"/>
          <w:bottom w:w="0" w:type="dxa"/>
          <w:right w:w="0" w:type="dxa"/>
        </w:tblCellMar>
      </w:tblPr>
      <w:tr>
        <w:trPr>
          <w:trHeight w:val="247"/>
        </w:trPr>
        <w:tc>
          <w:tcPr>
            <w:tcW w:w="1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0" w:type="dxa"/>
            <w:vAlign w:val="bottom"/>
          </w:tcPr>
          <w:p>
            <w:pPr>
              <w:ind w:left="2680"/>
              <w:spacing w:after="0"/>
              <w:rPr>
                <w:sz w:val="20"/>
                <w:szCs w:val="20"/>
                <w:color w:val="auto"/>
              </w:rPr>
            </w:pPr>
            <w:r>
              <w:rPr>
                <w:rFonts w:ascii="Arial" w:cs="Arial" w:eastAsia="Arial" w:hAnsi="Arial"/>
                <w:sz w:val="19"/>
                <w:szCs w:val="19"/>
                <w:b w:val="1"/>
                <w:bCs w:val="1"/>
                <w:color w:val="auto"/>
              </w:rPr>
              <w:t>EXHIBIT F</w:t>
            </w:r>
          </w:p>
        </w:tc>
        <w:tc>
          <w:tcPr>
            <w:tcW w:w="2720" w:type="dxa"/>
            <w:vAlign w:val="bottom"/>
          </w:tcPr>
          <w:p>
            <w:pPr>
              <w:spacing w:after="0"/>
              <w:rPr>
                <w:sz w:val="21"/>
                <w:szCs w:val="21"/>
                <w:color w:val="auto"/>
              </w:rPr>
            </w:pPr>
          </w:p>
        </w:tc>
      </w:tr>
      <w:tr>
        <w:trPr>
          <w:trHeight w:val="388"/>
        </w:trPr>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380" w:type="dxa"/>
            <w:vAlign w:val="bottom"/>
            <w:gridSpan w:val="2"/>
          </w:tcPr>
          <w:p>
            <w:pPr>
              <w:ind w:left="640"/>
              <w:spacing w:after="0"/>
              <w:rPr>
                <w:sz w:val="20"/>
                <w:szCs w:val="20"/>
                <w:color w:val="auto"/>
              </w:rPr>
            </w:pPr>
            <w:r>
              <w:rPr>
                <w:rFonts w:ascii="Arial" w:cs="Arial" w:eastAsia="Arial" w:hAnsi="Arial"/>
                <w:sz w:val="19"/>
                <w:szCs w:val="19"/>
                <w:b w:val="1"/>
                <w:bCs w:val="1"/>
                <w:color w:val="auto"/>
              </w:rPr>
              <w:t>CORPORATE BORROWING CERTIFICATE</w:t>
            </w:r>
          </w:p>
        </w:tc>
        <w:tc>
          <w:tcPr>
            <w:tcW w:w="2720" w:type="dxa"/>
            <w:vAlign w:val="bottom"/>
          </w:tcPr>
          <w:p>
            <w:pPr>
              <w:spacing w:after="0"/>
              <w:rPr>
                <w:sz w:val="24"/>
                <w:szCs w:val="24"/>
                <w:color w:val="auto"/>
              </w:rPr>
            </w:pPr>
          </w:p>
        </w:tc>
      </w:tr>
      <w:tr>
        <w:trPr>
          <w:trHeight w:val="399"/>
        </w:trPr>
        <w:tc>
          <w:tcPr>
            <w:tcW w:w="1260" w:type="dxa"/>
            <w:vAlign w:val="bottom"/>
          </w:tcPr>
          <w:p>
            <w:pPr>
              <w:spacing w:after="0"/>
              <w:rPr>
                <w:sz w:val="20"/>
                <w:szCs w:val="20"/>
                <w:color w:val="auto"/>
              </w:rPr>
            </w:pPr>
            <w:r>
              <w:rPr>
                <w:rFonts w:ascii="Arial" w:cs="Arial" w:eastAsia="Arial" w:hAnsi="Arial"/>
                <w:sz w:val="19"/>
                <w:szCs w:val="19"/>
                <w:b w:val="1"/>
                <w:bCs w:val="1"/>
                <w:color w:val="auto"/>
              </w:rPr>
              <w:t>Borrower:</w:t>
            </w:r>
          </w:p>
        </w:tc>
        <w:tc>
          <w:tcPr>
            <w:tcW w:w="7140" w:type="dxa"/>
            <w:vAlign w:val="bottom"/>
            <w:gridSpan w:val="3"/>
          </w:tcPr>
          <w:p>
            <w:pPr>
              <w:ind w:left="420"/>
              <w:spacing w:after="0"/>
              <w:rPr>
                <w:sz w:val="20"/>
                <w:szCs w:val="20"/>
                <w:color w:val="auto"/>
              </w:rPr>
            </w:pPr>
            <w:r>
              <w:rPr>
                <w:rFonts w:ascii="Arial" w:cs="Arial" w:eastAsia="Arial" w:hAnsi="Arial"/>
                <w:sz w:val="19"/>
                <w:szCs w:val="19"/>
                <w:color w:val="auto"/>
              </w:rPr>
              <w:t>ARCUTIS BIOTHERAPEUTICS, INC.</w:t>
            </w:r>
          </w:p>
        </w:tc>
        <w:tc>
          <w:tcPr>
            <w:tcW w:w="2720" w:type="dxa"/>
            <w:vAlign w:val="bottom"/>
          </w:tcPr>
          <w:p>
            <w:pPr>
              <w:ind w:left="760"/>
              <w:spacing w:after="0"/>
              <w:rPr>
                <w:sz w:val="20"/>
                <w:szCs w:val="20"/>
                <w:color w:val="auto"/>
              </w:rPr>
            </w:pPr>
            <w:r>
              <w:rPr>
                <w:rFonts w:ascii="Arial" w:cs="Arial" w:eastAsia="Arial" w:hAnsi="Arial"/>
                <w:sz w:val="19"/>
                <w:szCs w:val="19"/>
                <w:b w:val="1"/>
                <w:bCs w:val="1"/>
                <w:color w:val="auto"/>
                <w:w w:val="88"/>
              </w:rPr>
              <w:t>Date</w:t>
            </w:r>
            <w:r>
              <w:rPr>
                <w:rFonts w:ascii="Arial" w:cs="Arial" w:eastAsia="Arial" w:hAnsi="Arial"/>
                <w:sz w:val="19"/>
                <w:szCs w:val="19"/>
                <w:color w:val="auto"/>
                <w:w w:val="88"/>
              </w:rPr>
              <w:t>: December 22, 2021</w:t>
            </w:r>
          </w:p>
        </w:tc>
      </w:tr>
      <w:tr>
        <w:trPr>
          <w:trHeight w:val="191"/>
        </w:trPr>
        <w:tc>
          <w:tcPr>
            <w:tcW w:w="1260" w:type="dxa"/>
            <w:vAlign w:val="bottom"/>
          </w:tcPr>
          <w:p>
            <w:pPr>
              <w:spacing w:after="0" w:line="191" w:lineRule="exact"/>
              <w:rPr>
                <w:sz w:val="20"/>
                <w:szCs w:val="20"/>
                <w:color w:val="auto"/>
              </w:rPr>
            </w:pPr>
            <w:r>
              <w:rPr>
                <w:rFonts w:ascii="Arial" w:cs="Arial" w:eastAsia="Arial" w:hAnsi="Arial"/>
                <w:sz w:val="19"/>
                <w:szCs w:val="19"/>
                <w:b w:val="1"/>
                <w:bCs w:val="1"/>
                <w:color w:val="auto"/>
              </w:rPr>
              <w:t>Lenders:</w:t>
            </w:r>
          </w:p>
        </w:tc>
        <w:tc>
          <w:tcPr>
            <w:tcW w:w="7140" w:type="dxa"/>
            <w:vAlign w:val="bottom"/>
            <w:gridSpan w:val="3"/>
          </w:tcPr>
          <w:p>
            <w:pPr>
              <w:ind w:left="420"/>
              <w:spacing w:after="0" w:line="191" w:lineRule="exact"/>
              <w:rPr>
                <w:sz w:val="20"/>
                <w:szCs w:val="20"/>
                <w:color w:val="auto"/>
              </w:rPr>
            </w:pPr>
            <w:r>
              <w:rPr>
                <w:rFonts w:ascii="Arial" w:cs="Arial" w:eastAsia="Arial" w:hAnsi="Arial"/>
                <w:sz w:val="19"/>
                <w:szCs w:val="19"/>
                <w:color w:val="auto"/>
              </w:rPr>
              <w:t>SLR INVESTMENT CORP., as Collateral Agent and Lender and the and the</w:t>
            </w:r>
          </w:p>
        </w:tc>
        <w:tc>
          <w:tcPr>
            <w:tcW w:w="2720" w:type="dxa"/>
            <w:vAlign w:val="bottom"/>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7140" w:type="dxa"/>
            <w:vAlign w:val="bottom"/>
            <w:gridSpan w:val="3"/>
          </w:tcPr>
          <w:p>
            <w:pPr>
              <w:ind w:left="420"/>
              <w:spacing w:after="0" w:line="193" w:lineRule="exact"/>
              <w:rPr>
                <w:sz w:val="20"/>
                <w:szCs w:val="20"/>
                <w:color w:val="auto"/>
              </w:rPr>
            </w:pPr>
            <w:r>
              <w:rPr>
                <w:rFonts w:ascii="Arial" w:cs="Arial" w:eastAsia="Arial" w:hAnsi="Arial"/>
                <w:sz w:val="19"/>
                <w:szCs w:val="19"/>
                <w:color w:val="auto"/>
              </w:rPr>
              <w:t>Lenders listed on Schedule 1.1 of the Loan Agreement</w:t>
            </w:r>
          </w:p>
        </w:tc>
        <w:tc>
          <w:tcPr>
            <w:tcW w:w="272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3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 hereby certify, solely in my capacity as an officer of Borrower and not in my individual capacity, as follows, as of the date set forth above:</w:t>
      </w:r>
    </w:p>
    <w:p>
      <w:pPr>
        <w:spacing w:after="0" w:line="179" w:lineRule="exact"/>
        <w:rPr>
          <w:sz w:val="20"/>
          <w:szCs w:val="20"/>
          <w:color w:val="auto"/>
        </w:rPr>
      </w:pPr>
    </w:p>
    <w:p>
      <w:pPr>
        <w:ind w:left="1240" w:hanging="629"/>
        <w:spacing w:after="0"/>
        <w:tabs>
          <w:tab w:leader="none" w:pos="1240" w:val="left"/>
        </w:tabs>
        <w:numPr>
          <w:ilvl w:val="0"/>
          <w:numId w:val="229"/>
        </w:numPr>
        <w:rPr>
          <w:rFonts w:ascii="Arial" w:cs="Arial" w:eastAsia="Arial" w:hAnsi="Arial"/>
          <w:sz w:val="19"/>
          <w:szCs w:val="19"/>
          <w:color w:val="auto"/>
        </w:rPr>
      </w:pPr>
      <w:r>
        <w:rPr>
          <w:rFonts w:ascii="Arial" w:cs="Arial" w:eastAsia="Arial" w:hAnsi="Arial"/>
          <w:sz w:val="19"/>
          <w:szCs w:val="19"/>
          <w:color w:val="auto"/>
        </w:rPr>
        <w:t>I am the Chief Financial Officer of Borrower. My title is as set forth below.</w:t>
      </w:r>
    </w:p>
    <w:p>
      <w:pPr>
        <w:spacing w:after="0" w:line="143" w:lineRule="exact"/>
        <w:rPr>
          <w:rFonts w:ascii="Arial" w:cs="Arial" w:eastAsia="Arial" w:hAnsi="Arial"/>
          <w:sz w:val="19"/>
          <w:szCs w:val="19"/>
          <w:color w:val="auto"/>
        </w:rPr>
      </w:pPr>
    </w:p>
    <w:p>
      <w:pPr>
        <w:ind w:left="1240" w:hanging="629"/>
        <w:spacing w:after="0"/>
        <w:tabs>
          <w:tab w:leader="none" w:pos="12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Borrower’s exact legal name is set forth above. Borrower is a corporation existing under the laws of the State of Delaware.</w:t>
      </w:r>
    </w:p>
    <w:p>
      <w:pPr>
        <w:spacing w:after="0" w:line="167" w:lineRule="exact"/>
        <w:rPr>
          <w:rFonts w:ascii="Arial" w:cs="Arial" w:eastAsia="Arial" w:hAnsi="Arial"/>
          <w:sz w:val="18"/>
          <w:szCs w:val="18"/>
          <w:color w:val="auto"/>
        </w:rPr>
      </w:pPr>
    </w:p>
    <w:p>
      <w:pPr>
        <w:jc w:val="both"/>
        <w:ind w:firstLine="611"/>
        <w:spacing w:after="0"/>
        <w:tabs>
          <w:tab w:leader="none" w:pos="1228"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B</w:t>
      </w:r>
      <w:r>
        <w:rPr>
          <w:rFonts w:ascii="Arial" w:cs="Arial" w:eastAsia="Arial" w:hAnsi="Arial"/>
          <w:sz w:val="17"/>
          <w:szCs w:val="17"/>
          <w:color w:val="auto"/>
        </w:rPr>
        <w:t>, respectively, are true, correct and complete copies of (i) Borrower’s Certificate of Incorporation (including amendments), as filed with the Secretary of State of the state in which Borrower is incorporated as set forth in paragraph 2 above; and (ii) Borrower’s Bylaws. Neither such Certificate of Incorporation nor such Bylaws have been amended, annulled, rescinded, revoked or supplemented, and such Certificate of Incorporation and such Bylaws remain in full force and effect as of the date hereof.</w:t>
      </w:r>
    </w:p>
    <w:p>
      <w:pPr>
        <w:spacing w:after="0" w:line="135" w:lineRule="exact"/>
        <w:rPr>
          <w:rFonts w:ascii="Arial" w:cs="Arial" w:eastAsia="Arial" w:hAnsi="Arial"/>
          <w:sz w:val="17"/>
          <w:szCs w:val="17"/>
          <w:color w:val="auto"/>
        </w:rPr>
      </w:pPr>
    </w:p>
    <w:p>
      <w:pPr>
        <w:jc w:val="both"/>
        <w:ind w:firstLine="611"/>
        <w:spacing w:after="0" w:line="215" w:lineRule="auto"/>
        <w:tabs>
          <w:tab w:leader="none" w:pos="1228" w:val="left"/>
        </w:tabs>
        <w:numPr>
          <w:ilvl w:val="0"/>
          <w:numId w:val="229"/>
        </w:numPr>
        <w:rPr>
          <w:rFonts w:ascii="Arial" w:cs="Arial" w:eastAsia="Arial" w:hAnsi="Arial"/>
          <w:sz w:val="19"/>
          <w:szCs w:val="19"/>
          <w:color w:val="auto"/>
        </w:rPr>
      </w:pPr>
      <w:r>
        <w:rPr>
          <w:rFonts w:ascii="Arial" w:cs="Arial" w:eastAsia="Arial" w:hAnsi="Arial"/>
          <w:sz w:val="19"/>
          <w:szCs w:val="19"/>
          <w:color w:val="auto"/>
        </w:rPr>
        <w:t>The following resolutions were duly and validly adopted by Borrower’s board of directors (or a duly authorized committee thereof)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Balance of Page Intentionally Left Blank</w:t>
      </w:r>
      <w:r>
        <w:rPr>
          <w:rFonts w:ascii="Arial" w:cs="Arial" w:eastAsia="Arial" w:hAnsi="Arial"/>
          <w:sz w:val="19"/>
          <w:szCs w:val="19"/>
          <w:b w:val="1"/>
          <w:bCs w:val="1"/>
          <w:color w:val="auto"/>
        </w:rPr>
        <w:t>]</w:t>
      </w:r>
    </w:p>
    <w:p>
      <w:pPr>
        <w:sectPr>
          <w:pgSz w:w="11900" w:h="16838" w:orient="portrait"/>
          <w:cols w:equalWidth="0" w:num="1">
            <w:col w:w="11240"/>
          </w:cols>
          <w:pgMar w:left="320" w:top="1344" w:right="339" w:bottom="1440" w:gutter="0" w:footer="0" w:header="0"/>
        </w:sectPr>
      </w:pPr>
    </w:p>
    <w:bookmarkStart w:id="269" w:name="page270"/>
    <w:bookmarkEnd w:id="269"/>
    <w:p>
      <w:pPr>
        <w:ind w:firstLine="620"/>
        <w:spacing w:after="0" w:line="234" w:lineRule="auto"/>
        <w:rPr>
          <w:sz w:val="20"/>
          <w:szCs w:val="20"/>
          <w:color w:val="auto"/>
        </w:rPr>
      </w:pPr>
      <w:r>
        <w:rPr>
          <w:rFonts w:ascii="Arial" w:cs="Arial" w:eastAsia="Arial" w:hAnsi="Arial"/>
          <w:sz w:val="19"/>
          <w:szCs w:val="19"/>
          <w:b w:val="1"/>
          <w:bCs w:val="1"/>
          <w:color w:val="auto"/>
        </w:rPr>
        <w:t>Resolved</w:t>
      </w:r>
      <w:r>
        <w:rPr>
          <w:rFonts w:ascii="Arial" w:cs="Arial" w:eastAsia="Arial" w:hAnsi="Arial"/>
          <w:sz w:val="19"/>
          <w:szCs w:val="19"/>
          <w:color w:val="auto"/>
        </w:rPr>
        <w:t>, that</w:t>
      </w:r>
      <w:r>
        <w:rPr>
          <w:rFonts w:ascii="Arial" w:cs="Arial" w:eastAsia="Arial" w:hAnsi="Arial"/>
          <w:sz w:val="19"/>
          <w:szCs w:val="19"/>
          <w:b w:val="1"/>
          <w:bCs w:val="1"/>
          <w:color w:val="auto"/>
        </w:rPr>
        <w:t xml:space="preserve"> any one </w:t>
      </w:r>
      <w:r>
        <w:rPr>
          <w:rFonts w:ascii="Arial" w:cs="Arial" w:eastAsia="Arial" w:hAnsi="Arial"/>
          <w:sz w:val="19"/>
          <w:szCs w:val="19"/>
          <w:color w:val="auto"/>
        </w:rPr>
        <w:t>of the following officers or employees of Borrower, whose names, titles and signatures are below, may act on</w:t>
      </w:r>
      <w:r>
        <w:rPr>
          <w:rFonts w:ascii="Arial" w:cs="Arial" w:eastAsia="Arial" w:hAnsi="Arial"/>
          <w:sz w:val="19"/>
          <w:szCs w:val="19"/>
          <w:b w:val="1"/>
          <w:bCs w:val="1"/>
          <w:color w:val="auto"/>
        </w:rPr>
        <w:t xml:space="preserve"> </w:t>
      </w:r>
      <w:r>
        <w:rPr>
          <w:rFonts w:ascii="Arial" w:cs="Arial" w:eastAsia="Arial" w:hAnsi="Arial"/>
          <w:sz w:val="19"/>
          <w:szCs w:val="19"/>
          <w:color w:val="auto"/>
        </w:rPr>
        <w:t>behalf of Borrower:</w:t>
      </w:r>
    </w:p>
    <w:p>
      <w:pPr>
        <w:spacing w:after="0" w:line="166" w:lineRule="exact"/>
        <w:rPr>
          <w:sz w:val="20"/>
          <w:szCs w:val="20"/>
          <w:color w:val="auto"/>
        </w:rPr>
      </w:pPr>
    </w:p>
    <w:p>
      <w:pPr>
        <w:jc w:val="center"/>
        <w:ind w:left="9520"/>
        <w:spacing w:after="0"/>
        <w:rPr>
          <w:sz w:val="20"/>
          <w:szCs w:val="20"/>
          <w:color w:val="auto"/>
        </w:rPr>
      </w:pPr>
      <w:r>
        <w:rPr>
          <w:rFonts w:ascii="Arial" w:cs="Arial" w:eastAsia="Arial" w:hAnsi="Arial"/>
          <w:sz w:val="19"/>
          <w:szCs w:val="19"/>
          <w:color w:val="auto"/>
        </w:rPr>
        <w:t>Authorized to Add</w:t>
      </w:r>
    </w:p>
    <w:p>
      <w:pPr>
        <w:ind w:left="9980"/>
        <w:spacing w:after="0" w:line="198" w:lineRule="auto"/>
        <w:rPr>
          <w:sz w:val="20"/>
          <w:szCs w:val="20"/>
          <w:color w:val="auto"/>
        </w:rPr>
      </w:pPr>
      <w:r>
        <w:rPr>
          <w:rFonts w:ascii="Arial" w:cs="Arial" w:eastAsia="Arial" w:hAnsi="Arial"/>
          <w:sz w:val="19"/>
          <w:szCs w:val="19"/>
          <w:color w:val="auto"/>
        </w:rPr>
        <w:t>or Remove</w:t>
      </w:r>
    </w:p>
    <w:p>
      <w:pPr>
        <w:ind w:left="9960"/>
        <w:spacing w:after="0" w:line="227" w:lineRule="auto"/>
        <w:rPr>
          <w:sz w:val="20"/>
          <w:szCs w:val="20"/>
          <w:color w:val="auto"/>
        </w:rPr>
      </w:pPr>
      <w:r>
        <w:rPr>
          <w:rFonts w:ascii="Arial" w:cs="Arial" w:eastAsia="Arial" w:hAnsi="Arial"/>
          <w:sz w:val="19"/>
          <w:szCs w:val="19"/>
          <w:u w:val="single" w:color="auto"/>
          <w:color w:val="auto"/>
        </w:rPr>
        <w:t>Signatories</w:t>
      </w:r>
    </w:p>
    <w:p>
      <w:pPr>
        <w:spacing w:after="0" w:line="1" w:lineRule="exact"/>
        <w:rPr>
          <w:sz w:val="20"/>
          <w:szCs w:val="20"/>
          <w:color w:val="auto"/>
        </w:rPr>
      </w:pPr>
    </w:p>
    <w:p>
      <w:pPr>
        <w:ind w:left="1360"/>
        <w:spacing w:after="0"/>
        <w:tabs>
          <w:tab w:leader="none" w:pos="4580" w:val="left"/>
          <w:tab w:leader="none" w:pos="7560" w:val="left"/>
        </w:tabs>
        <w:rPr>
          <w:sz w:val="20"/>
          <w:szCs w:val="20"/>
          <w:color w:val="auto"/>
        </w:rPr>
      </w:pPr>
      <w:r>
        <w:rPr>
          <w:rFonts w:ascii="Arial" w:cs="Arial" w:eastAsia="Arial" w:hAnsi="Arial"/>
          <w:sz w:val="19"/>
          <w:szCs w:val="19"/>
          <w:u w:val="single" w:color="auto"/>
          <w:color w:val="auto"/>
        </w:rPr>
        <w:t>Name</w:t>
      </w:r>
      <w:r>
        <w:rPr>
          <w:sz w:val="20"/>
          <w:szCs w:val="20"/>
          <w:color w:val="auto"/>
        </w:rPr>
        <w:tab/>
      </w:r>
      <w:r>
        <w:rPr>
          <w:rFonts w:ascii="Arial" w:cs="Arial" w:eastAsia="Arial" w:hAnsi="Arial"/>
          <w:sz w:val="19"/>
          <w:szCs w:val="19"/>
          <w:u w:val="single" w:color="auto"/>
          <w:color w:val="auto"/>
        </w:rPr>
        <w:t>Title</w:t>
      </w:r>
      <w:r>
        <w:rPr>
          <w:sz w:val="20"/>
          <w:szCs w:val="20"/>
          <w:color w:val="auto"/>
        </w:rPr>
        <w:tab/>
      </w:r>
      <w:r>
        <w:rPr>
          <w:rFonts w:ascii="Arial" w:cs="Arial" w:eastAsia="Arial" w:hAnsi="Arial"/>
          <w:sz w:val="17"/>
          <w:szCs w:val="17"/>
          <w:u w:val="single" w:color="auto"/>
          <w:color w:val="auto"/>
        </w:rPr>
        <w:t>Signature</w:t>
      </w:r>
    </w:p>
    <w:p>
      <w:pPr>
        <w:spacing w:after="0" w:line="6" w:lineRule="exact"/>
        <w:rPr>
          <w:sz w:val="20"/>
          <w:szCs w:val="20"/>
          <w:color w:val="auto"/>
        </w:rPr>
      </w:pPr>
    </w:p>
    <w:p>
      <w:pPr>
        <w:ind w:left="10320"/>
        <w:spacing w:after="0"/>
        <w:rPr>
          <w:sz w:val="20"/>
          <w:szCs w:val="20"/>
          <w:color w:val="auto"/>
        </w:rPr>
      </w:pPr>
      <w:r>
        <w:rPr>
          <w:rFonts w:ascii="Arial" w:cs="Arial" w:eastAsia="Arial" w:hAnsi="Arial"/>
          <w:sz w:val="24"/>
          <w:szCs w:val="24"/>
          <w:color w:val="auto"/>
        </w:rPr>
        <w:t>□</w:t>
      </w:r>
    </w:p>
    <w:p>
      <w:pPr>
        <w:spacing w:after="0" w:line="9" w:lineRule="exact"/>
        <w:rPr>
          <w:sz w:val="20"/>
          <w:szCs w:val="20"/>
          <w:color w:val="auto"/>
        </w:rPr>
      </w:pPr>
    </w:p>
    <w:p>
      <w:pPr>
        <w:ind w:left="10320"/>
        <w:spacing w:after="0"/>
        <w:rPr>
          <w:sz w:val="20"/>
          <w:szCs w:val="20"/>
          <w:color w:val="auto"/>
        </w:rPr>
      </w:pPr>
      <w:r>
        <w:rPr>
          <w:rFonts w:ascii="Arial" w:cs="Arial" w:eastAsia="Arial" w:hAnsi="Arial"/>
          <w:sz w:val="24"/>
          <w:szCs w:val="24"/>
          <w:color w:val="auto"/>
        </w:rPr>
        <w:t>□</w:t>
      </w:r>
    </w:p>
    <w:p>
      <w:pPr>
        <w:spacing w:after="0" w:line="8" w:lineRule="exact"/>
        <w:rPr>
          <w:sz w:val="20"/>
          <w:szCs w:val="20"/>
          <w:color w:val="auto"/>
        </w:rPr>
      </w:pPr>
    </w:p>
    <w:p>
      <w:pPr>
        <w:ind w:left="10320"/>
        <w:spacing w:after="0"/>
        <w:rPr>
          <w:sz w:val="20"/>
          <w:szCs w:val="20"/>
          <w:color w:val="auto"/>
        </w:rPr>
      </w:pPr>
      <w:r>
        <w:rPr>
          <w:rFonts w:ascii="Arial" w:cs="Arial" w:eastAsia="Arial" w:hAnsi="Arial"/>
          <w:sz w:val="24"/>
          <w:szCs w:val="24"/>
          <w:color w:val="auto"/>
        </w:rPr>
        <w:t>□</w:t>
      </w:r>
    </w:p>
    <w:p>
      <w:pPr>
        <w:spacing w:after="0" w:line="8" w:lineRule="exact"/>
        <w:rPr>
          <w:sz w:val="20"/>
          <w:szCs w:val="20"/>
          <w:color w:val="auto"/>
        </w:rPr>
      </w:pPr>
    </w:p>
    <w:p>
      <w:pPr>
        <w:ind w:left="10320"/>
        <w:spacing w:after="0"/>
        <w:rPr>
          <w:sz w:val="20"/>
          <w:szCs w:val="20"/>
          <w:color w:val="auto"/>
        </w:rPr>
      </w:pPr>
      <w:r>
        <w:rPr>
          <w:rFonts w:ascii="Arial" w:cs="Arial" w:eastAsia="Arial" w:hAnsi="Arial"/>
          <w:sz w:val="24"/>
          <w:szCs w:val="24"/>
          <w:color w:val="auto"/>
        </w:rPr>
        <w:t>□</w:t>
      </w:r>
    </w:p>
    <w:p>
      <w:pPr>
        <w:spacing w:after="0" w:line="278" w:lineRule="exact"/>
        <w:rPr>
          <w:sz w:val="20"/>
          <w:szCs w:val="20"/>
          <w:color w:val="auto"/>
        </w:rPr>
      </w:pPr>
    </w:p>
    <w:p>
      <w:pPr>
        <w:ind w:firstLine="620"/>
        <w:spacing w:after="0" w:line="234" w:lineRule="auto"/>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w:t>
      </w:r>
      <w:r>
        <w:rPr>
          <w:rFonts w:ascii="Arial" w:cs="Arial" w:eastAsia="Arial" w:hAnsi="Arial"/>
          <w:sz w:val="19"/>
          <w:szCs w:val="19"/>
          <w:b w:val="1"/>
          <w:bCs w:val="1"/>
          <w:color w:val="auto"/>
        </w:rPr>
        <w:t xml:space="preserve"> any one </w:t>
      </w:r>
      <w:r>
        <w:rPr>
          <w:rFonts w:ascii="Arial" w:cs="Arial" w:eastAsia="Arial" w:hAnsi="Arial"/>
          <w:sz w:val="19"/>
          <w:szCs w:val="19"/>
          <w:color w:val="auto"/>
        </w:rPr>
        <w:t>of the persons designated above with a checked box beside his or her name may, from time to time, add or</w:t>
      </w:r>
      <w:r>
        <w:rPr>
          <w:rFonts w:ascii="Arial" w:cs="Arial" w:eastAsia="Arial" w:hAnsi="Arial"/>
          <w:sz w:val="19"/>
          <w:szCs w:val="19"/>
          <w:b w:val="1"/>
          <w:bCs w:val="1"/>
          <w:color w:val="auto"/>
        </w:rPr>
        <w:t xml:space="preserve"> </w:t>
      </w:r>
      <w:r>
        <w:rPr>
          <w:rFonts w:ascii="Arial" w:cs="Arial" w:eastAsia="Arial" w:hAnsi="Arial"/>
          <w:sz w:val="19"/>
          <w:szCs w:val="19"/>
          <w:color w:val="auto"/>
        </w:rPr>
        <w:t>remove any individuals to and from the above list of persons authorized to act on behalf of Borrower.</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 such individuals may, on behalf of Borrower:</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Borrow Money</w:t>
      </w:r>
      <w:r>
        <w:rPr>
          <w:rFonts w:ascii="Arial" w:cs="Arial" w:eastAsia="Arial" w:hAnsi="Arial"/>
          <w:sz w:val="19"/>
          <w:szCs w:val="19"/>
          <w:color w:val="auto"/>
        </w:rPr>
        <w:t>. Borrow money from the Lenders.</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Execute Loan Documents</w:t>
      </w:r>
      <w:r>
        <w:rPr>
          <w:rFonts w:ascii="Arial" w:cs="Arial" w:eastAsia="Arial" w:hAnsi="Arial"/>
          <w:sz w:val="19"/>
          <w:szCs w:val="19"/>
          <w:color w:val="auto"/>
        </w:rPr>
        <w:t>. Execute any loan documents any Lender requires.</w:t>
      </w:r>
    </w:p>
    <w:p>
      <w:pPr>
        <w:spacing w:after="0" w:line="156" w:lineRule="exact"/>
        <w:rPr>
          <w:sz w:val="20"/>
          <w:szCs w:val="20"/>
          <w:color w:val="auto"/>
        </w:rPr>
      </w:pPr>
    </w:p>
    <w:p>
      <w:pPr>
        <w:ind w:firstLine="620"/>
        <w:spacing w:after="0" w:line="234" w:lineRule="auto"/>
        <w:rPr>
          <w:sz w:val="20"/>
          <w:szCs w:val="20"/>
          <w:color w:val="auto"/>
        </w:rPr>
      </w:pPr>
      <w:r>
        <w:rPr>
          <w:rFonts w:ascii="Arial" w:cs="Arial" w:eastAsia="Arial" w:hAnsi="Arial"/>
          <w:sz w:val="19"/>
          <w:szCs w:val="19"/>
          <w:b w:val="1"/>
          <w:bCs w:val="1"/>
          <w:color w:val="auto"/>
        </w:rPr>
        <w:t>Grant Security</w:t>
      </w:r>
      <w:r>
        <w:rPr>
          <w:rFonts w:ascii="Arial" w:cs="Arial" w:eastAsia="Arial" w:hAnsi="Arial"/>
          <w:sz w:val="19"/>
          <w:szCs w:val="19"/>
          <w:color w:val="auto"/>
        </w:rPr>
        <w:t>. Grant Collateral Agent a security interest in any of Borrower’s assets, other than any excluded assets pursuant to the last</w:t>
      </w:r>
      <w:r>
        <w:rPr>
          <w:rFonts w:ascii="Arial" w:cs="Arial" w:eastAsia="Arial" w:hAnsi="Arial"/>
          <w:sz w:val="19"/>
          <w:szCs w:val="19"/>
          <w:b w:val="1"/>
          <w:bCs w:val="1"/>
          <w:color w:val="auto"/>
        </w:rPr>
        <w:t xml:space="preserve"> </w:t>
      </w:r>
      <w:r>
        <w:rPr>
          <w:rFonts w:ascii="Arial" w:cs="Arial" w:eastAsia="Arial" w:hAnsi="Arial"/>
          <w:sz w:val="19"/>
          <w:szCs w:val="19"/>
          <w:color w:val="auto"/>
        </w:rPr>
        <w:t>paragraph of Exhibit A to the Loan Agreement.</w:t>
      </w:r>
    </w:p>
    <w:p>
      <w:pPr>
        <w:spacing w:after="0" w:line="130" w:lineRule="exact"/>
        <w:rPr>
          <w:sz w:val="20"/>
          <w:szCs w:val="20"/>
          <w:color w:val="auto"/>
        </w:rPr>
      </w:pPr>
    </w:p>
    <w:p>
      <w:pPr>
        <w:ind w:firstLine="620"/>
        <w:spacing w:after="0" w:line="234" w:lineRule="auto"/>
        <w:rPr>
          <w:sz w:val="20"/>
          <w:szCs w:val="20"/>
          <w:color w:val="auto"/>
        </w:rPr>
      </w:pPr>
      <w:r>
        <w:rPr>
          <w:rFonts w:ascii="Arial" w:cs="Arial" w:eastAsia="Arial" w:hAnsi="Arial"/>
          <w:sz w:val="19"/>
          <w:szCs w:val="19"/>
          <w:b w:val="1"/>
          <w:bCs w:val="1"/>
          <w:color w:val="auto"/>
        </w:rPr>
        <w:t>Negotiate Items</w:t>
      </w:r>
      <w:r>
        <w:rPr>
          <w:rFonts w:ascii="Arial" w:cs="Arial" w:eastAsia="Arial" w:hAnsi="Arial"/>
          <w:sz w:val="19"/>
          <w:szCs w:val="19"/>
          <w:color w:val="auto"/>
        </w:rPr>
        <w:t>. Negotiate or discount all drafts, trade acceptances, promissory notes, or other indebtedness in which Borrower has an</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 and receive cash or otherwise use the proceeds.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 xml:space="preserve">Pay Fees. </w:t>
      </w:r>
      <w:r>
        <w:rPr>
          <w:rFonts w:ascii="Arial" w:cs="Arial" w:eastAsia="Arial" w:hAnsi="Arial"/>
          <w:sz w:val="19"/>
          <w:szCs w:val="19"/>
          <w:color w:val="auto"/>
        </w:rPr>
        <w:t>Pay fees under the Loan Agreement or any other Loan Document.</w:t>
      </w:r>
    </w:p>
    <w:p>
      <w:pPr>
        <w:spacing w:after="0" w:line="156" w:lineRule="exact"/>
        <w:rPr>
          <w:sz w:val="20"/>
          <w:szCs w:val="20"/>
          <w:color w:val="auto"/>
        </w:rPr>
      </w:pPr>
    </w:p>
    <w:p>
      <w:pPr>
        <w:ind w:firstLine="620"/>
        <w:spacing w:after="0" w:line="255" w:lineRule="auto"/>
        <w:rPr>
          <w:sz w:val="20"/>
          <w:szCs w:val="20"/>
          <w:color w:val="auto"/>
        </w:rPr>
      </w:pPr>
      <w:r>
        <w:rPr>
          <w:rFonts w:ascii="Arial" w:cs="Arial" w:eastAsia="Arial" w:hAnsi="Arial"/>
          <w:sz w:val="18"/>
          <w:szCs w:val="18"/>
          <w:b w:val="1"/>
          <w:bCs w:val="1"/>
          <w:color w:val="auto"/>
        </w:rPr>
        <w:t>Further Acts</w:t>
      </w:r>
      <w:r>
        <w:rPr>
          <w:rFonts w:ascii="Arial" w:cs="Arial" w:eastAsia="Arial" w:hAnsi="Arial"/>
          <w:sz w:val="18"/>
          <w:szCs w:val="18"/>
          <w:color w:val="auto"/>
        </w:rPr>
        <w:t>. Designate other individuals to request advances, pay fees and costs and execute other documents or agreements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or agreement that waive Borrower’s right to a jury trial) they believe to be necessary to effectuate such resolutions.</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 all acts authorized by the above resolutions and any prior acts relating thereto are ratified.</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Balance of Page Intentionally Left Blank</w:t>
      </w:r>
      <w:r>
        <w:rPr>
          <w:rFonts w:ascii="Arial" w:cs="Arial" w:eastAsia="Arial" w:hAnsi="Arial"/>
          <w:sz w:val="19"/>
          <w:szCs w:val="19"/>
          <w:b w:val="1"/>
          <w:bCs w:val="1"/>
          <w:color w:val="auto"/>
        </w:rPr>
        <w:t>]</w:t>
      </w:r>
    </w:p>
    <w:p>
      <w:pPr>
        <w:sectPr>
          <w:pgSz w:w="11900" w:h="16838" w:orient="portrait"/>
          <w:cols w:equalWidth="0" w:num="1">
            <w:col w:w="11240"/>
          </w:cols>
          <w:pgMar w:left="320" w:top="1344" w:right="339" w:bottom="1440" w:gutter="0" w:footer="0" w:header="0"/>
        </w:sectPr>
      </w:pPr>
    </w:p>
    <w:bookmarkStart w:id="270" w:name="page271"/>
    <w:bookmarkEnd w:id="270"/>
    <w:p>
      <w:pPr>
        <w:ind w:left="1240" w:hanging="629"/>
        <w:spacing w:after="0"/>
        <w:tabs>
          <w:tab w:leader="none" w:pos="12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persons listed above are Borrower’s officers or employees with their titles and signatures shown next to their names.</w:t>
      </w: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9"/>
          <w:szCs w:val="19"/>
          <w:b w:val="1"/>
          <w:bCs w:val="1"/>
          <w:color w:val="auto"/>
        </w:rPr>
        <w:t>By:</w:t>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9"/>
          <w:szCs w:val="19"/>
          <w:b w:val="1"/>
          <w:bCs w:val="1"/>
          <w:color w:val="auto"/>
        </w:rPr>
        <w:t>Name: Scott Burrows</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9"/>
          <w:szCs w:val="19"/>
          <w:b w:val="1"/>
          <w:bCs w:val="1"/>
          <w:color w:val="auto"/>
        </w:rPr>
        <w:t>Title: Chief Financial Officer</w:t>
      </w:r>
    </w:p>
    <w:p>
      <w:pPr>
        <w:spacing w:after="0" w:line="290" w:lineRule="exact"/>
        <w:rPr>
          <w:sz w:val="20"/>
          <w:szCs w:val="20"/>
          <w:color w:val="auto"/>
        </w:rPr>
      </w:pPr>
    </w:p>
    <w:p>
      <w:pPr>
        <w:ind w:right="120" w:firstLine="3"/>
        <w:spacing w:after="0" w:line="248" w:lineRule="auto"/>
        <w:tabs>
          <w:tab w:leader="none" w:pos="331" w:val="left"/>
        </w:tabs>
        <w:numPr>
          <w:ilvl w:val="0"/>
          <w:numId w:val="231"/>
        </w:numPr>
        <w:rPr>
          <w:rFonts w:ascii="Arial" w:cs="Arial" w:eastAsia="Arial" w:hAnsi="Arial"/>
          <w:sz w:val="18"/>
          <w:szCs w:val="18"/>
          <w:i w:val="1"/>
          <w:iCs w:val="1"/>
          <w:color w:val="auto"/>
        </w:rPr>
      </w:pPr>
      <w:r>
        <w:rPr>
          <w:rFonts w:ascii="Arial" w:cs="Arial" w:eastAsia="Arial" w:hAnsi="Arial"/>
          <w:sz w:val="18"/>
          <w:szCs w:val="18"/>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37"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I, the President and CEO of Borrower, solely in my capacity as an officer of Borrower and not in my individual capacity, as to paragraphs 1 through 5 above, as of the date set forth above.</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9"/>
          <w:szCs w:val="19"/>
          <w:b w:val="1"/>
          <w:bCs w:val="1"/>
          <w:color w:val="auto"/>
        </w:rPr>
        <w:t>By:</w:t>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9"/>
          <w:szCs w:val="19"/>
          <w:b w:val="1"/>
          <w:bCs w:val="1"/>
          <w:color w:val="auto"/>
        </w:rPr>
        <w:t>Name: Todd Franklin Watanabe</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9"/>
          <w:szCs w:val="19"/>
          <w:b w:val="1"/>
          <w:bCs w:val="1"/>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Corporate Borrowing Certificate</w:t>
      </w:r>
      <w:r>
        <w:rPr>
          <w:rFonts w:ascii="Arial" w:cs="Arial" w:eastAsia="Arial" w:hAnsi="Arial"/>
          <w:sz w:val="17"/>
          <w:szCs w:val="17"/>
          <w:b w:val="1"/>
          <w:bCs w:val="1"/>
          <w:color w:val="auto"/>
        </w:rPr>
        <w:t>]</w:t>
      </w:r>
    </w:p>
    <w:p>
      <w:pPr>
        <w:sectPr>
          <w:pgSz w:w="11900" w:h="16838" w:orient="portrait"/>
          <w:cols w:equalWidth="0" w:num="1">
            <w:col w:w="11240"/>
          </w:cols>
          <w:pgMar w:left="320" w:top="1350" w:right="3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9"/>
          <w:szCs w:val="19"/>
          <w:b w:val="1"/>
          <w:bCs w:val="1"/>
          <w:color w:val="auto"/>
        </w:rPr>
        <w:t>Exhibit A</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 (including amendments)</w:t>
      </w:r>
    </w:p>
    <w:p>
      <w:pPr>
        <w:sectPr>
          <w:pgSz w:w="11900" w:h="16838" w:orient="portrait"/>
          <w:cols w:equalWidth="0" w:num="1">
            <w:col w:w="9019"/>
          </w:cols>
          <w:pgMar w:left="1440" w:top="1344" w:right="1440" w:bottom="1440" w:gutter="0" w:footer="0" w:header="0"/>
        </w:sectPr>
      </w:pPr>
    </w:p>
    <w:bookmarkStart w:id="272" w:name="page273"/>
    <w:bookmarkEnd w:id="272"/>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B</w:t>
      </w:r>
    </w:p>
    <w:p>
      <w:pPr>
        <w:sectPr>
          <w:pgSz w:w="11900" w:h="16838" w:orient="portrait"/>
          <w:cols w:equalWidth="0" w:num="1">
            <w:col w:w="9019"/>
          </w:cols>
          <w:pgMar w:left="1440" w:top="1440"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Bylaws</w:t>
      </w:r>
    </w:p>
    <w:p>
      <w:pPr>
        <w:sectPr>
          <w:pgSz w:w="11900" w:h="16838" w:orient="portrait"/>
          <w:cols w:equalWidth="0" w:num="1">
            <w:col w:w="9019"/>
          </w:cols>
          <w:pgMar w:left="1440" w:top="1440" w:right="1440" w:bottom="1440" w:gutter="0" w:footer="0" w:header="0"/>
          <w:type w:val="continuous"/>
        </w:sectPr>
      </w:pPr>
    </w:p>
    <w:bookmarkStart w:id="273" w:name="page274"/>
    <w:bookmarkEnd w:id="273"/>
    <w:p>
      <w:pPr>
        <w:jc w:val="right"/>
        <w:spacing w:after="0"/>
        <w:rPr>
          <w:sz w:val="20"/>
          <w:szCs w:val="20"/>
          <w:color w:val="auto"/>
        </w:rPr>
      </w:pPr>
      <w:r>
        <w:rPr>
          <w:rFonts w:ascii="Arial" w:cs="Arial" w:eastAsia="Arial" w:hAnsi="Arial"/>
          <w:sz w:val="19"/>
          <w:szCs w:val="19"/>
          <w:b w:val="1"/>
          <w:bCs w:val="1"/>
          <w:color w:val="auto"/>
        </w:rPr>
        <w:t>EXHIBIT 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ACH LETTER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SLR INVESTMENT CORP.</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500 Park Avenue, 3rd Floor</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10022</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Fax:</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39" w:lineRule="exact"/>
        <w:rPr>
          <w:sz w:val="20"/>
          <w:szCs w:val="20"/>
          <w:color w:val="auto"/>
        </w:rPr>
      </w:pPr>
    </w:p>
    <w:p>
      <w:pPr>
        <w:jc w:val="both"/>
        <w:ind w:left="620"/>
        <w:spacing w:after="0" w:line="211" w:lineRule="auto"/>
        <w:rPr>
          <w:sz w:val="20"/>
          <w:szCs w:val="20"/>
          <w:color w:val="auto"/>
        </w:rPr>
      </w:pPr>
      <w:r>
        <w:rPr>
          <w:rFonts w:ascii="Arial" w:cs="Arial" w:eastAsia="Arial" w:hAnsi="Arial"/>
          <w:sz w:val="19"/>
          <w:szCs w:val="19"/>
          <w:color w:val="auto"/>
        </w:rPr>
        <w:t xml:space="preserve">Re: Loan and Security Agreement dated as of December 22, 2021 (the “Agreement”) by and among ARCUTIS BIOTHERAPEUTICS, INC. (“Borrower”), SLR Investment Corp. (“SLR”), as collateral agent (in such capacity, “Collateral Agent”) and the Lenders listed on </w:t>
      </w:r>
      <w:r>
        <w:rPr>
          <w:rFonts w:ascii="Arial" w:cs="Arial" w:eastAsia="Arial" w:hAnsi="Arial"/>
          <w:sz w:val="19"/>
          <w:szCs w:val="19"/>
          <w:u w:val="single" w:color="auto"/>
          <w:color w:val="auto"/>
        </w:rPr>
        <w:t>Schedule 1.1</w:t>
      </w:r>
      <w:r>
        <w:rPr>
          <w:rFonts w:ascii="Arial" w:cs="Arial" w:eastAsia="Arial" w:hAnsi="Arial"/>
          <w:sz w:val="19"/>
          <w:szCs w:val="19"/>
          <w:color w:val="auto"/>
        </w:rPr>
        <w:t xml:space="preserve"> thereof or otherwise a party thereto from time to time, including SLR in its capacity as a Lender (each a “Lender” and collectively, the “Lenders”). Capitalized terms used but not otherwise defined herein shall have the meanings given them under the Agreement.</w:t>
      </w:r>
    </w:p>
    <w:p>
      <w:pPr>
        <w:spacing w:after="0" w:line="138" w:lineRule="exact"/>
        <w:rPr>
          <w:sz w:val="20"/>
          <w:szCs w:val="20"/>
          <w:color w:val="auto"/>
        </w:rPr>
      </w:pPr>
    </w:p>
    <w:p>
      <w:pPr>
        <w:jc w:val="both"/>
        <w:spacing w:after="0" w:line="211" w:lineRule="auto"/>
        <w:rPr>
          <w:sz w:val="20"/>
          <w:szCs w:val="20"/>
          <w:color w:val="auto"/>
        </w:rPr>
      </w:pPr>
      <w:r>
        <w:rPr>
          <w:rFonts w:ascii="Arial" w:cs="Arial" w:eastAsia="Arial" w:hAnsi="Arial"/>
          <w:sz w:val="19"/>
          <w:szCs w:val="19"/>
          <w:color w:val="auto"/>
        </w:rPr>
        <w:t>In connection with the above referenced Agreement, the Borrower hereby authorizes the Collateral Agent to, at its discretion and with prior notice of at least one (1) Business Day, initiate debit entries to the Borrower’s account indicated below (i) on each payment date of all Obligations then due and owing, (ii) at any time any payment due and owing with respect to Lender Expenses, and (iii) upon an Event of Default, any other Obligations outstanding, in each case pursuant to Section 2.3(e) of the Agreement. The Borrower authorizes the depository institution named below to debit to such account.</w:t>
      </w: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42"/>
        </w:trPr>
        <w:tc>
          <w:tcPr>
            <w:tcW w:w="3440" w:type="dxa"/>
            <w:vAlign w:val="bottom"/>
          </w:tcPr>
          <w:p>
            <w:pPr>
              <w:spacing w:after="0"/>
              <w:rPr>
                <w:sz w:val="20"/>
                <w:szCs w:val="20"/>
                <w:color w:val="auto"/>
              </w:rPr>
            </w:pPr>
            <w:r>
              <w:rPr>
                <w:rFonts w:ascii="Arial" w:cs="Arial" w:eastAsia="Arial" w:hAnsi="Arial"/>
                <w:sz w:val="11"/>
                <w:szCs w:val="11"/>
                <w:color w:val="auto"/>
              </w:rPr>
              <w:t>DEPOSITORY NAME</w:t>
            </w:r>
          </w:p>
        </w:tc>
        <w:tc>
          <w:tcPr>
            <w:tcW w:w="3300" w:type="dxa"/>
            <w:vAlign w:val="bottom"/>
          </w:tcPr>
          <w:p>
            <w:pPr>
              <w:ind w:left="2180"/>
              <w:spacing w:after="0"/>
              <w:rPr>
                <w:sz w:val="20"/>
                <w:szCs w:val="20"/>
                <w:color w:val="auto"/>
              </w:rPr>
            </w:pPr>
            <w:r>
              <w:rPr>
                <w:rFonts w:ascii="Arial" w:cs="Arial" w:eastAsia="Arial" w:hAnsi="Arial"/>
                <w:sz w:val="11"/>
                <w:szCs w:val="11"/>
                <w:color w:val="auto"/>
              </w:rPr>
              <w:t>BRANCH</w:t>
            </w:r>
          </w:p>
        </w:tc>
      </w:tr>
      <w:tr>
        <w:trPr>
          <w:trHeight w:val="426"/>
        </w:trPr>
        <w:tc>
          <w:tcPr>
            <w:tcW w:w="3440" w:type="dxa"/>
            <w:vAlign w:val="bottom"/>
          </w:tcPr>
          <w:p>
            <w:pPr>
              <w:spacing w:after="0"/>
              <w:rPr>
                <w:sz w:val="20"/>
                <w:szCs w:val="20"/>
                <w:color w:val="auto"/>
              </w:rPr>
            </w:pPr>
            <w:r>
              <w:rPr>
                <w:rFonts w:ascii="Arial" w:cs="Arial" w:eastAsia="Arial" w:hAnsi="Arial"/>
                <w:sz w:val="11"/>
                <w:szCs w:val="11"/>
                <w:color w:val="auto"/>
              </w:rPr>
              <w:t>CITY</w:t>
            </w:r>
          </w:p>
        </w:tc>
        <w:tc>
          <w:tcPr>
            <w:tcW w:w="3300" w:type="dxa"/>
            <w:vAlign w:val="bottom"/>
          </w:tcPr>
          <w:p>
            <w:pPr>
              <w:ind w:left="2180"/>
              <w:spacing w:after="0"/>
              <w:rPr>
                <w:sz w:val="20"/>
                <w:szCs w:val="20"/>
                <w:color w:val="auto"/>
              </w:rPr>
            </w:pPr>
            <w:r>
              <w:rPr>
                <w:rFonts w:ascii="Arial" w:cs="Arial" w:eastAsia="Arial" w:hAnsi="Arial"/>
                <w:sz w:val="11"/>
                <w:szCs w:val="11"/>
                <w:color w:val="auto"/>
                <w:w w:val="94"/>
              </w:rPr>
              <w:t>STATE AND ZIP CODE</w:t>
            </w:r>
          </w:p>
        </w:tc>
      </w:tr>
      <w:tr>
        <w:trPr>
          <w:trHeight w:val="426"/>
        </w:trPr>
        <w:tc>
          <w:tcPr>
            <w:tcW w:w="3440" w:type="dxa"/>
            <w:vAlign w:val="bottom"/>
          </w:tcPr>
          <w:p>
            <w:pPr>
              <w:spacing w:after="0"/>
              <w:rPr>
                <w:sz w:val="20"/>
                <w:szCs w:val="20"/>
                <w:color w:val="auto"/>
              </w:rPr>
            </w:pPr>
            <w:r>
              <w:rPr>
                <w:rFonts w:ascii="Arial" w:cs="Arial" w:eastAsia="Arial" w:hAnsi="Arial"/>
                <w:sz w:val="11"/>
                <w:szCs w:val="11"/>
                <w:color w:val="auto"/>
              </w:rPr>
              <w:t>TRANSIT/ABA NUMBER</w:t>
            </w:r>
          </w:p>
        </w:tc>
        <w:tc>
          <w:tcPr>
            <w:tcW w:w="3300" w:type="dxa"/>
            <w:vAlign w:val="bottom"/>
          </w:tcPr>
          <w:p>
            <w:pPr>
              <w:ind w:left="2180"/>
              <w:spacing w:after="0"/>
              <w:rPr>
                <w:sz w:val="20"/>
                <w:szCs w:val="20"/>
                <w:color w:val="auto"/>
              </w:rPr>
            </w:pPr>
            <w:r>
              <w:rPr>
                <w:rFonts w:ascii="Arial" w:cs="Arial" w:eastAsia="Arial" w:hAnsi="Arial"/>
                <w:sz w:val="11"/>
                <w:szCs w:val="11"/>
                <w:color w:val="auto"/>
              </w:rPr>
              <w:t>ACCOUNT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-618490</wp:posOffset>
            </wp:positionV>
            <wp:extent cx="7146290" cy="8204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7146290" cy="82042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This authority will remain in full force and effect so long as any amounts are due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ARCUTIS BIOTHERAPEUTICS, INC.</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By: _________________________________________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Title: ________________________________________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Date:________________________________________</w:t>
      </w:r>
    </w:p>
    <w:p>
      <w:pPr>
        <w:sectPr>
          <w:pgSz w:w="11900" w:h="16838" w:orient="portrait"/>
          <w:cols w:equalWidth="0" w:num="1">
            <w:col w:w="11240"/>
          </w:cols>
          <w:pgMar w:left="320" w:top="1344"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0"/>
        <w:spacing w:after="0"/>
        <w:rPr>
          <w:sz w:val="20"/>
          <w:szCs w:val="20"/>
          <w:color w:val="auto"/>
        </w:rPr>
      </w:pPr>
      <w:r>
        <w:rPr>
          <w:rFonts w:ascii="Arial" w:cs="Arial" w:eastAsia="Arial" w:hAnsi="Arial"/>
          <w:sz w:val="19"/>
          <w:szCs w:val="19"/>
          <w:b w:val="1"/>
          <w:bCs w:val="1"/>
          <w:color w:val="333333"/>
        </w:rPr>
        <w:t>Consent of Independent Registered Public Accounting Firm</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9"/>
          <w:szCs w:val="19"/>
          <w:color w:val="333333"/>
        </w:rPr>
        <w:t>We consent to the incorporation by reference in the following Registration Statements:</w:t>
      </w:r>
    </w:p>
    <w:p>
      <w:pPr>
        <w:spacing w:after="0" w:line="273" w:lineRule="exact"/>
        <w:rPr>
          <w:sz w:val="20"/>
          <w:szCs w:val="20"/>
          <w:color w:val="auto"/>
        </w:rPr>
      </w:pPr>
    </w:p>
    <w:p>
      <w:pPr>
        <w:ind w:left="280" w:hanging="277"/>
        <w:spacing w:after="0"/>
        <w:tabs>
          <w:tab w:leader="none" w:pos="28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Registration Statement (Form S-3 No. 333-252612) of Arcutis Biotherapeutics, Inc.,</w:t>
      </w:r>
    </w:p>
    <w:p>
      <w:pPr>
        <w:spacing w:after="0" w:line="65" w:lineRule="exact"/>
        <w:rPr>
          <w:rFonts w:ascii="Arial" w:cs="Arial" w:eastAsia="Arial" w:hAnsi="Arial"/>
          <w:sz w:val="19"/>
          <w:szCs w:val="19"/>
          <w:color w:val="auto"/>
        </w:rPr>
      </w:pPr>
    </w:p>
    <w:p>
      <w:pPr>
        <w:ind w:right="140" w:firstLine="3"/>
        <w:spacing w:after="0" w:line="312" w:lineRule="auto"/>
        <w:tabs>
          <w:tab w:leader="none" w:pos="268" w:val="left"/>
        </w:tabs>
        <w:numPr>
          <w:ilvl w:val="0"/>
          <w:numId w:val="232"/>
        </w:numPr>
        <w:rPr>
          <w:rFonts w:ascii="Arial" w:cs="Arial" w:eastAsia="Arial" w:hAnsi="Arial"/>
          <w:sz w:val="19"/>
          <w:szCs w:val="19"/>
          <w:color w:val="auto"/>
        </w:rPr>
      </w:pPr>
      <w:r>
        <w:rPr>
          <w:rFonts w:ascii="Arial" w:cs="Arial" w:eastAsia="Arial" w:hAnsi="Arial"/>
          <w:sz w:val="19"/>
          <w:szCs w:val="19"/>
          <w:color w:val="auto"/>
        </w:rPr>
        <w:t>Registration Statement (Form S-8 No. 333-236178) pertaining to the 2017 Equity Incentive Plan, the 2020 Equity Incentive Plan, and the 2020 Employee Stock Purchase Plan of Arcutis Biotherapeutics, Inc., and</w:t>
      </w:r>
    </w:p>
    <w:p>
      <w:pPr>
        <w:ind w:right="420" w:firstLine="3"/>
        <w:spacing w:after="0" w:line="336" w:lineRule="auto"/>
        <w:tabs>
          <w:tab w:leader="none" w:pos="268" w:val="left"/>
        </w:tabs>
        <w:numPr>
          <w:ilvl w:val="0"/>
          <w:numId w:val="232"/>
        </w:numPr>
        <w:rPr>
          <w:rFonts w:ascii="Arial" w:cs="Arial" w:eastAsia="Arial" w:hAnsi="Arial"/>
          <w:sz w:val="19"/>
          <w:szCs w:val="19"/>
          <w:color w:val="auto"/>
        </w:rPr>
      </w:pPr>
      <w:r>
        <w:rPr>
          <w:rFonts w:ascii="Arial" w:cs="Arial" w:eastAsia="Arial" w:hAnsi="Arial"/>
          <w:sz w:val="19"/>
          <w:szCs w:val="19"/>
          <w:color w:val="auto"/>
        </w:rPr>
        <w:t>Registration Statement (Form S-8 No. 333-253155) pertaining to securities to be offered to employees in employee benefit plans of Arcutis Biotherapeutics, Inc.,</w:t>
      </w:r>
    </w:p>
    <w:p>
      <w:pPr>
        <w:spacing w:after="0" w:line="189" w:lineRule="exact"/>
        <w:rPr>
          <w:sz w:val="20"/>
          <w:szCs w:val="20"/>
          <w:color w:val="auto"/>
        </w:rPr>
      </w:pPr>
    </w:p>
    <w:p>
      <w:pPr>
        <w:ind w:right="220" w:firstLine="620"/>
        <w:spacing w:after="0" w:line="324" w:lineRule="auto"/>
        <w:rPr>
          <w:sz w:val="20"/>
          <w:szCs w:val="20"/>
          <w:color w:val="auto"/>
        </w:rPr>
      </w:pPr>
      <w:r>
        <w:rPr>
          <w:rFonts w:ascii="Arial" w:cs="Arial" w:eastAsia="Arial" w:hAnsi="Arial"/>
          <w:sz w:val="19"/>
          <w:szCs w:val="19"/>
          <w:color w:val="auto"/>
        </w:rPr>
        <w:t>of our reports dated February 22, 2022, with respect to the financial statements of Arcutis Biotherapeutics, Inc., and the effectiveness of internal control over financing reporting of Arcutis Biotherapeutics, Inc., included in this Annual Report (Form 10-K) of Arcutis Biotherapeutics, Inc. for the year ended December 31, 2021.</w:t>
      </w:r>
    </w:p>
    <w:p>
      <w:pPr>
        <w:spacing w:after="0" w:line="368" w:lineRule="exact"/>
        <w:rPr>
          <w:sz w:val="20"/>
          <w:szCs w:val="20"/>
          <w:color w:val="auto"/>
        </w:rPr>
      </w:pPr>
    </w:p>
    <w:p>
      <w:pPr>
        <w:jc w:val="center"/>
        <w:ind w:left="420"/>
        <w:spacing w:after="0"/>
        <w:rPr>
          <w:sz w:val="20"/>
          <w:szCs w:val="20"/>
          <w:color w:val="auto"/>
        </w:rPr>
      </w:pPr>
      <w:r>
        <w:rPr>
          <w:rFonts w:ascii="Arial" w:cs="Arial" w:eastAsia="Arial" w:hAnsi="Arial"/>
          <w:sz w:val="19"/>
          <w:szCs w:val="19"/>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Los Angeles, California</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333333"/>
        </w:rPr>
        <w:t>February 22, 2022</w:t>
      </w:r>
    </w:p>
    <w:p>
      <w:pPr>
        <w:sectPr>
          <w:pgSz w:w="11900" w:h="16838" w:orient="portrait"/>
          <w:cols w:equalWidth="0" w:num="1">
            <w:col w:w="11240"/>
          </w:cols>
          <w:pgMar w:left="320" w:top="130"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7"/>
          <w:szCs w:val="17"/>
          <w:b w:val="1"/>
          <w:bCs w:val="1"/>
          <w:color w:val="auto"/>
        </w:rPr>
        <w:t>Exhibit 31.1</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I, Todd Franklin Watanabe, certify that:</w:t>
      </w:r>
    </w:p>
    <w:p>
      <w:pPr>
        <w:spacing w:after="0" w:line="244" w:lineRule="exact"/>
        <w:rPr>
          <w:sz w:val="20"/>
          <w:szCs w:val="20"/>
          <w:color w:val="auto"/>
        </w:rPr>
      </w:pPr>
    </w:p>
    <w:p>
      <w:pPr>
        <w:ind w:left="320" w:hanging="317"/>
        <w:spacing w:after="0"/>
        <w:tabs>
          <w:tab w:leader="none" w:pos="32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Arcutis Biotherapeutics, Inc;</w:t>
      </w:r>
    </w:p>
    <w:p>
      <w:pPr>
        <w:spacing w:after="0" w:line="153" w:lineRule="exact"/>
        <w:rPr>
          <w:rFonts w:ascii="Arial" w:cs="Arial" w:eastAsia="Arial" w:hAnsi="Arial"/>
          <w:sz w:val="17"/>
          <w:szCs w:val="17"/>
          <w:color w:val="auto"/>
        </w:rPr>
      </w:pPr>
    </w:p>
    <w:p>
      <w:pPr>
        <w:ind w:left="320" w:right="140" w:hanging="317"/>
        <w:spacing w:after="0" w:line="353" w:lineRule="auto"/>
        <w:tabs>
          <w:tab w:leader="none" w:pos="32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5"/>
          <w:szCs w:val="15"/>
          <w:color w:val="auto"/>
        </w:rPr>
      </w:pPr>
    </w:p>
    <w:p>
      <w:pPr>
        <w:ind w:left="320" w:right="220" w:hanging="317"/>
        <w:spacing w:after="0" w:line="283" w:lineRule="auto"/>
        <w:tabs>
          <w:tab w:leader="none" w:pos="32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7"/>
          <w:szCs w:val="17"/>
          <w:color w:val="auto"/>
        </w:rPr>
      </w:pPr>
    </w:p>
    <w:p>
      <w:pPr>
        <w:ind w:left="320" w:right="100" w:hanging="317"/>
        <w:spacing w:after="0" w:line="283" w:lineRule="auto"/>
        <w:tabs>
          <w:tab w:leader="none" w:pos="32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94" w:lineRule="exact"/>
        <w:rPr>
          <w:rFonts w:ascii="Arial" w:cs="Arial" w:eastAsia="Arial" w:hAnsi="Arial"/>
          <w:sz w:val="17"/>
          <w:szCs w:val="17"/>
          <w:color w:val="auto"/>
        </w:rPr>
      </w:pPr>
    </w:p>
    <w:p>
      <w:pPr>
        <w:jc w:val="both"/>
        <w:ind w:left="1240" w:right="220" w:hanging="306"/>
        <w:spacing w:after="0" w:line="268" w:lineRule="auto"/>
        <w:tabs>
          <w:tab w:leader="none" w:pos="1237" w:val="left"/>
        </w:tabs>
        <w:numPr>
          <w:ilvl w:val="2"/>
          <w:numId w:val="2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94" w:lineRule="exact"/>
        <w:rPr>
          <w:rFonts w:ascii="Arial" w:cs="Arial" w:eastAsia="Arial" w:hAnsi="Arial"/>
          <w:sz w:val="17"/>
          <w:szCs w:val="17"/>
          <w:color w:val="auto"/>
        </w:rPr>
      </w:pPr>
    </w:p>
    <w:p>
      <w:pPr>
        <w:ind w:left="1240" w:right="520" w:hanging="306"/>
        <w:spacing w:after="0" w:line="268" w:lineRule="auto"/>
        <w:tabs>
          <w:tab w:leader="none" w:pos="1234" w:val="left"/>
        </w:tabs>
        <w:numPr>
          <w:ilvl w:val="2"/>
          <w:numId w:val="2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7"/>
          <w:szCs w:val="17"/>
          <w:color w:val="auto"/>
        </w:rPr>
      </w:pPr>
    </w:p>
    <w:p>
      <w:pPr>
        <w:jc w:val="both"/>
        <w:ind w:left="1240" w:right="680" w:hanging="306"/>
        <w:spacing w:after="0" w:line="353" w:lineRule="auto"/>
        <w:tabs>
          <w:tab w:leader="none" w:pos="1237" w:val="left"/>
        </w:tabs>
        <w:numPr>
          <w:ilvl w:val="2"/>
          <w:numId w:val="2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240" w:right="260" w:hanging="306"/>
        <w:spacing w:after="0" w:line="268" w:lineRule="auto"/>
        <w:tabs>
          <w:tab w:leader="none" w:pos="1234" w:val="left"/>
        </w:tabs>
        <w:numPr>
          <w:ilvl w:val="2"/>
          <w:numId w:val="2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7"/>
          <w:szCs w:val="17"/>
          <w:color w:val="auto"/>
        </w:rPr>
      </w:pPr>
    </w:p>
    <w:p>
      <w:pPr>
        <w:ind w:left="620" w:right="500" w:hanging="307"/>
        <w:spacing w:after="0" w:line="315" w:lineRule="auto"/>
        <w:tabs>
          <w:tab w:leader="none" w:pos="62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rFonts w:ascii="Arial" w:cs="Arial" w:eastAsia="Arial" w:hAnsi="Arial"/>
          <w:sz w:val="16"/>
          <w:szCs w:val="16"/>
          <w:color w:val="auto"/>
        </w:rPr>
      </w:pPr>
    </w:p>
    <w:p>
      <w:pPr>
        <w:ind w:left="1240" w:right="140" w:hanging="306"/>
        <w:spacing w:after="0" w:line="283" w:lineRule="auto"/>
        <w:tabs>
          <w:tab w:leader="none" w:pos="1237" w:val="left"/>
        </w:tabs>
        <w:numPr>
          <w:ilvl w:val="2"/>
          <w:numId w:val="2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7"/>
          <w:szCs w:val="17"/>
          <w:color w:val="auto"/>
        </w:rPr>
      </w:pPr>
    </w:p>
    <w:p>
      <w:pPr>
        <w:ind w:left="1240" w:right="120" w:hanging="306"/>
        <w:spacing w:after="0" w:line="283" w:lineRule="auto"/>
        <w:tabs>
          <w:tab w:leader="none" w:pos="1234" w:val="left"/>
        </w:tabs>
        <w:numPr>
          <w:ilvl w:val="2"/>
          <w:numId w:val="23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640"/>
        <w:spacing w:after="0"/>
        <w:tabs>
          <w:tab w:leader="none" w:pos="5020" w:val="left"/>
          <w:tab w:leader="none" w:pos="6500" w:val="left"/>
        </w:tabs>
        <w:rPr>
          <w:sz w:val="20"/>
          <w:szCs w:val="20"/>
          <w:color w:val="auto"/>
        </w:rPr>
      </w:pPr>
      <w:r>
        <w:rPr>
          <w:rFonts w:ascii="Arial" w:cs="Arial" w:eastAsia="Arial" w:hAnsi="Arial"/>
          <w:sz w:val="17"/>
          <w:szCs w:val="17"/>
          <w:color w:val="auto"/>
        </w:rPr>
        <w:t>Date: February 22,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31750</wp:posOffset>
            </wp:positionV>
            <wp:extent cx="27489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2748915" cy="8255"/>
                    </a:xfrm>
                    <a:prstGeom prst="rect">
                      <a:avLst/>
                    </a:prstGeom>
                    <a:noFill/>
                  </pic:spPr>
                </pic:pic>
              </a:graphicData>
            </a:graphic>
          </wp:anchor>
        </w:drawing>
      </w:r>
    </w:p>
    <w:p>
      <w:pPr>
        <w:spacing w:after="0" w:line="50" w:lineRule="exact"/>
        <w:rPr>
          <w:sz w:val="20"/>
          <w:szCs w:val="20"/>
          <w:color w:val="auto"/>
        </w:rPr>
      </w:pPr>
    </w:p>
    <w:p>
      <w:pPr>
        <w:jc w:val="center"/>
        <w:ind w:left="3700"/>
        <w:spacing w:after="0"/>
        <w:rPr>
          <w:sz w:val="20"/>
          <w:szCs w:val="20"/>
          <w:color w:val="auto"/>
        </w:rPr>
      </w:pPr>
      <w:r>
        <w:rPr>
          <w:rFonts w:ascii="Arial" w:cs="Arial" w:eastAsia="Arial" w:hAnsi="Arial"/>
          <w:sz w:val="17"/>
          <w:szCs w:val="17"/>
          <w:b w:val="1"/>
          <w:bCs w:val="1"/>
          <w:color w:val="auto"/>
        </w:rPr>
        <w:t>Todd Franklin Watanabe</w:t>
      </w:r>
    </w:p>
    <w:p>
      <w:pPr>
        <w:spacing w:after="0" w:line="30" w:lineRule="exact"/>
        <w:rPr>
          <w:sz w:val="20"/>
          <w:szCs w:val="20"/>
          <w:color w:val="auto"/>
        </w:rPr>
      </w:pPr>
    </w:p>
    <w:p>
      <w:pPr>
        <w:jc w:val="center"/>
        <w:ind w:left="3700"/>
        <w:spacing w:after="0"/>
        <w:rPr>
          <w:sz w:val="20"/>
          <w:szCs w:val="20"/>
          <w:color w:val="auto"/>
        </w:rPr>
      </w:pPr>
      <w:r>
        <w:rPr>
          <w:rFonts w:ascii="Arial" w:cs="Arial" w:eastAsia="Arial" w:hAnsi="Arial"/>
          <w:sz w:val="17"/>
          <w:szCs w:val="17"/>
          <w:b w:val="1"/>
          <w:bCs w:val="1"/>
          <w:color w:val="auto"/>
        </w:rPr>
        <w:t>President, Chief Executive Officer and Director</w:t>
      </w:r>
    </w:p>
    <w:p>
      <w:pPr>
        <w:spacing w:after="0" w:line="11" w:lineRule="exact"/>
        <w:rPr>
          <w:sz w:val="20"/>
          <w:szCs w:val="20"/>
          <w:color w:val="auto"/>
        </w:rPr>
      </w:pPr>
    </w:p>
    <w:p>
      <w:pPr>
        <w:jc w:val="center"/>
        <w:ind w:left="370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240"/>
          </w:cols>
          <w:pgMar w:left="320" w:top="1052" w:right="3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7"/>
          <w:szCs w:val="17"/>
          <w:b w:val="1"/>
          <w:bCs w:val="1"/>
          <w:color w:val="auto"/>
        </w:rPr>
        <w:t>Exhibit 31.2</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I, Scott L. Burrows, certify that:</w:t>
      </w:r>
    </w:p>
    <w:p>
      <w:pPr>
        <w:spacing w:after="0" w:line="244" w:lineRule="exact"/>
        <w:rPr>
          <w:sz w:val="20"/>
          <w:szCs w:val="20"/>
          <w:color w:val="auto"/>
        </w:rPr>
      </w:pPr>
    </w:p>
    <w:p>
      <w:pPr>
        <w:ind w:left="320" w:hanging="317"/>
        <w:spacing w:after="0"/>
        <w:tabs>
          <w:tab w:leader="none" w:pos="3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Arcutis Biotherapeutics, Inc.;</w:t>
      </w:r>
    </w:p>
    <w:p>
      <w:pPr>
        <w:spacing w:after="0" w:line="153" w:lineRule="exact"/>
        <w:rPr>
          <w:rFonts w:ascii="Arial" w:cs="Arial" w:eastAsia="Arial" w:hAnsi="Arial"/>
          <w:sz w:val="17"/>
          <w:szCs w:val="17"/>
          <w:color w:val="auto"/>
        </w:rPr>
      </w:pPr>
    </w:p>
    <w:p>
      <w:pPr>
        <w:ind w:left="320" w:right="140" w:hanging="317"/>
        <w:spacing w:after="0" w:line="353" w:lineRule="auto"/>
        <w:tabs>
          <w:tab w:leader="none" w:pos="32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5"/>
          <w:szCs w:val="15"/>
          <w:color w:val="auto"/>
        </w:rPr>
      </w:pPr>
    </w:p>
    <w:p>
      <w:pPr>
        <w:ind w:left="320" w:right="220" w:hanging="317"/>
        <w:spacing w:after="0" w:line="283" w:lineRule="auto"/>
        <w:tabs>
          <w:tab w:leader="none" w:pos="3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7"/>
          <w:szCs w:val="17"/>
          <w:color w:val="auto"/>
        </w:rPr>
      </w:pPr>
    </w:p>
    <w:p>
      <w:pPr>
        <w:ind w:left="320" w:right="100" w:hanging="317"/>
        <w:spacing w:after="0" w:line="283" w:lineRule="auto"/>
        <w:tabs>
          <w:tab w:leader="none" w:pos="3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94" w:lineRule="exact"/>
        <w:rPr>
          <w:rFonts w:ascii="Arial" w:cs="Arial" w:eastAsia="Arial" w:hAnsi="Arial"/>
          <w:sz w:val="17"/>
          <w:szCs w:val="17"/>
          <w:color w:val="auto"/>
        </w:rPr>
      </w:pPr>
    </w:p>
    <w:p>
      <w:pPr>
        <w:jc w:val="both"/>
        <w:ind w:left="1240" w:right="220" w:hanging="306"/>
        <w:spacing w:after="0" w:line="268" w:lineRule="auto"/>
        <w:tabs>
          <w:tab w:leader="none" w:pos="1237" w:val="left"/>
        </w:tabs>
        <w:numPr>
          <w:ilvl w:val="2"/>
          <w:numId w:val="2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94" w:lineRule="exact"/>
        <w:rPr>
          <w:rFonts w:ascii="Arial" w:cs="Arial" w:eastAsia="Arial" w:hAnsi="Arial"/>
          <w:sz w:val="17"/>
          <w:szCs w:val="17"/>
          <w:color w:val="auto"/>
        </w:rPr>
      </w:pPr>
    </w:p>
    <w:p>
      <w:pPr>
        <w:ind w:left="1240" w:right="520" w:hanging="306"/>
        <w:spacing w:after="0" w:line="268" w:lineRule="auto"/>
        <w:tabs>
          <w:tab w:leader="none" w:pos="1234" w:val="left"/>
        </w:tabs>
        <w:numPr>
          <w:ilvl w:val="2"/>
          <w:numId w:val="2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7"/>
          <w:szCs w:val="17"/>
          <w:color w:val="auto"/>
        </w:rPr>
      </w:pPr>
    </w:p>
    <w:p>
      <w:pPr>
        <w:jc w:val="both"/>
        <w:ind w:left="1240" w:right="680" w:hanging="306"/>
        <w:spacing w:after="0" w:line="353" w:lineRule="auto"/>
        <w:tabs>
          <w:tab w:leader="none" w:pos="1237" w:val="left"/>
        </w:tabs>
        <w:numPr>
          <w:ilvl w:val="2"/>
          <w:numId w:val="2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240" w:right="260" w:hanging="306"/>
        <w:spacing w:after="0" w:line="268" w:lineRule="auto"/>
        <w:tabs>
          <w:tab w:leader="none" w:pos="1234" w:val="left"/>
        </w:tabs>
        <w:numPr>
          <w:ilvl w:val="2"/>
          <w:numId w:val="2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7"/>
          <w:szCs w:val="17"/>
          <w:color w:val="auto"/>
        </w:rPr>
      </w:pPr>
    </w:p>
    <w:p>
      <w:pPr>
        <w:ind w:left="620" w:right="500" w:hanging="307"/>
        <w:spacing w:after="0" w:line="315" w:lineRule="auto"/>
        <w:tabs>
          <w:tab w:leader="none" w:pos="62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rFonts w:ascii="Arial" w:cs="Arial" w:eastAsia="Arial" w:hAnsi="Arial"/>
          <w:sz w:val="16"/>
          <w:szCs w:val="16"/>
          <w:color w:val="auto"/>
        </w:rPr>
      </w:pPr>
    </w:p>
    <w:p>
      <w:pPr>
        <w:ind w:left="1240" w:right="140" w:hanging="306"/>
        <w:spacing w:after="0" w:line="283" w:lineRule="auto"/>
        <w:tabs>
          <w:tab w:leader="none" w:pos="1237" w:val="left"/>
        </w:tabs>
        <w:numPr>
          <w:ilvl w:val="2"/>
          <w:numId w:val="2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7"/>
          <w:szCs w:val="17"/>
          <w:color w:val="auto"/>
        </w:rPr>
      </w:pPr>
    </w:p>
    <w:p>
      <w:pPr>
        <w:ind w:left="1240" w:right="120" w:hanging="306"/>
        <w:spacing w:after="0" w:line="283" w:lineRule="auto"/>
        <w:tabs>
          <w:tab w:leader="none" w:pos="1234" w:val="left"/>
        </w:tabs>
        <w:numPr>
          <w:ilvl w:val="2"/>
          <w:numId w:val="2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640"/>
        <w:spacing w:after="0"/>
        <w:tabs>
          <w:tab w:leader="none" w:pos="5020" w:val="left"/>
          <w:tab w:leader="none" w:pos="6760" w:val="left"/>
        </w:tabs>
        <w:rPr>
          <w:sz w:val="20"/>
          <w:szCs w:val="20"/>
          <w:color w:val="auto"/>
        </w:rPr>
      </w:pPr>
      <w:r>
        <w:rPr>
          <w:rFonts w:ascii="Arial" w:cs="Arial" w:eastAsia="Arial" w:hAnsi="Arial"/>
          <w:sz w:val="17"/>
          <w:szCs w:val="17"/>
          <w:color w:val="auto"/>
        </w:rPr>
        <w:t>Date: February 22,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Scott L.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31750</wp:posOffset>
            </wp:positionV>
            <wp:extent cx="27489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2748915" cy="8255"/>
                    </a:xfrm>
                    <a:prstGeom prst="rect">
                      <a:avLst/>
                    </a:prstGeom>
                    <a:noFill/>
                  </pic:spPr>
                </pic:pic>
              </a:graphicData>
            </a:graphic>
          </wp:anchor>
        </w:drawing>
      </w:r>
    </w:p>
    <w:p>
      <w:pPr>
        <w:spacing w:after="0" w:line="50" w:lineRule="exact"/>
        <w:rPr>
          <w:sz w:val="20"/>
          <w:szCs w:val="20"/>
          <w:color w:val="auto"/>
        </w:rPr>
      </w:pPr>
    </w:p>
    <w:p>
      <w:pPr>
        <w:jc w:val="center"/>
        <w:ind w:left="3700"/>
        <w:spacing w:after="0"/>
        <w:rPr>
          <w:sz w:val="20"/>
          <w:szCs w:val="20"/>
          <w:color w:val="auto"/>
        </w:rPr>
      </w:pPr>
      <w:r>
        <w:rPr>
          <w:rFonts w:ascii="Arial" w:cs="Arial" w:eastAsia="Arial" w:hAnsi="Arial"/>
          <w:sz w:val="17"/>
          <w:szCs w:val="17"/>
          <w:b w:val="1"/>
          <w:bCs w:val="1"/>
          <w:color w:val="auto"/>
        </w:rPr>
        <w:t>Scott L. Burrows</w:t>
      </w:r>
    </w:p>
    <w:p>
      <w:pPr>
        <w:spacing w:after="0" w:line="30" w:lineRule="exact"/>
        <w:rPr>
          <w:sz w:val="20"/>
          <w:szCs w:val="20"/>
          <w:color w:val="auto"/>
        </w:rPr>
      </w:pPr>
    </w:p>
    <w:p>
      <w:pPr>
        <w:jc w:val="center"/>
        <w:ind w:left="3700"/>
        <w:spacing w:after="0"/>
        <w:rPr>
          <w:sz w:val="20"/>
          <w:szCs w:val="20"/>
          <w:color w:val="auto"/>
        </w:rPr>
      </w:pPr>
      <w:r>
        <w:rPr>
          <w:rFonts w:ascii="Arial" w:cs="Arial" w:eastAsia="Arial" w:hAnsi="Arial"/>
          <w:sz w:val="17"/>
          <w:szCs w:val="17"/>
          <w:b w:val="1"/>
          <w:bCs w:val="1"/>
          <w:color w:val="auto"/>
        </w:rPr>
        <w:t>Chief Financial Officer</w:t>
      </w:r>
    </w:p>
    <w:p>
      <w:pPr>
        <w:spacing w:after="0" w:line="11" w:lineRule="exact"/>
        <w:rPr>
          <w:sz w:val="20"/>
          <w:szCs w:val="20"/>
          <w:color w:val="auto"/>
        </w:rPr>
      </w:pPr>
    </w:p>
    <w:p>
      <w:pPr>
        <w:jc w:val="center"/>
        <w:ind w:left="3700"/>
        <w:spacing w:after="0"/>
        <w:rPr>
          <w:sz w:val="20"/>
          <w:szCs w:val="20"/>
          <w:color w:val="auto"/>
        </w:rPr>
      </w:pPr>
      <w:r>
        <w:rPr>
          <w:rFonts w:ascii="Arial" w:cs="Arial" w:eastAsia="Arial" w:hAnsi="Arial"/>
          <w:sz w:val="17"/>
          <w:szCs w:val="17"/>
          <w:b w:val="1"/>
          <w:bCs w:val="1"/>
          <w:color w:val="auto"/>
        </w:rPr>
        <w:t>(Principal Accounting and Financial Officer)</w:t>
      </w:r>
    </w:p>
    <w:p>
      <w:pPr>
        <w:sectPr>
          <w:pgSz w:w="11900" w:h="16838" w:orient="portrait"/>
          <w:cols w:equalWidth="0" w:num="1">
            <w:col w:w="11240"/>
          </w:cols>
          <w:pgMar w:left="320" w:top="1052" w:right="339" w:bottom="1440" w:gutter="0" w:footer="0" w:header="0"/>
        </w:sectPr>
      </w:pPr>
    </w:p>
    <w:bookmarkStart w:id="277" w:name="page278"/>
    <w:bookmarkEnd w:id="277"/>
    <w:p>
      <w:pPr>
        <w:spacing w:after="0" w:line="2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32.1</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1"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100" w:firstLine="620"/>
        <w:spacing w:after="0" w:line="263" w:lineRule="auto"/>
        <w:rPr>
          <w:sz w:val="20"/>
          <w:szCs w:val="20"/>
          <w:color w:val="auto"/>
        </w:rPr>
      </w:pPr>
      <w:r>
        <w:rPr>
          <w:rFonts w:ascii="Arial" w:cs="Arial" w:eastAsia="Arial" w:hAnsi="Arial"/>
          <w:sz w:val="17"/>
          <w:szCs w:val="17"/>
          <w:color w:val="auto"/>
        </w:rPr>
        <w:t>In connection with the Annual Report of Arcutis Biotherapeutics, Inc. (the “Company”) on Form 10-K for the period ended December 31, 2021, as filed with the Securities and Exchange Commission on the date hereof (the “Report”), Todd Franklin Watanabe, Chief Executive Officer of the Company, and Scott L. Burrows, Chief Financial Officer of the Company, respectively, do each hereby certify, pursuant to 18 U.S.C. Section 1350, as adopted pursuant to Section 906 of the Sarbanes-Oxley Act of 2002, that:</w:t>
      </w:r>
    </w:p>
    <w:p>
      <w:pPr>
        <w:spacing w:after="0" w:line="177" w:lineRule="exact"/>
        <w:rPr>
          <w:sz w:val="20"/>
          <w:szCs w:val="20"/>
          <w:color w:val="auto"/>
        </w:rPr>
      </w:pPr>
    </w:p>
    <w:p>
      <w:pPr>
        <w:ind w:left="1240" w:hanging="306"/>
        <w:spacing w:after="0"/>
        <w:tabs>
          <w:tab w:leader="none" w:pos="124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left="1240" w:hanging="306"/>
        <w:spacing w:after="0"/>
        <w:tabs>
          <w:tab w:leader="none" w:pos="1240" w:val="left"/>
        </w:tabs>
        <w:numPr>
          <w:ilvl w:val="0"/>
          <w:numId w:val="23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spacing w:after="0"/>
        <w:tabs>
          <w:tab w:leader="none" w:pos="5740" w:val="left"/>
          <w:tab w:leader="none" w:pos="7560" w:val="left"/>
        </w:tabs>
        <w:rPr>
          <w:sz w:val="20"/>
          <w:szCs w:val="20"/>
          <w:color w:val="auto"/>
        </w:rPr>
      </w:pPr>
      <w:r>
        <w:rPr>
          <w:rFonts w:ascii="Arial" w:cs="Arial" w:eastAsia="Arial" w:hAnsi="Arial"/>
          <w:sz w:val="17"/>
          <w:szCs w:val="17"/>
          <w:color w:val="auto"/>
        </w:rPr>
        <w:t>Date: February 22,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31750</wp:posOffset>
            </wp:positionV>
            <wp:extent cx="3183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50" w:lineRule="exact"/>
        <w:rPr>
          <w:sz w:val="20"/>
          <w:szCs w:val="20"/>
          <w:color w:val="auto"/>
        </w:rPr>
      </w:pPr>
    </w:p>
    <w:p>
      <w:pPr>
        <w:jc w:val="center"/>
        <w:ind w:left="5800"/>
        <w:spacing w:after="0"/>
        <w:rPr>
          <w:sz w:val="20"/>
          <w:szCs w:val="20"/>
          <w:color w:val="auto"/>
        </w:rPr>
      </w:pPr>
      <w:r>
        <w:rPr>
          <w:rFonts w:ascii="Arial" w:cs="Arial" w:eastAsia="Arial" w:hAnsi="Arial"/>
          <w:sz w:val="17"/>
          <w:szCs w:val="17"/>
          <w:b w:val="1"/>
          <w:bCs w:val="1"/>
          <w:color w:val="auto"/>
        </w:rPr>
        <w:t>Todd Franklin Watanabe</w:t>
      </w:r>
    </w:p>
    <w:p>
      <w:pPr>
        <w:spacing w:after="0" w:line="30" w:lineRule="exact"/>
        <w:rPr>
          <w:sz w:val="20"/>
          <w:szCs w:val="20"/>
          <w:color w:val="auto"/>
        </w:rPr>
      </w:pPr>
    </w:p>
    <w:p>
      <w:pPr>
        <w:jc w:val="center"/>
        <w:ind w:left="5800"/>
        <w:spacing w:after="0"/>
        <w:rPr>
          <w:sz w:val="20"/>
          <w:szCs w:val="20"/>
          <w:color w:val="auto"/>
        </w:rPr>
      </w:pPr>
      <w:r>
        <w:rPr>
          <w:rFonts w:ascii="Arial" w:cs="Arial" w:eastAsia="Arial" w:hAnsi="Arial"/>
          <w:sz w:val="17"/>
          <w:szCs w:val="17"/>
          <w:b w:val="1"/>
          <w:bCs w:val="1"/>
          <w:color w:val="auto"/>
        </w:rPr>
        <w:t>President, Chief Executive Officer and Director</w:t>
      </w:r>
    </w:p>
    <w:p>
      <w:pPr>
        <w:spacing w:after="0" w:line="11" w:lineRule="exact"/>
        <w:rPr>
          <w:sz w:val="20"/>
          <w:szCs w:val="20"/>
          <w:color w:val="auto"/>
        </w:rPr>
      </w:pPr>
    </w:p>
    <w:p>
      <w:pPr>
        <w:jc w:val="center"/>
        <w:ind w:left="5800"/>
        <w:spacing w:after="0"/>
        <w:rPr>
          <w:sz w:val="20"/>
          <w:szCs w:val="20"/>
          <w:color w:val="auto"/>
        </w:rPr>
      </w:pPr>
      <w:r>
        <w:rPr>
          <w:rFonts w:ascii="Arial" w:cs="Arial" w:eastAsia="Arial" w:hAnsi="Arial"/>
          <w:sz w:val="17"/>
          <w:szCs w:val="17"/>
          <w:b w:val="1"/>
          <w:bCs w:val="1"/>
          <w:color w:val="auto"/>
        </w:rPr>
        <w:t>(Principal Executive Officer)</w:t>
      </w:r>
    </w:p>
    <w:p>
      <w:pPr>
        <w:spacing w:after="0" w:line="50" w:lineRule="exact"/>
        <w:rPr>
          <w:sz w:val="20"/>
          <w:szCs w:val="20"/>
          <w:color w:val="auto"/>
        </w:rPr>
      </w:pPr>
    </w:p>
    <w:p>
      <w:pPr>
        <w:ind w:left="640"/>
        <w:spacing w:after="0"/>
        <w:tabs>
          <w:tab w:leader="none" w:pos="5740" w:val="left"/>
          <w:tab w:leader="none" w:pos="7820" w:val="left"/>
        </w:tabs>
        <w:rPr>
          <w:sz w:val="20"/>
          <w:szCs w:val="20"/>
          <w:color w:val="auto"/>
        </w:rPr>
      </w:pPr>
      <w:r>
        <w:rPr>
          <w:rFonts w:ascii="Arial" w:cs="Arial" w:eastAsia="Arial" w:hAnsi="Arial"/>
          <w:sz w:val="17"/>
          <w:szCs w:val="17"/>
          <w:color w:val="auto"/>
        </w:rPr>
        <w:t>Date: February 22,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Scott L.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31750</wp:posOffset>
            </wp:positionV>
            <wp:extent cx="3183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50" w:lineRule="exact"/>
        <w:rPr>
          <w:sz w:val="20"/>
          <w:szCs w:val="20"/>
          <w:color w:val="auto"/>
        </w:rPr>
      </w:pPr>
    </w:p>
    <w:p>
      <w:pPr>
        <w:jc w:val="center"/>
        <w:ind w:left="5800"/>
        <w:spacing w:after="0"/>
        <w:rPr>
          <w:sz w:val="20"/>
          <w:szCs w:val="20"/>
          <w:color w:val="auto"/>
        </w:rPr>
      </w:pPr>
      <w:r>
        <w:rPr>
          <w:rFonts w:ascii="Arial" w:cs="Arial" w:eastAsia="Arial" w:hAnsi="Arial"/>
          <w:sz w:val="17"/>
          <w:szCs w:val="17"/>
          <w:b w:val="1"/>
          <w:bCs w:val="1"/>
          <w:color w:val="auto"/>
        </w:rPr>
        <w:t>Scott L. Burrows</w:t>
      </w:r>
    </w:p>
    <w:p>
      <w:pPr>
        <w:spacing w:after="0" w:line="30" w:lineRule="exact"/>
        <w:rPr>
          <w:sz w:val="20"/>
          <w:szCs w:val="20"/>
          <w:color w:val="auto"/>
        </w:rPr>
      </w:pPr>
    </w:p>
    <w:p>
      <w:pPr>
        <w:jc w:val="center"/>
        <w:ind w:left="5800"/>
        <w:spacing w:after="0"/>
        <w:rPr>
          <w:sz w:val="20"/>
          <w:szCs w:val="20"/>
          <w:color w:val="auto"/>
        </w:rPr>
      </w:pPr>
      <w:r>
        <w:rPr>
          <w:rFonts w:ascii="Arial" w:cs="Arial" w:eastAsia="Arial" w:hAnsi="Arial"/>
          <w:sz w:val="17"/>
          <w:szCs w:val="17"/>
          <w:b w:val="1"/>
          <w:bCs w:val="1"/>
          <w:color w:val="auto"/>
        </w:rPr>
        <w:t>Chief Financial Officer</w:t>
      </w:r>
    </w:p>
    <w:p>
      <w:pPr>
        <w:spacing w:after="0" w:line="11" w:lineRule="exact"/>
        <w:rPr>
          <w:sz w:val="20"/>
          <w:szCs w:val="20"/>
          <w:color w:val="auto"/>
        </w:rPr>
      </w:pPr>
    </w:p>
    <w:p>
      <w:pPr>
        <w:jc w:val="center"/>
        <w:ind w:left="5800"/>
        <w:spacing w:after="0"/>
        <w:rPr>
          <w:sz w:val="20"/>
          <w:szCs w:val="20"/>
          <w:color w:val="auto"/>
        </w:rPr>
      </w:pPr>
      <w:r>
        <w:rPr>
          <w:rFonts w:ascii="Arial" w:cs="Arial" w:eastAsia="Arial" w:hAnsi="Arial"/>
          <w:sz w:val="17"/>
          <w:szCs w:val="17"/>
          <w:b w:val="1"/>
          <w:bCs w:val="1"/>
          <w:color w:val="auto"/>
        </w:rPr>
        <w:t>(Principal Accounting and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373"/>
    <w:multiLevelType w:val="hybridMultilevel"/>
    <w:lvl w:ilvl="0">
      <w:lvlJc w:val="left"/>
      <w:lvlText w:val="☒"/>
      <w:numFmt w:val="bullet"/>
      <w:start w:val="1"/>
    </w:lvl>
  </w:abstractNum>
  <w:abstractNum w:abstractNumId="1">
    <w:nsid w:val="2C27173B"/>
    <w:multiLevelType w:val="hybridMultilevel"/>
    <w:lvl w:ilvl="0">
      <w:lvlJc w:val="left"/>
      <w:lvlText w:val="☐"/>
      <w:numFmt w:val="bullet"/>
      <w:start w:val="1"/>
    </w:lvl>
  </w:abstractNum>
  <w:abstractNum w:abstractNumId="2">
    <w:nsid w:val="4C9B0904"/>
    <w:multiLevelType w:val="hybridMultilevel"/>
    <w:lvl w:ilvl="0">
      <w:lvlJc w:val="left"/>
      <w:lvlText w:val="•"/>
      <w:numFmt w:val="bullet"/>
      <w:start w:val="1"/>
    </w:lvl>
  </w:abstractNum>
  <w:abstractNum w:abstractNumId="3">
    <w:nsid w:val="6AA7B75C"/>
    <w:multiLevelType w:val="hybridMultilevel"/>
    <w:lvl w:ilvl="0">
      <w:lvlJc w:val="left"/>
      <w:lvlText w:val="•"/>
      <w:numFmt w:val="bullet"/>
      <w:start w:val="1"/>
    </w:lvl>
  </w:abstractNum>
  <w:abstractNum w:abstractNumId="4">
    <w:nsid w:val="1DF029D3"/>
    <w:multiLevelType w:val="hybridMultilevel"/>
    <w:lvl w:ilvl="0">
      <w:lvlJc w:val="left"/>
      <w:lvlText w:val="•"/>
      <w:numFmt w:val="bullet"/>
      <w:start w:val="1"/>
    </w:lvl>
  </w:abstractNum>
  <w:abstractNum w:abstractNumId="5">
    <w:nsid w:val="5675FF36"/>
    <w:multiLevelType w:val="hybridMultilevel"/>
    <w:lvl w:ilvl="0">
      <w:lvlJc w:val="left"/>
      <w:lvlText w:val="•"/>
      <w:numFmt w:val="bullet"/>
      <w:start w:val="1"/>
    </w:lvl>
  </w:abstractNum>
  <w:abstractNum w:abstractNumId="6">
    <w:nsid w:val="3DD15094"/>
    <w:multiLevelType w:val="hybridMultilevel"/>
    <w:lvl w:ilvl="0">
      <w:lvlJc w:val="left"/>
      <w:lvlText w:val="•"/>
      <w:numFmt w:val="bullet"/>
      <w:start w:val="1"/>
    </w:lvl>
  </w:abstractNum>
  <w:abstractNum w:abstractNumId="7">
    <w:nsid w:val="3DB012B3"/>
    <w:multiLevelType w:val="hybridMultilevel"/>
    <w:lvl w:ilvl="0">
      <w:lvlJc w:val="left"/>
      <w:lvlText w:val="•"/>
      <w:numFmt w:val="bullet"/>
      <w:start w:val="1"/>
    </w:lvl>
  </w:abstractNum>
  <w:abstractNum w:abstractNumId="8">
    <w:nsid w:val="2708C9AF"/>
    <w:multiLevelType w:val="hybridMultilevel"/>
    <w:lvl w:ilvl="0">
      <w:lvlJc w:val="left"/>
      <w:lvlText w:val="•"/>
      <w:numFmt w:val="bullet"/>
      <w:start w:val="1"/>
    </w:lvl>
  </w:abstractNum>
  <w:abstractNum w:abstractNumId="9">
    <w:nsid w:val="5B25ACE2"/>
    <w:multiLevelType w:val="hybridMultilevel"/>
    <w:lvl w:ilvl="0">
      <w:lvlJc w:val="left"/>
      <w:lvlText w:val="•"/>
      <w:numFmt w:val="bullet"/>
      <w:start w:val="1"/>
    </w:lvl>
  </w:abstractNum>
  <w:abstractNum w:abstractNumId="10">
    <w:nsid w:val="175DFCF0"/>
    <w:multiLevelType w:val="hybridMultilevel"/>
    <w:lvl w:ilvl="0">
      <w:lvlJc w:val="left"/>
      <w:lvlText w:val="•"/>
      <w:numFmt w:val="bullet"/>
      <w:start w:val="1"/>
    </w:lvl>
  </w:abstractNum>
  <w:abstractNum w:abstractNumId="11">
    <w:nsid w:val="4F97E3E4"/>
    <w:multiLevelType w:val="hybridMultilevel"/>
    <w:lvl w:ilvl="0">
      <w:lvlJc w:val="left"/>
      <w:lvlText w:val="(%1)"/>
      <w:numFmt w:val="decimal"/>
      <w:start w:val="2"/>
    </w:lvl>
  </w:abstractNum>
  <w:abstractNum w:abstractNumId="12">
    <w:nsid w:val="53B0A9E"/>
    <w:multiLevelType w:val="hybridMultilevel"/>
    <w:lvl w:ilvl="0">
      <w:lvlJc w:val="left"/>
      <w:lvlText w:val="•"/>
      <w:numFmt w:val="bullet"/>
      <w:start w:val="1"/>
    </w:lvl>
  </w:abstractNum>
  <w:abstractNum w:abstractNumId="13">
    <w:nsid w:val="34FD6B4F"/>
    <w:multiLevelType w:val="hybridMultilevel"/>
    <w:lvl w:ilvl="0">
      <w:lvlJc w:val="left"/>
      <w:lvlText w:val="•"/>
      <w:numFmt w:val="bullet"/>
      <w:start w:val="1"/>
    </w:lvl>
  </w:abstractNum>
  <w:abstractNum w:abstractNumId="14">
    <w:nsid w:val="5915FF32"/>
    <w:multiLevelType w:val="hybridMultilevel"/>
    <w:lvl w:ilvl="0">
      <w:lvlJc w:val="left"/>
      <w:lvlText w:val="(%1)"/>
      <w:numFmt w:val="decimal"/>
      <w:start w:val="2"/>
    </w:lvl>
  </w:abstractNum>
  <w:abstractNum w:abstractNumId="15">
    <w:nsid w:val="56438D15"/>
    <w:multiLevelType w:val="hybridMultilevel"/>
    <w:lvl w:ilvl="0">
      <w:lvlJc w:val="left"/>
      <w:lvlText w:val="•"/>
      <w:numFmt w:val="bullet"/>
      <w:start w:val="1"/>
    </w:lvl>
  </w:abstractNum>
  <w:abstractNum w:abstractNumId="16">
    <w:nsid w:val="519E3149"/>
    <w:multiLevelType w:val="hybridMultilevel"/>
    <w:lvl w:ilvl="0">
      <w:lvlJc w:val="left"/>
      <w:lvlText w:val="•"/>
      <w:numFmt w:val="bullet"/>
      <w:start w:val="1"/>
    </w:lvl>
  </w:abstractNum>
  <w:abstractNum w:abstractNumId="17">
    <w:nsid w:val="2C6E4AFD"/>
    <w:multiLevelType w:val="hybridMultilevel"/>
    <w:lvl w:ilvl="0">
      <w:lvlJc w:val="left"/>
      <w:lvlText w:val="•"/>
      <w:numFmt w:val="bullet"/>
      <w:start w:val="1"/>
    </w:lvl>
  </w:abstractNum>
  <w:abstractNum w:abstractNumId="18">
    <w:nsid w:val="17A1B582"/>
    <w:multiLevelType w:val="hybridMultilevel"/>
    <w:lvl w:ilvl="0">
      <w:lvlJc w:val="left"/>
      <w:lvlText w:val="(%1)"/>
      <w:numFmt w:val="lowerRoman"/>
      <w:start w:val="4"/>
    </w:lvl>
  </w:abstractNum>
  <w:abstractNum w:abstractNumId="19">
    <w:nsid w:val="4DF72E4E"/>
    <w:multiLevelType w:val="hybridMultilevel"/>
    <w:lvl w:ilvl="0">
      <w:lvlJc w:val="left"/>
      <w:lvlText w:val="(%1)"/>
      <w:numFmt w:val="lowerRoman"/>
      <w:start w:val="6"/>
    </w:lvl>
  </w:abstractNum>
  <w:abstractNum w:abstractNumId="20">
    <w:nsid w:val="5046B5A9"/>
    <w:multiLevelType w:val="hybridMultilevel"/>
    <w:lvl w:ilvl="0">
      <w:lvlJc w:val="left"/>
      <w:lvlText w:val="•"/>
      <w:numFmt w:val="bullet"/>
      <w:start w:val="1"/>
    </w:lvl>
  </w:abstractNum>
  <w:abstractNum w:abstractNumId="21">
    <w:nsid w:val="5D888A08"/>
    <w:multiLevelType w:val="hybridMultilevel"/>
    <w:lvl w:ilvl="0">
      <w:lvlJc w:val="left"/>
      <w:lvlText w:val="•"/>
      <w:numFmt w:val="bullet"/>
      <w:start w:val="1"/>
    </w:lvl>
  </w:abstractNum>
  <w:abstractNum w:abstractNumId="22">
    <w:nsid w:val="2A082C70"/>
    <w:multiLevelType w:val="hybridMultilevel"/>
    <w:lvl w:ilvl="0">
      <w:lvlJc w:val="left"/>
      <w:lvlText w:val="•"/>
      <w:numFmt w:val="bullet"/>
      <w:start w:val="1"/>
    </w:lvl>
  </w:abstractNum>
  <w:abstractNum w:abstractNumId="23">
    <w:nsid w:val="5EC6AFD4"/>
    <w:multiLevelType w:val="hybridMultilevel"/>
    <w:lvl w:ilvl="0">
      <w:lvlJc w:val="left"/>
      <w:lvlText w:val="•"/>
      <w:numFmt w:val="bullet"/>
      <w:start w:val="1"/>
    </w:lvl>
  </w:abstractNum>
  <w:abstractNum w:abstractNumId="24">
    <w:nsid w:val="19E21BB2"/>
    <w:multiLevelType w:val="hybridMultilevel"/>
    <w:lvl w:ilvl="0">
      <w:lvlJc w:val="left"/>
      <w:lvlText w:val="•"/>
      <w:numFmt w:val="bullet"/>
      <w:start w:val="1"/>
    </w:lvl>
  </w:abstractNum>
  <w:abstractNum w:abstractNumId="25">
    <w:nsid w:val="75E0858A"/>
    <w:multiLevelType w:val="hybridMultilevel"/>
    <w:lvl w:ilvl="0">
      <w:lvlJc w:val="left"/>
      <w:lvlText w:val="•"/>
      <w:numFmt w:val="bullet"/>
      <w:start w:val="1"/>
    </w:lvl>
  </w:abstractNum>
  <w:abstractNum w:abstractNumId="26">
    <w:nsid w:val="57A61A29"/>
    <w:multiLevelType w:val="hybridMultilevel"/>
    <w:lvl w:ilvl="0">
      <w:lvlJc w:val="left"/>
      <w:lvlText w:val="•"/>
      <w:numFmt w:val="bullet"/>
      <w:start w:val="1"/>
    </w:lvl>
  </w:abstractNum>
  <w:abstractNum w:abstractNumId="27">
    <w:nsid w:val="5399C654"/>
    <w:multiLevelType w:val="hybridMultilevel"/>
    <w:lvl w:ilvl="0">
      <w:lvlJc w:val="left"/>
      <w:lvlText w:val="•"/>
      <w:numFmt w:val="bullet"/>
      <w:start w:val="1"/>
    </w:lvl>
  </w:abstractNum>
  <w:abstractNum w:abstractNumId="28">
    <w:nsid w:val="20EE1348"/>
    <w:multiLevelType w:val="hybridMultilevel"/>
    <w:lvl w:ilvl="0">
      <w:lvlJc w:val="left"/>
      <w:lvlText w:val="•"/>
      <w:numFmt w:val="bullet"/>
      <w:start w:val="1"/>
    </w:lvl>
  </w:abstractNum>
  <w:abstractNum w:abstractNumId="29">
    <w:nsid w:val="4427069A"/>
    <w:multiLevelType w:val="hybridMultilevel"/>
    <w:lvl w:ilvl="0">
      <w:lvlJc w:val="left"/>
      <w:lvlText w:val="•"/>
      <w:numFmt w:val="bullet"/>
      <w:start w:val="1"/>
    </w:lvl>
  </w:abstractNum>
  <w:abstractNum w:abstractNumId="30">
    <w:nsid w:val="B37E80A"/>
    <w:multiLevelType w:val="hybridMultilevel"/>
    <w:lvl w:ilvl="0">
      <w:lvlJc w:val="left"/>
      <w:lvlText w:val="•"/>
      <w:numFmt w:val="bullet"/>
      <w:start w:val="1"/>
    </w:lvl>
  </w:abstractNum>
  <w:abstractNum w:abstractNumId="31">
    <w:nsid w:val="2157F6BC"/>
    <w:multiLevelType w:val="hybridMultilevel"/>
    <w:lvl w:ilvl="0">
      <w:lvlJc w:val="left"/>
      <w:lvlText w:val="•"/>
      <w:numFmt w:val="bullet"/>
      <w:start w:val="1"/>
    </w:lvl>
  </w:abstractNum>
  <w:abstractNum w:abstractNumId="32">
    <w:nsid w:val="704E1DD5"/>
    <w:multiLevelType w:val="hybridMultilevel"/>
    <w:lvl w:ilvl="0">
      <w:lvlJc w:val="left"/>
      <w:lvlText w:val="•"/>
      <w:numFmt w:val="bullet"/>
      <w:start w:val="1"/>
    </w:lvl>
  </w:abstractNum>
  <w:abstractNum w:abstractNumId="33">
    <w:nsid w:val="57D2F10E"/>
    <w:multiLevelType w:val="hybridMultilevel"/>
    <w:lvl w:ilvl="0">
      <w:lvlJc w:val="left"/>
      <w:lvlText w:val="•"/>
      <w:numFmt w:val="bullet"/>
      <w:start w:val="1"/>
    </w:lvl>
  </w:abstractNum>
  <w:abstractNum w:abstractNumId="34">
    <w:nsid w:val="BFFAE18"/>
    <w:multiLevelType w:val="hybridMultilevel"/>
    <w:lvl w:ilvl="0">
      <w:lvlJc w:val="left"/>
      <w:lvlText w:val="•"/>
      <w:numFmt w:val="bullet"/>
      <w:start w:val="1"/>
    </w:lvl>
  </w:abstractNum>
  <w:abstractNum w:abstractNumId="35">
    <w:nsid w:val="E3E47A8"/>
    <w:multiLevelType w:val="hybridMultilevel"/>
    <w:lvl w:ilvl="0">
      <w:lvlJc w:val="left"/>
      <w:lvlText w:val="•"/>
      <w:numFmt w:val="bullet"/>
      <w:start w:val="1"/>
    </w:lvl>
  </w:abstractNum>
  <w:abstractNum w:abstractNumId="36">
    <w:nsid w:val="2E48F044"/>
    <w:multiLevelType w:val="hybridMultilevel"/>
    <w:lvl w:ilvl="0">
      <w:lvlJc w:val="left"/>
      <w:lvlText w:val="•"/>
      <w:numFmt w:val="bullet"/>
      <w:start w:val="1"/>
    </w:lvl>
  </w:abstractNum>
  <w:abstractNum w:abstractNumId="37">
    <w:nsid w:val="49D0FEAC"/>
    <w:multiLevelType w:val="hybridMultilevel"/>
    <w:lvl w:ilvl="0">
      <w:lvlJc w:val="left"/>
      <w:lvlText w:val="•"/>
      <w:numFmt w:val="bullet"/>
      <w:start w:val="1"/>
    </w:lvl>
  </w:abstractNum>
  <w:abstractNum w:abstractNumId="38">
    <w:nsid w:val="4BEE5A5B"/>
    <w:multiLevelType w:val="hybridMultilevel"/>
    <w:lvl w:ilvl="0">
      <w:lvlJc w:val="left"/>
      <w:lvlText w:val="•"/>
      <w:numFmt w:val="bullet"/>
      <w:start w:val="1"/>
    </w:lvl>
  </w:abstractNum>
  <w:abstractNum w:abstractNumId="39">
    <w:nsid w:val="5551B9F3"/>
    <w:multiLevelType w:val="hybridMultilevel"/>
    <w:lvl w:ilvl="0">
      <w:lvlJc w:val="left"/>
      <w:lvlText w:val="•"/>
      <w:numFmt w:val="bullet"/>
      <w:start w:val="1"/>
    </w:lvl>
  </w:abstractNum>
  <w:abstractNum w:abstractNumId="40">
    <w:nsid w:val="24F6AB8E"/>
    <w:multiLevelType w:val="hybridMultilevel"/>
    <w:lvl w:ilvl="0">
      <w:lvlJc w:val="left"/>
      <w:lvlText w:val="•"/>
      <w:numFmt w:val="bullet"/>
      <w:start w:val="1"/>
    </w:lvl>
  </w:abstractNum>
  <w:abstractNum w:abstractNumId="41">
    <w:nsid w:val="634C574C"/>
    <w:multiLevelType w:val="hybridMultilevel"/>
    <w:lvl w:ilvl="0">
      <w:lvlJc w:val="left"/>
      <w:lvlText w:val="•"/>
      <w:numFmt w:val="bullet"/>
      <w:start w:val="1"/>
    </w:lvl>
  </w:abstractNum>
  <w:abstractNum w:abstractNumId="42">
    <w:nsid w:val="24E99DD7"/>
    <w:multiLevelType w:val="hybridMultilevel"/>
    <w:lvl w:ilvl="0">
      <w:lvlJc w:val="left"/>
      <w:lvlText w:val="•"/>
      <w:numFmt w:val="bullet"/>
      <w:start w:val="1"/>
    </w:lvl>
  </w:abstractNum>
  <w:abstractNum w:abstractNumId="43">
    <w:nsid w:val="2A31B62D"/>
    <w:multiLevelType w:val="hybridMultilevel"/>
    <w:lvl w:ilvl="0">
      <w:lvlJc w:val="left"/>
      <w:lvlText w:val="•"/>
      <w:numFmt w:val="bullet"/>
      <w:start w:val="1"/>
    </w:lvl>
  </w:abstractNum>
  <w:abstractNum w:abstractNumId="44">
    <w:nsid w:val="1849C29B"/>
    <w:multiLevelType w:val="hybridMultilevel"/>
    <w:lvl w:ilvl="0">
      <w:lvlJc w:val="left"/>
      <w:lvlText w:val="•"/>
      <w:numFmt w:val="bullet"/>
      <w:start w:val="1"/>
    </w:lvl>
  </w:abstractNum>
  <w:abstractNum w:abstractNumId="45">
    <w:nsid w:val="7DFF9D09"/>
    <w:multiLevelType w:val="hybridMultilevel"/>
    <w:lvl w:ilvl="0">
      <w:lvlJc w:val="left"/>
      <w:lvlText w:val="•"/>
      <w:numFmt w:val="bullet"/>
      <w:start w:val="1"/>
    </w:lvl>
  </w:abstractNum>
  <w:abstractNum w:abstractNumId="46">
    <w:nsid w:val="754342"/>
    <w:multiLevelType w:val="hybridMultilevel"/>
    <w:lvl w:ilvl="0">
      <w:lvlJc w:val="left"/>
      <w:lvlText w:val="•"/>
      <w:numFmt w:val="bullet"/>
      <w:start w:val="1"/>
    </w:lvl>
  </w:abstractNum>
  <w:abstractNum w:abstractNumId="47">
    <w:nsid w:val="69E7F3E5"/>
    <w:multiLevelType w:val="hybridMultilevel"/>
    <w:lvl w:ilvl="0">
      <w:lvlJc w:val="left"/>
      <w:lvlText w:val="(%1)"/>
      <w:numFmt w:val="decimal"/>
      <w:start w:val="1"/>
    </w:lvl>
  </w:abstractNum>
  <w:abstractNum w:abstractNumId="48">
    <w:nsid w:val="2A6DE806"/>
    <w:multiLevelType w:val="hybridMultilevel"/>
    <w:lvl w:ilvl="0">
      <w:lvlJc w:val="left"/>
      <w:lvlText w:val="(%1)"/>
      <w:numFmt w:val="decimal"/>
      <w:start w:val="1"/>
    </w:lvl>
  </w:abstractNum>
  <w:abstractNum w:abstractNumId="49">
    <w:nsid w:val="1816F8C4"/>
    <w:multiLevelType w:val="hybridMultilevel"/>
    <w:lvl w:ilvl="0">
      <w:lvlJc w:val="left"/>
      <w:lvlText w:val="•"/>
      <w:numFmt w:val="bullet"/>
      <w:start w:val="1"/>
    </w:lvl>
  </w:abstractNum>
  <w:abstractNum w:abstractNumId="50">
    <w:nsid w:val="37DF2233"/>
    <w:multiLevelType w:val="hybridMultilevel"/>
    <w:lvl w:ilvl="0">
      <w:lvlJc w:val="left"/>
      <w:lvlText w:val="•"/>
      <w:numFmt w:val="bullet"/>
      <w:start w:val="1"/>
    </w:lvl>
  </w:abstractNum>
  <w:abstractNum w:abstractNumId="51">
    <w:nsid w:val="7AB49DAF"/>
    <w:multiLevelType w:val="hybridMultilevel"/>
    <w:lvl w:ilvl="0">
      <w:lvlJc w:val="left"/>
      <w:lvlText w:val="•"/>
      <w:numFmt w:val="bullet"/>
      <w:start w:val="1"/>
    </w:lvl>
  </w:abstractNum>
  <w:abstractNum w:abstractNumId="52">
    <w:nsid w:val="759F82CD"/>
    <w:multiLevelType w:val="hybridMultilevel"/>
    <w:lvl w:ilvl="0">
      <w:lvlJc w:val="left"/>
      <w:lvlText w:val="(%1)"/>
      <w:numFmt w:val="lowerRoman"/>
      <w:start w:val="2"/>
    </w:lvl>
  </w:abstractNum>
  <w:abstractNum w:abstractNumId="53">
    <w:nsid w:val="61E74EA3"/>
    <w:multiLevelType w:val="hybridMultilevel"/>
    <w:lvl w:ilvl="0">
      <w:lvlJc w:val="left"/>
      <w:lvlText w:val="%1"/>
      <w:numFmt w:val="decimal"/>
      <w:start w:val="104"/>
    </w:lvl>
  </w:abstractNum>
  <w:abstractNum w:abstractNumId="54">
    <w:nsid w:val="597B4D84"/>
    <w:multiLevelType w:val="hybridMultilevel"/>
    <w:lvl w:ilvl="0">
      <w:lvlJc w:val="left"/>
      <w:lvlText w:val="*"/>
      <w:numFmt w:val="bullet"/>
      <w:start w:val="1"/>
    </w:lvl>
  </w:abstractNum>
  <w:abstractNum w:abstractNumId="55">
    <w:nsid w:val="F819E7F"/>
    <w:multiLevelType w:val="hybridMultilevel"/>
    <w:lvl w:ilvl="0">
      <w:lvlJc w:val="left"/>
      <w:lvlText w:val="**"/>
      <w:numFmt w:val="bullet"/>
      <w:start w:val="1"/>
    </w:lvl>
  </w:abstractNum>
  <w:abstractNum w:abstractNumId="56">
    <w:nsid w:val="57C7D42D"/>
    <w:multiLevelType w:val="hybridMultilevel"/>
    <w:lvl w:ilvl="0">
      <w:lvlJc w:val="left"/>
      <w:lvlText w:val="†"/>
      <w:numFmt w:val="bullet"/>
      <w:start w:val="1"/>
    </w:lvl>
  </w:abstractNum>
  <w:abstractNum w:abstractNumId="57">
    <w:nsid w:val="312167AD"/>
    <w:multiLevelType w:val="hybridMultilevel"/>
    <w:lvl w:ilvl="0">
      <w:lvlJc w:val="left"/>
      <w:lvlText w:val="^"/>
      <w:numFmt w:val="bullet"/>
      <w:start w:val="1"/>
    </w:lvl>
  </w:abstractNum>
  <w:abstractNum w:abstractNumId="58">
    <w:nsid w:val="631B64D4"/>
    <w:multiLevelType w:val="hybridMultilevel"/>
    <w:lvl w:ilvl="0">
      <w:lvlJc w:val="left"/>
      <w:lvlText w:val="#"/>
      <w:numFmt w:val="bullet"/>
      <w:start w:val="1"/>
    </w:lvl>
  </w:abstractNum>
  <w:abstractNum w:abstractNumId="59">
    <w:nsid w:val="78B5E776"/>
    <w:multiLevelType w:val="hybridMultilevel"/>
    <w:lvl w:ilvl="0">
      <w:lvlJc w:val="left"/>
      <w:lvlText w:val="(%1)"/>
      <w:numFmt w:val="decimal"/>
      <w:start w:val="2"/>
    </w:lvl>
  </w:abstractNum>
  <w:abstractNum w:abstractNumId="60">
    <w:nsid w:val="75486E47"/>
    <w:multiLevelType w:val="hybridMultilevel"/>
    <w:lvl w:ilvl="0">
      <w:lvlJc w:val="left"/>
      <w:lvlText w:val="%1."/>
      <w:numFmt w:val="decimal"/>
      <w:start w:val="2"/>
    </w:lvl>
  </w:abstractNum>
  <w:abstractNum w:abstractNumId="61">
    <w:nsid w:val="6E534CDE"/>
    <w:multiLevelType w:val="hybridMultilevel"/>
    <w:lvl w:ilvl="0">
      <w:lvlJc w:val="left"/>
      <w:lvlText w:val="(%1)"/>
      <w:numFmt w:val="decimal"/>
      <w:start w:val="1"/>
    </w:lvl>
  </w:abstractNum>
  <w:abstractNum w:abstractNumId="62">
    <w:nsid w:val="1A0DDE32"/>
    <w:multiLevelType w:val="hybridMultilevel"/>
    <w:lvl w:ilvl="0">
      <w:lvlJc w:val="left"/>
      <w:lvlText w:val="(%1)"/>
      <w:numFmt w:val="decimal"/>
      <w:start w:val="1"/>
    </w:lvl>
  </w:abstractNum>
  <w:abstractNum w:abstractNumId="63">
    <w:nsid w:val="65968C1C"/>
    <w:multiLevelType w:val="hybridMultilevel"/>
    <w:lvl w:ilvl="0">
      <w:lvlJc w:val="left"/>
      <w:lvlText w:val="(%1)"/>
      <w:numFmt w:val="decimal"/>
      <w:start w:val="1"/>
    </w:lvl>
  </w:abstractNum>
  <w:abstractNum w:abstractNumId="64">
    <w:nsid w:val="46263DEC"/>
    <w:multiLevelType w:val="hybridMultilevel"/>
    <w:lvl w:ilvl="0">
      <w:lvlJc w:val="left"/>
      <w:lvlText w:val="%1."/>
      <w:numFmt w:val="decimal"/>
      <w:start w:val="7"/>
    </w:lvl>
  </w:abstractNum>
  <w:abstractNum w:abstractNumId="65">
    <w:nsid w:val="260D8C4A"/>
    <w:multiLevelType w:val="hybridMultilevel"/>
    <w:lvl w:ilvl="0">
      <w:lvlJc w:val="left"/>
      <w:lvlText w:val="(%1)"/>
      <w:numFmt w:val="lowerRoman"/>
      <w:start w:val="2"/>
    </w:lvl>
  </w:abstractNum>
  <w:abstractNum w:abstractNumId="66">
    <w:nsid w:val="73D4D3C4"/>
    <w:multiLevelType w:val="hybridMultilevel"/>
    <w:lvl w:ilvl="0">
      <w:lvlJc w:val="left"/>
      <w:lvlText w:val="(%1)"/>
      <w:numFmt w:val="lowerRoman"/>
      <w:start w:val="4"/>
    </w:lvl>
  </w:abstractNum>
  <w:abstractNum w:abstractNumId="67">
    <w:nsid w:val="746F2E30"/>
    <w:multiLevelType w:val="hybridMultilevel"/>
    <w:lvl w:ilvl="0">
      <w:lvlJc w:val="left"/>
      <w:lvlText w:val="(%1)"/>
      <w:numFmt w:val="lowerRoman"/>
      <w:start w:val="1"/>
    </w:lvl>
  </w:abstractNum>
  <w:abstractNum w:abstractNumId="68">
    <w:nsid w:val="6FDE8AF6"/>
    <w:multiLevelType w:val="hybridMultilevel"/>
    <w:lvl w:ilvl="0">
      <w:lvlJc w:val="left"/>
      <w:lvlText w:val="(%1)"/>
      <w:numFmt w:val="decimal"/>
      <w:start w:val="1"/>
    </w:lvl>
  </w:abstractNum>
  <w:abstractNum w:abstractNumId="69">
    <w:nsid w:val="3FC32E20"/>
    <w:multiLevelType w:val="hybridMultilevel"/>
    <w:lvl w:ilvl="0">
      <w:lvlJc w:val="left"/>
      <w:lvlText w:val="%1."/>
      <w:numFmt w:val="decimal"/>
      <w:start w:val="1"/>
    </w:lvl>
  </w:abstractNum>
  <w:abstractNum w:abstractNumId="70">
    <w:nsid w:val="49C0E823"/>
    <w:multiLevelType w:val="hybridMultilevel"/>
    <w:lvl w:ilvl="0">
      <w:lvlJc w:val="left"/>
      <w:lvlText w:val="(%1)"/>
      <w:numFmt w:val="lowerLetter"/>
      <w:start w:val="2"/>
    </w:lvl>
  </w:abstractNum>
  <w:abstractNum w:abstractNumId="71">
    <w:nsid w:val="14D53685"/>
    <w:multiLevelType w:val="hybridMultilevel"/>
    <w:lvl w:ilvl="0">
      <w:lvlJc w:val="left"/>
      <w:lvlText w:val="%1."/>
      <w:numFmt w:val="decimal"/>
      <w:start w:val="3"/>
    </w:lvl>
  </w:abstractNum>
  <w:abstractNum w:abstractNumId="72">
    <w:nsid w:val="230F856C"/>
    <w:multiLevelType w:val="hybridMultilevel"/>
    <w:lvl w:ilvl="0">
      <w:lvlJc w:val="left"/>
      <w:lvlText w:val="%1."/>
      <w:numFmt w:val="decimal"/>
      <w:start w:val="4"/>
    </w:lvl>
  </w:abstractNum>
  <w:abstractNum w:abstractNumId="73">
    <w:nsid w:val="6EAA85FB"/>
    <w:multiLevelType w:val="hybridMultilevel"/>
    <w:lvl w:ilvl="0">
      <w:lvlJc w:val="left"/>
      <w:lvlText w:val="(%1)"/>
      <w:numFmt w:val="lowerLetter"/>
      <w:start w:val="1"/>
    </w:lvl>
  </w:abstractNum>
  <w:abstractNum w:abstractNumId="74">
    <w:nsid w:val="3F06ECB2"/>
    <w:multiLevelType w:val="hybridMultilevel"/>
    <w:lvl w:ilvl="0">
      <w:lvlJc w:val="left"/>
      <w:lvlText w:val="(%1)"/>
      <w:numFmt w:val="lowerLetter"/>
      <w:start w:val="2"/>
    </w:lvl>
  </w:abstractNum>
  <w:abstractNum w:abstractNumId="75">
    <w:nsid w:val="3B594807"/>
    <w:multiLevelType w:val="hybridMultilevel"/>
    <w:lvl w:ilvl="0">
      <w:lvlJc w:val="left"/>
      <w:lvlText w:val="(%1)"/>
      <w:numFmt w:val="lowerLetter"/>
      <w:start w:val="16"/>
    </w:lvl>
  </w:abstractNum>
  <w:abstractNum w:abstractNumId="76">
    <w:nsid w:val="6CAA2304"/>
    <w:multiLevelType w:val="hybridMultilevel"/>
    <w:lvl w:ilvl="0">
      <w:lvlJc w:val="left"/>
      <w:lvlText w:val="%1."/>
      <w:numFmt w:val="decimal"/>
      <w:start w:val="5"/>
    </w:lvl>
  </w:abstractNum>
  <w:abstractNum w:abstractNumId="77">
    <w:nsid w:val="3F7C2FF4"/>
    <w:multiLevelType w:val="hybridMultilevel"/>
    <w:lvl w:ilvl="0">
      <w:lvlJc w:val="left"/>
      <w:lvlText w:val="(%1)"/>
      <w:numFmt w:val="lowerLetter"/>
      <w:start w:val="1"/>
    </w:lvl>
  </w:abstractNum>
  <w:abstractNum w:abstractNumId="78">
    <w:nsid w:val="25413BEC"/>
    <w:multiLevelType w:val="hybridMultilevel"/>
    <w:lvl w:ilvl="0">
      <w:lvlJc w:val="left"/>
      <w:lvlText w:val="(%1)"/>
      <w:numFmt w:val="lowerLetter"/>
      <w:start w:val="3"/>
    </w:lvl>
  </w:abstractNum>
  <w:abstractNum w:abstractNumId="79">
    <w:nsid w:val="17180B0B"/>
    <w:multiLevelType w:val="hybridMultilevel"/>
    <w:lvl w:ilvl="0">
      <w:lvlJc w:val="left"/>
      <w:lvlText w:val="%1."/>
      <w:numFmt w:val="decimal"/>
      <w:start w:val="6"/>
    </w:lvl>
  </w:abstractNum>
  <w:abstractNum w:abstractNumId="80">
    <w:nsid w:val="579328B9"/>
    <w:multiLevelType w:val="hybridMultilevel"/>
    <w:lvl w:ilvl="0">
      <w:lvlJc w:val="left"/>
      <w:lvlText w:val="%1."/>
      <w:numFmt w:val="decimal"/>
      <w:start w:val="7"/>
    </w:lvl>
  </w:abstractNum>
  <w:abstractNum w:abstractNumId="81">
    <w:nsid w:val="5D205E20"/>
    <w:multiLevelType w:val="hybridMultilevel"/>
    <w:lvl w:ilvl="0">
      <w:lvlJc w:val="left"/>
      <w:lvlText w:val="%1."/>
      <w:numFmt w:val="decimal"/>
      <w:start w:val="8"/>
    </w:lvl>
  </w:abstractNum>
  <w:abstractNum w:abstractNumId="82">
    <w:nsid w:val="11CCA8BA"/>
    <w:multiLevelType w:val="hybridMultilevel"/>
    <w:lvl w:ilvl="0">
      <w:lvlJc w:val="left"/>
      <w:lvlText w:val="%1."/>
      <w:numFmt w:val="decimal"/>
      <w:start w:val="9"/>
    </w:lvl>
  </w:abstractNum>
  <w:abstractNum w:abstractNumId="83">
    <w:nsid w:val="4D32AB86"/>
    <w:multiLevelType w:val="hybridMultilevel"/>
    <w:lvl w:ilvl="0">
      <w:lvlJc w:val="left"/>
      <w:lvlText w:val="%1."/>
      <w:numFmt w:val="decimal"/>
      <w:start w:val="10"/>
    </w:lvl>
  </w:abstractNum>
  <w:abstractNum w:abstractNumId="84">
    <w:nsid w:val="3F07ACC3"/>
    <w:multiLevelType w:val="hybridMultilevel"/>
    <w:lvl w:ilvl="0">
      <w:lvlJc w:val="left"/>
      <w:lvlText w:val="(%1)"/>
      <w:numFmt w:val="lowerLetter"/>
      <w:start w:val="1"/>
    </w:lvl>
  </w:abstractNum>
  <w:abstractNum w:abstractNumId="85">
    <w:nsid w:val="6B47F63E"/>
    <w:multiLevelType w:val="hybridMultilevel"/>
    <w:lvl w:ilvl="0">
      <w:lvlJc w:val="left"/>
      <w:lvlText w:val="(%1)"/>
      <w:numFmt w:val="lowerLetter"/>
      <w:start w:val="26"/>
    </w:lvl>
  </w:abstractNum>
  <w:abstractNum w:abstractNumId="86">
    <w:nsid w:val="5CB44A05"/>
    <w:multiLevelType w:val="hybridMultilevel"/>
    <w:lvl w:ilvl="0">
      <w:lvlJc w:val="left"/>
      <w:lvlText w:val="%1."/>
      <w:numFmt w:val="decimal"/>
      <w:start w:val="11"/>
    </w:lvl>
    <w:lvl w:ilvl="1">
      <w:lvlJc w:val="left"/>
      <w:lvlText w:val="(%2)"/>
      <w:numFmt w:val="lowerLetter"/>
      <w:start w:val="1"/>
    </w:lvl>
  </w:abstractNum>
  <w:abstractNum w:abstractNumId="87">
    <w:nsid w:val="16CF80F1"/>
    <w:multiLevelType w:val="hybridMultilevel"/>
    <w:lvl w:ilvl="0">
      <w:lvlJc w:val="left"/>
      <w:lvlText w:val="%1"/>
      <w:numFmt w:val="decimal"/>
      <w:start w:val="1"/>
    </w:lvl>
    <w:lvl w:ilvl="1">
      <w:lvlJc w:val="left"/>
      <w:lvlText w:val="(%2)"/>
      <w:numFmt w:val="lowerLetter"/>
      <w:start w:val="2"/>
    </w:lvl>
  </w:abstractNum>
  <w:abstractNum w:abstractNumId="88">
    <w:nsid w:val="1C695DEC"/>
    <w:multiLevelType w:val="hybridMultilevel"/>
    <w:lvl w:ilvl="0">
      <w:lvlJc w:val="left"/>
      <w:lvlText w:val="%1."/>
      <w:numFmt w:val="decimal"/>
      <w:start w:val="12"/>
    </w:lvl>
    <w:lvl w:ilvl="1">
      <w:lvlJc w:val="left"/>
      <w:lvlText w:val="%2"/>
      <w:numFmt w:val="lowerLetter"/>
      <w:start w:val="1"/>
    </w:lvl>
  </w:abstractNum>
  <w:abstractNum w:abstractNumId="89">
    <w:nsid w:val="3FCFAED9"/>
    <w:multiLevelType w:val="hybridMultilevel"/>
    <w:lvl w:ilvl="0">
      <w:lvlJc w:val="left"/>
      <w:lvlText w:val="%1."/>
      <w:numFmt w:val="decimal"/>
      <w:start w:val="13"/>
    </w:lvl>
  </w:abstractNum>
  <w:abstractNum w:abstractNumId="90">
    <w:nsid w:val="F856867"/>
    <w:multiLevelType w:val="hybridMultilevel"/>
    <w:lvl w:ilvl="0">
      <w:lvlJc w:val="left"/>
      <w:lvlText w:val="%1."/>
      <w:numFmt w:val="decimal"/>
      <w:start w:val="15"/>
    </w:lvl>
  </w:abstractNum>
  <w:abstractNum w:abstractNumId="91">
    <w:nsid w:val="11B1CC33"/>
    <w:multiLevelType w:val="hybridMultilevel"/>
    <w:lvl w:ilvl="0">
      <w:lvlJc w:val="left"/>
      <w:lvlText w:val="%1."/>
      <w:numFmt w:val="decimal"/>
      <w:start w:val="17"/>
    </w:lvl>
  </w:abstractNum>
  <w:abstractNum w:abstractNumId="92">
    <w:nsid w:val="2E22FBB7"/>
    <w:multiLevelType w:val="hybridMultilevel"/>
    <w:lvl w:ilvl="0">
      <w:lvlJc w:val="left"/>
      <w:lvlText w:val="(%1)"/>
      <w:numFmt w:val="lowerLetter"/>
      <w:start w:val="1"/>
    </w:lvl>
  </w:abstractNum>
  <w:abstractNum w:abstractNumId="93">
    <w:nsid w:val="29934699"/>
    <w:multiLevelType w:val="hybridMultilevel"/>
    <w:lvl w:ilvl="0">
      <w:lvlJc w:val="left"/>
      <w:lvlText w:val="%1."/>
      <w:numFmt w:val="decimal"/>
      <w:start w:val="21"/>
    </w:lvl>
  </w:abstractNum>
  <w:abstractNum w:abstractNumId="94">
    <w:nsid w:val="77485850"/>
    <w:multiLevelType w:val="hybridMultilevel"/>
    <w:lvl w:ilvl="0">
      <w:lvlJc w:val="left"/>
      <w:lvlText w:val="%1."/>
      <w:numFmt w:val="decimal"/>
      <w:start w:val="25"/>
    </w:lvl>
  </w:abstractNum>
  <w:abstractNum w:abstractNumId="95">
    <w:nsid w:val="744939A3"/>
    <w:multiLevelType w:val="hybridMultilevel"/>
    <w:lvl w:ilvl="0">
      <w:lvlJc w:val="left"/>
      <w:lvlText w:val="(%1)"/>
      <w:numFmt w:val="lowerLetter"/>
      <w:start w:val="1"/>
    </w:lvl>
  </w:abstractNum>
  <w:abstractNum w:abstractNumId="96">
    <w:nsid w:val="4FA0D2E3"/>
    <w:multiLevelType w:val="hybridMultilevel"/>
    <w:lvl w:ilvl="0">
      <w:lvlJc w:val="left"/>
      <w:lvlText w:val="(%1)"/>
      <w:numFmt w:val="lowerLetter"/>
      <w:start w:val="1"/>
    </w:lvl>
  </w:abstractNum>
  <w:abstractNum w:abstractNumId="97">
    <w:nsid w:val="6B1D2C14"/>
    <w:multiLevelType w:val="hybridMultilevel"/>
    <w:lvl w:ilvl="0">
      <w:lvlJc w:val="left"/>
      <w:lvlText w:val="(%1)"/>
      <w:numFmt w:val="lowerLetter"/>
      <w:start w:val="27"/>
    </w:lvl>
  </w:abstractNum>
  <w:abstractNum w:abstractNumId="98">
    <w:nsid w:val="68B867D3"/>
    <w:multiLevelType w:val="hybridMultilevel"/>
    <w:lvl w:ilvl="0">
      <w:lvlJc w:val="left"/>
      <w:lvlText w:val="%1)"/>
      <w:numFmt w:val="decimal"/>
      <w:start w:val="1"/>
    </w:lvl>
  </w:abstractNum>
  <w:abstractNum w:abstractNumId="99">
    <w:nsid w:val="3F7F5DD9"/>
    <w:multiLevelType w:val="hybridMultilevel"/>
    <w:lvl w:ilvl="0">
      <w:lvlJc w:val="left"/>
      <w:lvlText w:val="%1)"/>
      <w:numFmt w:val="decimal"/>
      <w:start w:val="3"/>
    </w:lvl>
  </w:abstractNum>
  <w:abstractNum w:abstractNumId="100">
    <w:nsid w:val="2AE05A34"/>
    <w:multiLevelType w:val="hybridMultilevel"/>
    <w:lvl w:ilvl="0">
      <w:lvlJc w:val="left"/>
      <w:lvlText w:val="%1."/>
      <w:numFmt w:val="decimal"/>
      <w:start w:val="1"/>
    </w:lvl>
    <w:lvl w:ilvl="1">
      <w:lvlJc w:val="left"/>
      <w:lvlText w:val="(%2)"/>
      <w:numFmt w:val="lowerLetter"/>
      <w:start w:val="1"/>
    </w:lvl>
  </w:abstractNum>
  <w:abstractNum w:abstractNumId="101">
    <w:nsid w:val="32794FF7"/>
    <w:multiLevelType w:val="hybridMultilevel"/>
    <w:lvl w:ilvl="0">
      <w:lvlJc w:val="left"/>
      <w:lvlText w:val="%1."/>
      <w:numFmt w:val="decimal"/>
      <w:start w:val="4"/>
    </w:lvl>
    <w:lvl w:ilvl="1">
      <w:lvlJc w:val="left"/>
      <w:lvlText w:val="(%2)"/>
      <w:numFmt w:val="lowerLetter"/>
      <w:start w:val="1"/>
    </w:lvl>
  </w:abstractNum>
  <w:abstractNum w:abstractNumId="102">
    <w:nsid w:val="5454945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3">
    <w:nsid w:val="4DEFDFA0"/>
    <w:multiLevelType w:val="hybridMultilevel"/>
    <w:lvl w:ilvl="0">
      <w:lvlJc w:val="left"/>
      <w:lvlText w:val="%1."/>
      <w:numFmt w:val="decimal"/>
      <w:start w:val="9"/>
    </w:lvl>
    <w:lvl w:ilvl="1">
      <w:lvlJc w:val="left"/>
      <w:lvlText w:val="(%2)"/>
      <w:numFmt w:val="lowerLetter"/>
      <w:start w:val="1"/>
    </w:lvl>
  </w:abstractNum>
  <w:abstractNum w:abstractNumId="104">
    <w:nsid w:val="2123D5F2"/>
    <w:multiLevelType w:val="hybridMultilevel"/>
    <w:lvl w:ilvl="0">
      <w:lvlJc w:val="left"/>
      <w:lvlText w:val="%1."/>
      <w:numFmt w:val="decimal"/>
      <w:start w:val="10"/>
    </w:lvl>
  </w:abstractNum>
  <w:abstractNum w:abstractNumId="105">
    <w:nsid w:val="135B8110"/>
    <w:multiLevelType w:val="hybridMultilevel"/>
    <w:lvl w:ilvl="0">
      <w:lvlJc w:val="left"/>
      <w:lvlText w:val="%1."/>
      <w:numFmt w:val="decimal"/>
      <w:start w:val="12"/>
    </w:lvl>
  </w:abstractNum>
  <w:abstractNum w:abstractNumId="106">
    <w:nsid w:val="94927A8"/>
    <w:multiLevelType w:val="hybridMultilevel"/>
    <w:lvl w:ilvl="0">
      <w:lvlJc w:val="left"/>
      <w:lvlText w:val="%1."/>
      <w:numFmt w:val="decimal"/>
      <w:start w:val="14"/>
    </w:lvl>
  </w:abstractNum>
  <w:abstractNum w:abstractNumId="107">
    <w:nsid w:val="DCDF8F6"/>
    <w:multiLevelType w:val="hybridMultilevel"/>
    <w:lvl w:ilvl="0">
      <w:lvlJc w:val="left"/>
      <w:lvlText w:val="%1."/>
      <w:numFmt w:val="decimal"/>
      <w:start w:val="20"/>
    </w:lvl>
  </w:abstractNum>
  <w:abstractNum w:abstractNumId="108">
    <w:nsid w:val="52D7B105"/>
    <w:multiLevelType w:val="hybridMultilevel"/>
    <w:lvl w:ilvl="0">
      <w:lvlJc w:val="left"/>
      <w:lvlText w:val="%1."/>
      <w:numFmt w:val="decimal"/>
      <w:start w:val="22"/>
    </w:lvl>
  </w:abstractNum>
  <w:abstractNum w:abstractNumId="109">
    <w:nsid w:val="2E8A6394"/>
    <w:multiLevelType w:val="hybridMultilevel"/>
    <w:lvl w:ilvl="0">
      <w:lvlJc w:val="left"/>
      <w:lvlText w:val="%1)"/>
      <w:numFmt w:val="decimal"/>
      <w:start w:val="1"/>
    </w:lvl>
  </w:abstractNum>
  <w:abstractNum w:abstractNumId="110">
    <w:nsid w:val="24E60401"/>
    <w:multiLevelType w:val="hybridMultilevel"/>
    <w:lvl w:ilvl="0">
      <w:lvlJc w:val="left"/>
      <w:lvlText w:val="%1)"/>
      <w:numFmt w:val="decimal"/>
      <w:start w:val="4"/>
    </w:lvl>
  </w:abstractNum>
  <w:abstractNum w:abstractNumId="111">
    <w:nsid w:val="2A6AD9BE"/>
    <w:multiLevelType w:val="hybridMultilevel"/>
    <w:lvl w:ilvl="0">
      <w:lvlJc w:val="left"/>
      <w:lvlText w:val="%1."/>
      <w:numFmt w:val="decimal"/>
      <w:start w:val="1"/>
    </w:lvl>
    <w:lvl w:ilvl="1">
      <w:lvlJc w:val="left"/>
      <w:lvlText w:val="(%2)"/>
      <w:numFmt w:val="lowerLetter"/>
      <w:start w:val="1"/>
    </w:lvl>
  </w:abstractNum>
  <w:abstractNum w:abstractNumId="112">
    <w:nsid w:val="BAAC1B4"/>
    <w:multiLevelType w:val="hybridMultilevel"/>
    <w:lvl w:ilvl="0">
      <w:lvlJc w:val="left"/>
      <w:lvlText w:val="(%1)"/>
      <w:numFmt w:val="lowerLetter"/>
      <w:start w:val="2"/>
    </w:lvl>
    <w:lvl w:ilvl="1">
      <w:lvlJc w:val="left"/>
      <w:lvlText w:val="%2"/>
      <w:numFmt w:val="lowerRoman"/>
      <w:start w:val="1"/>
    </w:lvl>
  </w:abstractNum>
  <w:abstractNum w:abstractNumId="113">
    <w:nsid w:val="36B2ACBC"/>
    <w:multiLevelType w:val="hybridMultilevel"/>
    <w:lvl w:ilvl="0">
      <w:lvlJc w:val="left"/>
      <w:lvlText w:val="(%1)"/>
      <w:numFmt w:val="lowerLetter"/>
      <w:start w:val="9"/>
    </w:lvl>
    <w:lvl w:ilvl="1">
      <w:lvlJc w:val="left"/>
      <w:lvlText w:val="(%2)"/>
      <w:numFmt w:val="lowerRoman"/>
      <w:start w:val="2"/>
    </w:lvl>
  </w:abstractNum>
  <w:abstractNum w:abstractNumId="114">
    <w:nsid w:val="779D8544"/>
    <w:multiLevelType w:val="hybridMultilevel"/>
    <w:lvl w:ilvl="0">
      <w:lvlJc w:val="left"/>
      <w:lvlText w:val="%1."/>
      <w:numFmt w:val="decimal"/>
      <w:start w:val="7"/>
    </w:lvl>
    <w:lvl w:ilvl="1">
      <w:lvlJc w:val="left"/>
      <w:lvlText w:val="(%2)"/>
      <w:numFmt w:val="lowerLetter"/>
      <w:start w:val="1"/>
    </w:lvl>
  </w:abstractNum>
  <w:abstractNum w:abstractNumId="115">
    <w:nsid w:val="4AB26E78"/>
    <w:multiLevelType w:val="hybridMultilevel"/>
    <w:lvl w:ilvl="0">
      <w:lvlJc w:val="left"/>
      <w:lvlText w:val="%1."/>
      <w:numFmt w:val="decimal"/>
      <w:start w:val="8"/>
    </w:lvl>
  </w:abstractNum>
  <w:abstractNum w:abstractNumId="116">
    <w:nsid w:val="21FAA2FA"/>
    <w:multiLevelType w:val="hybridMultilevel"/>
    <w:lvl w:ilvl="0">
      <w:lvlJc w:val="left"/>
      <w:lvlText w:val="%1."/>
      <w:numFmt w:val="decimal"/>
      <w:start w:val="10"/>
    </w:lvl>
  </w:abstractNum>
  <w:abstractNum w:abstractNumId="117">
    <w:nsid w:val="5451CF49"/>
    <w:multiLevelType w:val="hybridMultilevel"/>
    <w:lvl w:ilvl="0">
      <w:lvlJc w:val="left"/>
      <w:lvlText w:val="%1."/>
      <w:numFmt w:val="decimal"/>
      <w:start w:val="12"/>
    </w:lvl>
  </w:abstractNum>
  <w:abstractNum w:abstractNumId="118">
    <w:nsid w:val="6181EF69"/>
    <w:multiLevelType w:val="hybridMultilevel"/>
    <w:lvl w:ilvl="0">
      <w:lvlJc w:val="left"/>
      <w:lvlText w:val="%1."/>
      <w:numFmt w:val="decimal"/>
      <w:start w:val="18"/>
    </w:lvl>
  </w:abstractNum>
  <w:abstractNum w:abstractNumId="119">
    <w:nsid w:val="3E6400E6"/>
    <w:multiLevelType w:val="hybridMultilevel"/>
    <w:lvl w:ilvl="0">
      <w:lvlJc w:val="left"/>
      <w:lvlText w:val="%1."/>
      <w:numFmt w:val="decimal"/>
      <w:start w:val="20"/>
    </w:lvl>
  </w:abstractNum>
  <w:abstractNum w:abstractNumId="120">
    <w:nsid w:val="14217E23"/>
    <w:multiLevelType w:val="hybridMultilevel"/>
    <w:lvl w:ilvl="0">
      <w:lvlJc w:val="left"/>
      <w:lvlText w:val="%1."/>
      <w:numFmt w:val="decimal"/>
      <w:start w:val="1"/>
    </w:lvl>
    <w:lvl w:ilvl="1">
      <w:lvlJc w:val="left"/>
      <w:lvlText w:val="%2)"/>
      <w:numFmt w:val="lowerLetter"/>
      <w:start w:val="1"/>
    </w:lvl>
  </w:abstractNum>
  <w:abstractNum w:abstractNumId="121">
    <w:nsid w:val="710757D0"/>
    <w:multiLevelType w:val="hybridMultilevel"/>
    <w:lvl w:ilvl="0">
      <w:lvlJc w:val="left"/>
      <w:lvlText w:val="%1."/>
      <w:numFmt w:val="lowerRoman"/>
      <w:start w:val="1"/>
    </w:lvl>
    <w:lvl w:ilvl="1">
      <w:lvlJc w:val="left"/>
      <w:lvlText w:val="%2)"/>
      <w:numFmt w:val="decimal"/>
      <w:start w:val="1"/>
    </w:lvl>
  </w:abstractNum>
  <w:abstractNum w:abstractNumId="122">
    <w:nsid w:val="5015CD1A"/>
    <w:multiLevelType w:val="hybridMultilevel"/>
    <w:lvl w:ilvl="0">
      <w:lvlJc w:val="left"/>
      <w:lvlText w:val="%1)"/>
      <w:numFmt w:val="lowerLetter"/>
      <w:start w:val="4"/>
    </w:lvl>
  </w:abstractNum>
  <w:abstractNum w:abstractNumId="123">
    <w:nsid w:val="424479DA"/>
    <w:multiLevelType w:val="hybridMultilevel"/>
    <w:lvl w:ilvl="0">
      <w:lvlJc w:val="left"/>
      <w:lvlText w:val="%1."/>
      <w:numFmt w:val="decimal"/>
      <w:start w:val="3"/>
    </w:lvl>
    <w:lvl w:ilvl="1">
      <w:lvlJc w:val="left"/>
      <w:lvlText w:val="%2)"/>
      <w:numFmt w:val="lowerLetter"/>
      <w:start w:val="1"/>
    </w:lvl>
  </w:abstractNum>
  <w:abstractNum w:abstractNumId="124">
    <w:nsid w:val="1A9A9E69"/>
    <w:multiLevelType w:val="hybridMultilevel"/>
    <w:lvl w:ilvl="0">
      <w:lvlJc w:val="left"/>
      <w:lvlText w:val="%1."/>
      <w:numFmt w:val="decimal"/>
      <w:start w:val="8"/>
    </w:lvl>
  </w:abstractNum>
  <w:abstractNum w:abstractNumId="125">
    <w:nsid w:val="475E256A"/>
    <w:multiLevelType w:val="hybridMultilevel"/>
    <w:lvl w:ilvl="0">
      <w:lvlJc w:val="left"/>
      <w:lvlText w:val="%1."/>
      <w:numFmt w:val="decimal"/>
      <w:start w:val="12"/>
    </w:lvl>
  </w:abstractNum>
  <w:abstractNum w:abstractNumId="126">
    <w:nsid w:val="368DB37E"/>
    <w:multiLevelType w:val="hybridMultilevel"/>
    <w:lvl w:ilvl="0">
      <w:lvlJc w:val="left"/>
      <w:lvlText w:val="%1."/>
      <w:numFmt w:val="decimal"/>
      <w:start w:val="1"/>
    </w:lvl>
  </w:abstractNum>
  <w:abstractNum w:abstractNumId="127">
    <w:nsid w:val="6A3B714C"/>
    <w:multiLevelType w:val="hybridMultilevel"/>
    <w:lvl w:ilvl="0">
      <w:lvlJc w:val="left"/>
      <w:lvlText w:val="%1."/>
      <w:numFmt w:val="decimal"/>
      <w:start w:val="2"/>
    </w:lvl>
  </w:abstractNum>
  <w:abstractNum w:abstractNumId="128">
    <w:nsid w:val="327B517E"/>
    <w:multiLevelType w:val="hybridMultilevel"/>
    <w:lvl w:ilvl="0">
      <w:lvlJc w:val="left"/>
      <w:lvlText w:val="(%1)"/>
      <w:numFmt w:val="lowerLetter"/>
      <w:start w:val="1"/>
    </w:lvl>
    <w:lvl w:ilvl="1">
      <w:lvlJc w:val="left"/>
      <w:lvlText w:val="(%2)"/>
      <w:numFmt w:val="lowerRoman"/>
      <w:start w:val="1"/>
    </w:lvl>
  </w:abstractNum>
  <w:abstractNum w:abstractNumId="129">
    <w:nsid w:val="1F461B51"/>
    <w:multiLevelType w:val="hybridMultilevel"/>
    <w:lvl w:ilvl="0">
      <w:lvlJc w:val="left"/>
      <w:lvlText w:val="(%1)"/>
      <w:numFmt w:val="lowerLetter"/>
      <w:start w:val="2"/>
    </w:lvl>
    <w:lvl w:ilvl="1">
      <w:lvlJc w:val="left"/>
      <w:lvlText w:val="(%2)"/>
      <w:numFmt w:val="lowerRoman"/>
      <w:start w:val="1"/>
    </w:lvl>
  </w:abstractNum>
  <w:abstractNum w:abstractNumId="130">
    <w:nsid w:val="29BACF25"/>
    <w:multiLevelType w:val="hybridMultilevel"/>
    <w:lvl w:ilvl="0">
      <w:lvlJc w:val="left"/>
      <w:lvlText w:val="%1"/>
      <w:numFmt w:val="decimal"/>
      <w:start w:val="1"/>
    </w:lvl>
    <w:lvl w:ilvl="1">
      <w:lvlJc w:val="left"/>
      <w:lvlText w:val="(%2)"/>
      <w:numFmt w:val="lowerLetter"/>
      <w:start w:val="3"/>
    </w:lvl>
  </w:abstractNum>
  <w:abstractNum w:abstractNumId="131">
    <w:nsid w:val="5D5BABB3"/>
    <w:multiLevelType w:val="hybridMultilevel"/>
    <w:lvl w:ilvl="0">
      <w:lvlJc w:val="left"/>
      <w:lvlText w:val="%1."/>
      <w:numFmt w:val="decimal"/>
      <w:start w:val="3"/>
    </w:lvl>
    <w:lvl w:ilvl="1">
      <w:lvlJc w:val="left"/>
      <w:lvlText w:val="(%2)"/>
      <w:numFmt w:val="lowerLetter"/>
      <w:start w:val="1"/>
    </w:lvl>
  </w:abstractNum>
  <w:abstractNum w:abstractNumId="132">
    <w:nsid w:val="51BF6B48"/>
    <w:multiLevelType w:val="hybridMultilevel"/>
    <w:lvl w:ilvl="0">
      <w:lvlJc w:val="left"/>
      <w:lvlText w:val="%1"/>
      <w:numFmt w:val="lowerLetter"/>
      <w:start w:val="1"/>
    </w:lvl>
    <w:lvl w:ilvl="1">
      <w:lvlJc w:val="left"/>
      <w:lvlText w:val="(%2)"/>
      <w:numFmt w:val="lowerLetter"/>
      <w:start w:val="3"/>
    </w:lvl>
  </w:abstractNum>
  <w:abstractNum w:abstractNumId="133">
    <w:nsid w:val="7E0F6384"/>
    <w:multiLevelType w:val="hybridMultilevel"/>
    <w:lvl w:ilvl="0">
      <w:lvlJc w:val="left"/>
      <w:lvlText w:val="(%1)"/>
      <w:numFmt w:val="lowerLetter"/>
      <w:start w:val="9"/>
    </w:lvl>
    <w:lvl w:ilvl="1">
      <w:lvlJc w:val="left"/>
      <w:lvlText w:val="%2"/>
      <w:numFmt w:val="lowerLetter"/>
      <w:start w:val="1"/>
    </w:lvl>
  </w:abstractNum>
  <w:abstractNum w:abstractNumId="134">
    <w:nsid w:val="2B4B8B5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35">
    <w:nsid w:val="72E3413A"/>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136">
    <w:nsid w:val="116AE49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37">
    <w:nsid w:val="3494B2FB"/>
    <w:multiLevelType w:val="hybridMultilevel"/>
    <w:lvl w:ilvl="0">
      <w:lvlJc w:val="left"/>
      <w:lvlText w:val="%1"/>
      <w:numFmt w:val="decimal"/>
      <w:start w:val="1"/>
    </w:lvl>
    <w:lvl w:ilvl="1">
      <w:lvlJc w:val="left"/>
      <w:lvlText w:val="(%2)"/>
      <w:numFmt w:val="lowerLetter"/>
      <w:start w:val="2"/>
    </w:lvl>
  </w:abstractNum>
  <w:abstractNum w:abstractNumId="138">
    <w:nsid w:val="B13A31"/>
    <w:multiLevelType w:val="hybridMultilevel"/>
    <w:lvl w:ilvl="0">
      <w:lvlJc w:val="left"/>
      <w:lvlText w:val="%1."/>
      <w:numFmt w:val="decimal"/>
      <w:start w:val="6"/>
    </w:lvl>
    <w:lvl w:ilvl="1">
      <w:lvlJc w:val="left"/>
      <w:lvlText w:val="(%2)"/>
      <w:numFmt w:val="lowerLetter"/>
      <w:start w:val="1"/>
    </w:lvl>
  </w:abstractNum>
  <w:abstractNum w:abstractNumId="139">
    <w:nsid w:val="64429599"/>
    <w:multiLevelType w:val="hybridMultilevel"/>
    <w:lvl w:ilvl="0">
      <w:lvlJc w:val="left"/>
      <w:lvlText w:val="%1."/>
      <w:numFmt w:val="decimal"/>
      <w:start w:val="7"/>
    </w:lvl>
    <w:lvl w:ilvl="1">
      <w:lvlJc w:val="left"/>
      <w:lvlText w:val="(%2)"/>
      <w:numFmt w:val="lowerLetter"/>
      <w:start w:val="1"/>
    </w:lvl>
  </w:abstractNum>
  <w:abstractNum w:abstractNumId="140">
    <w:nsid w:val="631F1690"/>
    <w:multiLevelType w:val="hybridMultilevel"/>
    <w:lvl w:ilvl="0">
      <w:lvlJc w:val="left"/>
      <w:lvlText w:val="(%1)"/>
      <w:numFmt w:val="lowerLetter"/>
      <w:start w:val="2"/>
    </w:lvl>
  </w:abstractNum>
  <w:abstractNum w:abstractNumId="141">
    <w:nsid w:val="25973E32"/>
    <w:multiLevelType w:val="hybridMultilevel"/>
    <w:lvl w:ilvl="0">
      <w:lvlJc w:val="left"/>
      <w:lvlText w:val="(%1)"/>
      <w:numFmt w:val="lowerLetter"/>
      <w:start w:val="4"/>
    </w:lvl>
  </w:abstractNum>
  <w:abstractNum w:abstractNumId="142">
    <w:nsid w:val="EAD6F57"/>
    <w:multiLevelType w:val="hybridMultilevel"/>
    <w:lvl w:ilvl="0">
      <w:lvlJc w:val="left"/>
      <w:lvlText w:val="%1."/>
      <w:numFmt w:val="decimal"/>
      <w:start w:val="1"/>
    </w:lvl>
  </w:abstractNum>
  <w:abstractNum w:abstractNumId="143">
    <w:nsid w:val="6EC9D844"/>
    <w:multiLevelType w:val="hybridMultilevel"/>
    <w:lvl w:ilvl="0">
      <w:lvlJc w:val="left"/>
      <w:lvlText w:val="(%1)"/>
      <w:numFmt w:val="lowerLetter"/>
      <w:start w:val="2"/>
    </w:lvl>
  </w:abstractNum>
  <w:abstractNum w:abstractNumId="144">
    <w:nsid w:val="5C49EAEE"/>
    <w:multiLevelType w:val="hybridMultilevel"/>
    <w:lvl w:ilvl="0">
      <w:lvlJc w:val="left"/>
      <w:lvlText w:val="(%1)"/>
      <w:numFmt w:val="lowerRoman"/>
      <w:start w:val="10"/>
    </w:lvl>
  </w:abstractNum>
  <w:abstractNum w:abstractNumId="145">
    <w:nsid w:val="64AF49B"/>
    <w:multiLevelType w:val="hybridMultilevel"/>
    <w:lvl w:ilvl="0">
      <w:lvlJc w:val="left"/>
      <w:lvlText w:val="(%1)"/>
      <w:numFmt w:val="lowerRoman"/>
      <w:start w:val="2"/>
    </w:lvl>
  </w:abstractNum>
  <w:abstractNum w:abstractNumId="146">
    <w:nsid w:val="397C46BC"/>
    <w:multiLevelType w:val="hybridMultilevel"/>
    <w:lvl w:ilvl="0">
      <w:lvlJc w:val="left"/>
      <w:lvlText w:val="(%1)"/>
      <w:numFmt w:val="lowerLetter"/>
      <w:start w:val="7"/>
    </w:lvl>
  </w:abstractNum>
  <w:abstractNum w:abstractNumId="147">
    <w:nsid w:val="7E448DE9"/>
    <w:multiLevelType w:val="hybridMultilevel"/>
    <w:lvl w:ilvl="0">
      <w:lvlJc w:val="left"/>
      <w:lvlText w:val="(%1)"/>
      <w:numFmt w:val="lowerLetter"/>
      <w:start w:val="1"/>
    </w:lvl>
  </w:abstractNum>
  <w:abstractNum w:abstractNumId="148">
    <w:nsid w:val="5A9CC3E5"/>
    <w:multiLevelType w:val="hybridMultilevel"/>
    <w:lvl w:ilvl="0">
      <w:lvlJc w:val="left"/>
      <w:lvlText w:val="(%1)"/>
      <w:numFmt w:val="lowerLetter"/>
      <w:start w:val="1"/>
    </w:lvl>
  </w:abstractNum>
  <w:abstractNum w:abstractNumId="149">
    <w:nsid w:val="1AFE3625"/>
    <w:multiLevelType w:val="hybridMultilevel"/>
    <w:lvl w:ilvl="0">
      <w:lvlJc w:val="left"/>
      <w:lvlText w:val="(%1)"/>
      <w:numFmt w:val="lowerLetter"/>
      <w:start w:val="7"/>
    </w:lvl>
  </w:abstractNum>
  <w:abstractNum w:abstractNumId="150">
    <w:nsid w:val="3CA88ECF"/>
    <w:multiLevelType w:val="hybridMultilevel"/>
    <w:lvl w:ilvl="0">
      <w:lvlJc w:val="left"/>
      <w:lvlText w:val="(%1)"/>
      <w:numFmt w:val="lowerLetter"/>
      <w:start w:val="26"/>
    </w:lvl>
  </w:abstractNum>
  <w:abstractNum w:abstractNumId="151">
    <w:nsid w:val="6EBE4208"/>
    <w:multiLevelType w:val="hybridMultilevel"/>
    <w:lvl w:ilvl="0">
      <w:lvlJc w:val="left"/>
      <w:lvlText w:val="(%1)"/>
      <w:numFmt w:val="lowerLetter"/>
      <w:start w:val="15"/>
    </w:lvl>
  </w:abstractNum>
  <w:abstractNum w:abstractNumId="152">
    <w:nsid w:val="C058DF5"/>
    <w:multiLevelType w:val="hybridMultilevel"/>
    <w:lvl w:ilvl="0">
      <w:lvlJc w:val="left"/>
      <w:lvlText w:val="%1"/>
      <w:numFmt w:val="lowerLetter"/>
      <w:start w:val="1"/>
    </w:lvl>
    <w:lvl w:ilvl="1">
      <w:lvlJc w:val="left"/>
      <w:lvlText w:val="(%2)"/>
      <w:numFmt w:val="lowerLetter"/>
      <w:start w:val="18"/>
    </w:lvl>
  </w:abstractNum>
  <w:abstractNum w:abstractNumId="153">
    <w:nsid w:val="CBE5BE9"/>
    <w:multiLevelType w:val="hybridMultilevel"/>
    <w:lvl w:ilvl="0">
      <w:lvlJc w:val="left"/>
      <w:lvlText w:val="(%1)"/>
      <w:numFmt w:val="lowerLetter"/>
      <w:start w:val="35"/>
    </w:lvl>
    <w:lvl w:ilvl="1">
      <w:lvlJc w:val="left"/>
      <w:lvlText w:val="(%2)"/>
      <w:numFmt w:val="lowerLetter"/>
      <w:start w:val="21"/>
    </w:lvl>
  </w:abstractNum>
  <w:abstractNum w:abstractNumId="154">
    <w:nsid w:val="3102BBE2"/>
    <w:multiLevelType w:val="hybridMultilevel"/>
    <w:lvl w:ilvl="0">
      <w:lvlJc w:val="left"/>
      <w:lvlText w:val="%1"/>
      <w:numFmt w:val="lowerLetter"/>
      <w:start w:val="1"/>
    </w:lvl>
    <w:lvl w:ilvl="1">
      <w:lvlJc w:val="left"/>
      <w:lvlText w:val="(%2)"/>
      <w:numFmt w:val="lowerLetter"/>
      <w:start w:val="8"/>
    </w:lvl>
  </w:abstractNum>
  <w:abstractNum w:abstractNumId="155">
    <w:nsid w:val="26A02C5E"/>
    <w:multiLevelType w:val="hybridMultilevel"/>
    <w:lvl w:ilvl="0">
      <w:lvlJc w:val="left"/>
      <w:lvlText w:val="(%1)"/>
      <w:numFmt w:val="lowerLetter"/>
      <w:start w:val="16"/>
    </w:lvl>
    <w:lvl w:ilvl="1">
      <w:lvlJc w:val="left"/>
      <w:lvlText w:val="%2"/>
      <w:numFmt w:val="lowerLetter"/>
      <w:start w:val="1"/>
    </w:lvl>
  </w:abstractNum>
  <w:abstractNum w:abstractNumId="156">
    <w:nsid w:val="541C8153"/>
    <w:multiLevelType w:val="hybridMultilevel"/>
    <w:lvl w:ilvl="0">
      <w:lvlJc w:val="left"/>
      <w:lvlText w:val="(%1)"/>
      <w:numFmt w:val="lowerLetter"/>
      <w:start w:val="1"/>
    </w:lvl>
  </w:abstractNum>
  <w:abstractNum w:abstractNumId="157">
    <w:nsid w:val="67906F60"/>
    <w:multiLevelType w:val="hybridMultilevel"/>
    <w:lvl w:ilvl="0">
      <w:lvlJc w:val="left"/>
      <w:lvlText w:val="(%1)"/>
      <w:numFmt w:val="lowerLetter"/>
      <w:start w:val="2"/>
    </w:lvl>
  </w:abstractNum>
  <w:abstractNum w:abstractNumId="158">
    <w:nsid w:val="10DB9DAA"/>
    <w:multiLevelType w:val="hybridMultilevel"/>
    <w:lvl w:ilvl="0">
      <w:lvlJc w:val="left"/>
      <w:lvlText w:val="(%1)"/>
      <w:numFmt w:val="lowerLetter"/>
      <w:start w:val="1"/>
    </w:lvl>
  </w:abstractNum>
  <w:abstractNum w:abstractNumId="159">
    <w:nsid w:val="697D2D2"/>
    <w:multiLevelType w:val="hybridMultilevel"/>
    <w:lvl w:ilvl="0">
      <w:lvlJc w:val="left"/>
      <w:lvlText w:val="(%1)"/>
      <w:numFmt w:val="lowerLetter"/>
      <w:start w:val="8"/>
    </w:lvl>
  </w:abstractNum>
  <w:abstractNum w:abstractNumId="160">
    <w:nsid w:val="6D68AB2"/>
    <w:multiLevelType w:val="hybridMultilevel"/>
    <w:lvl w:ilvl="0">
      <w:lvlJc w:val="left"/>
      <w:lvlText w:val="(%1)"/>
      <w:numFmt w:val="lowerLetter"/>
      <w:start w:val="1"/>
    </w:lvl>
  </w:abstractNum>
  <w:abstractNum w:abstractNumId="161">
    <w:nsid w:val="3A966CD0"/>
    <w:multiLevelType w:val="hybridMultilevel"/>
    <w:lvl w:ilvl="0">
      <w:lvlJc w:val="left"/>
      <w:lvlText w:val="%1."/>
      <w:numFmt w:val="decimal"/>
      <w:start w:val="2"/>
    </w:lvl>
  </w:abstractNum>
  <w:abstractNum w:abstractNumId="162">
    <w:nsid w:val="63F37E85"/>
    <w:multiLevelType w:val="hybridMultilevel"/>
    <w:lvl w:ilvl="0">
      <w:lvlJc w:val="left"/>
      <w:lvlText w:val="(%1)"/>
      <w:numFmt w:val="lowerLetter"/>
      <w:start w:val="1"/>
    </w:lvl>
    <w:lvl w:ilvl="1">
      <w:lvlJc w:val="left"/>
      <w:lvlText w:val="(%2)"/>
      <w:numFmt w:val="lowerRoman"/>
      <w:start w:val="1"/>
    </w:lvl>
  </w:abstractNum>
  <w:abstractNum w:abstractNumId="163">
    <w:nsid w:val="5895F5FA"/>
    <w:multiLevelType w:val="hybridMultilevel"/>
    <w:lvl w:ilvl="0">
      <w:lvlJc w:val="left"/>
      <w:lvlText w:val="%1"/>
      <w:numFmt w:val="lowerLetter"/>
      <w:start w:val="1"/>
    </w:lvl>
    <w:lvl w:ilvl="1">
      <w:lvlJc w:val="left"/>
      <w:lvlText w:val="(%2)"/>
      <w:numFmt w:val="lowerRoman"/>
      <w:start w:val="4"/>
    </w:lvl>
  </w:abstractNum>
  <w:abstractNum w:abstractNumId="164">
    <w:nsid w:val="38A5D054"/>
    <w:multiLevelType w:val="hybridMultilevel"/>
    <w:lvl w:ilvl="0">
      <w:lvlJc w:val="left"/>
      <w:lvlText w:val="(%1)"/>
      <w:numFmt w:val="lowerLetter"/>
      <w:start w:val="2"/>
    </w:lvl>
    <w:lvl w:ilvl="1">
      <w:lvlJc w:val="left"/>
      <w:lvlText w:val="%2"/>
      <w:numFmt w:val="lowerRoman"/>
      <w:start w:val="1"/>
    </w:lvl>
  </w:abstractNum>
  <w:abstractNum w:abstractNumId="165">
    <w:nsid w:val="F3F09D8"/>
    <w:multiLevelType w:val="hybridMultilevel"/>
    <w:lvl w:ilvl="0">
      <w:lvlJc w:val="left"/>
      <w:lvlText w:val="(%1)"/>
      <w:numFmt w:val="lowerLetter"/>
      <w:start w:val="1"/>
    </w:lvl>
  </w:abstractNum>
  <w:abstractNum w:abstractNumId="166">
    <w:nsid w:val="4B793735"/>
    <w:multiLevelType w:val="hybridMultilevel"/>
    <w:lvl w:ilvl="0">
      <w:lvlJc w:val="left"/>
      <w:lvlText w:val="(%1)"/>
      <w:numFmt w:val="lowerLetter"/>
      <w:start w:val="1"/>
    </w:lvl>
  </w:abstractNum>
  <w:abstractNum w:abstractNumId="167">
    <w:nsid w:val="4A10B4E8"/>
    <w:multiLevelType w:val="hybridMultilevel"/>
    <w:lvl w:ilvl="0">
      <w:lvlJc w:val="left"/>
      <w:lvlText w:val="(%1)"/>
      <w:numFmt w:val="lowerLetter"/>
      <w:start w:val="2"/>
    </w:lvl>
  </w:abstractNum>
  <w:abstractNum w:abstractNumId="168">
    <w:nsid w:val="43D3BCD4"/>
    <w:multiLevelType w:val="hybridMultilevel"/>
    <w:lvl w:ilvl="0">
      <w:lvlJc w:val="left"/>
      <w:lvlText w:val="%1."/>
      <w:numFmt w:val="decimal"/>
      <w:start w:val="3"/>
    </w:lvl>
  </w:abstractNum>
  <w:abstractNum w:abstractNumId="169">
    <w:nsid w:val="4C2A7166"/>
    <w:multiLevelType w:val="hybridMultilevel"/>
    <w:lvl w:ilvl="0">
      <w:lvlJc w:val="left"/>
      <w:lvlText w:val="(%1)"/>
      <w:numFmt w:val="lowerLetter"/>
      <w:start w:val="1"/>
    </w:lvl>
  </w:abstractNum>
  <w:abstractNum w:abstractNumId="170">
    <w:nsid w:val="2E534A82"/>
    <w:multiLevelType w:val="hybridMultilevel"/>
    <w:lvl w:ilvl="0">
      <w:lvlJc w:val="left"/>
      <w:lvlText w:val="(%1)"/>
      <w:numFmt w:val="lowerLetter"/>
      <w:start w:val="9"/>
    </w:lvl>
  </w:abstractNum>
  <w:abstractNum w:abstractNumId="171">
    <w:nsid w:val="26F2D364"/>
    <w:multiLevelType w:val="hybridMultilevel"/>
    <w:lvl w:ilvl="0">
      <w:lvlJc w:val="left"/>
      <w:lvlText w:val="(%1)"/>
      <w:numFmt w:val="lowerLetter"/>
      <w:start w:val="1"/>
    </w:lvl>
  </w:abstractNum>
  <w:abstractNum w:abstractNumId="172">
    <w:nsid w:val="71C1AF98"/>
    <w:multiLevelType w:val="hybridMultilevel"/>
    <w:lvl w:ilvl="0">
      <w:lvlJc w:val="left"/>
      <w:lvlText w:val="%1."/>
      <w:numFmt w:val="decimal"/>
      <w:start w:val="4"/>
    </w:lvl>
  </w:abstractNum>
  <w:abstractNum w:abstractNumId="173">
    <w:nsid w:val="3D00B9D9"/>
    <w:multiLevelType w:val="hybridMultilevel"/>
    <w:lvl w:ilvl="0">
      <w:lvlJc w:val="left"/>
      <w:lvlText w:val="%1."/>
      <w:numFmt w:val="decimal"/>
      <w:start w:val="5"/>
    </w:lvl>
  </w:abstractNum>
  <w:abstractNum w:abstractNumId="174">
    <w:nsid w:val="15BCABA8"/>
    <w:multiLevelType w:val="hybridMultilevel"/>
    <w:lvl w:ilvl="0">
      <w:lvlJc w:val="left"/>
      <w:lvlText w:val="(%1)"/>
      <w:numFmt w:val="lowerLetter"/>
      <w:start w:val="1"/>
    </w:lvl>
  </w:abstractNum>
  <w:abstractNum w:abstractNumId="175">
    <w:nsid w:val="4E0B9A87"/>
    <w:multiLevelType w:val="hybridMultilevel"/>
    <w:lvl w:ilvl="0">
      <w:lvlJc w:val="left"/>
      <w:lvlText w:val="(%1)"/>
      <w:numFmt w:val="lowerRoman"/>
      <w:start w:val="2"/>
    </w:lvl>
  </w:abstractNum>
  <w:abstractNum w:abstractNumId="176">
    <w:nsid w:val="434BAE75"/>
    <w:multiLevelType w:val="hybridMultilevel"/>
    <w:lvl w:ilvl="0">
      <w:lvlJc w:val="left"/>
      <w:lvlText w:val="%1"/>
      <w:numFmt w:val="decimal"/>
      <w:start w:val="1"/>
    </w:lvl>
    <w:lvl w:ilvl="1">
      <w:lvlJc w:val="left"/>
      <w:lvlText w:val="(%2)"/>
      <w:numFmt w:val="lowerLetter"/>
      <w:start w:val="1"/>
    </w:lvl>
  </w:abstractNum>
  <w:abstractNum w:abstractNumId="177">
    <w:nsid w:val="4F38F265"/>
    <w:multiLevelType w:val="hybridMultilevel"/>
    <w:lvl w:ilvl="0">
      <w:lvlJc w:val="left"/>
      <w:lvlText w:val="%1."/>
      <w:numFmt w:val="decimal"/>
      <w:start w:val="6"/>
    </w:lvl>
    <w:lvl w:ilvl="1">
      <w:lvlJc w:val="left"/>
      <w:lvlText w:val="(%2)"/>
      <w:numFmt w:val="lowerLetter"/>
      <w:start w:val="1"/>
    </w:lvl>
  </w:abstractNum>
  <w:abstractNum w:abstractNumId="178">
    <w:nsid w:val="4C502870"/>
    <w:multiLevelType w:val="hybridMultilevel"/>
    <w:lvl w:ilvl="0">
      <w:lvlJc w:val="left"/>
      <w:lvlText w:val="(%1)"/>
      <w:numFmt w:val="lowerLetter"/>
      <w:start w:val="1"/>
    </w:lvl>
    <w:lvl w:ilvl="1">
      <w:lvlJc w:val="left"/>
      <w:lvlText w:val="(%2)"/>
      <w:numFmt w:val="lowerLetter"/>
      <w:start w:val="9"/>
    </w:lvl>
  </w:abstractNum>
  <w:abstractNum w:abstractNumId="179">
    <w:nsid w:val="1DE8725A"/>
    <w:multiLevelType w:val="hybridMultilevel"/>
    <w:lvl w:ilvl="0">
      <w:lvlJc w:val="left"/>
      <w:lvlText w:val="%1"/>
      <w:numFmt w:val="decimal"/>
      <w:start w:val="1"/>
    </w:lvl>
    <w:lvl w:ilvl="1">
      <w:lvlJc w:val="left"/>
      <w:lvlText w:val="(%2)"/>
      <w:numFmt w:val="lowerRoman"/>
      <w:start w:val="2"/>
    </w:lvl>
  </w:abstractNum>
  <w:abstractNum w:abstractNumId="180">
    <w:nsid w:val="6A37288A"/>
    <w:multiLevelType w:val="hybridMultilevel"/>
    <w:lvl w:ilvl="0">
      <w:lvlJc w:val="left"/>
      <w:lvlText w:val="(%1)"/>
      <w:numFmt w:val="decimal"/>
      <w:start w:val="10"/>
    </w:lvl>
    <w:lvl w:ilvl="1">
      <w:lvlJc w:val="left"/>
      <w:lvlText w:val="(%2)"/>
      <w:numFmt w:val="lowerRoman"/>
      <w:start w:val="5"/>
    </w:lvl>
  </w:abstractNum>
  <w:abstractNum w:abstractNumId="181">
    <w:nsid w:val="8F8B73F"/>
    <w:multiLevelType w:val="hybridMultilevel"/>
    <w:lvl w:ilvl="0">
      <w:lvlJc w:val="left"/>
      <w:lvlText w:val="(%1)"/>
      <w:numFmt w:val="upperLetter"/>
      <w:start w:val="4"/>
    </w:lvl>
    <w:lvl w:ilvl="1">
      <w:lvlJc w:val="left"/>
      <w:lvlText w:val="(%2)"/>
      <w:numFmt w:val="lowerRoman"/>
      <w:start w:val="14"/>
    </w:lvl>
  </w:abstractNum>
  <w:abstractNum w:abstractNumId="182">
    <w:nsid w:val="CA6B462"/>
    <w:multiLevelType w:val="hybridMultilevel"/>
    <w:lvl w:ilvl="0">
      <w:lvlJc w:val="left"/>
      <w:lvlText w:val="(%1)"/>
      <w:numFmt w:val="lowerLetter"/>
      <w:start w:val="2"/>
    </w:lvl>
    <w:lvl w:ilvl="1">
      <w:lvlJc w:val="left"/>
      <w:lvlText w:val="(%2)"/>
      <w:numFmt w:val="lowerRoman"/>
      <w:start w:val="1"/>
    </w:lvl>
  </w:abstractNum>
  <w:abstractNum w:abstractNumId="183">
    <w:nsid w:val="763CB680"/>
    <w:multiLevelType w:val="hybridMultilevel"/>
    <w:lvl w:ilvl="0">
      <w:lvlJc w:val="left"/>
      <w:lvlText w:val="(%1)"/>
      <w:numFmt w:val="lowerLetter"/>
      <w:start w:val="3"/>
    </w:lvl>
  </w:abstractNum>
  <w:abstractNum w:abstractNumId="184">
    <w:nsid w:val="15B71329"/>
    <w:multiLevelType w:val="hybridMultilevel"/>
    <w:lvl w:ilvl="0">
      <w:lvlJc w:val="left"/>
      <w:lvlText w:val="(%1)"/>
      <w:numFmt w:val="lowerLetter"/>
      <w:start w:val="1"/>
    </w:lvl>
  </w:abstractNum>
  <w:abstractNum w:abstractNumId="185">
    <w:nsid w:val="3DA97044"/>
    <w:multiLevelType w:val="hybridMultilevel"/>
    <w:lvl w:ilvl="0">
      <w:lvlJc w:val="left"/>
      <w:lvlText w:val="(%1)"/>
      <w:numFmt w:val="lowerLetter"/>
      <w:start w:val="1"/>
    </w:lvl>
  </w:abstractNum>
  <w:abstractNum w:abstractNumId="186">
    <w:nsid w:val="1CDCE2DE"/>
    <w:multiLevelType w:val="hybridMultilevel"/>
    <w:lvl w:ilvl="0">
      <w:lvlJc w:val="left"/>
      <w:lvlText w:val="%1"/>
      <w:numFmt w:val="decimal"/>
      <w:start w:val="1"/>
    </w:lvl>
    <w:lvl w:ilvl="1">
      <w:lvlJc w:val="left"/>
      <w:lvlText w:val="(%2)"/>
      <w:numFmt w:val="lowerLetter"/>
      <w:start w:val="1"/>
    </w:lvl>
  </w:abstractNum>
  <w:abstractNum w:abstractNumId="187">
    <w:nsid w:val="69D3947C"/>
    <w:multiLevelType w:val="hybridMultilevel"/>
    <w:lvl w:ilvl="0">
      <w:lvlJc w:val="left"/>
      <w:lvlText w:val="(%1)"/>
      <w:numFmt w:val="decimal"/>
      <w:start w:val="30"/>
    </w:lvl>
    <w:lvl w:ilvl="1">
      <w:lvlJc w:val="left"/>
      <w:lvlText w:val="(%2)"/>
      <w:numFmt w:val="lowerLetter"/>
      <w:start w:val="2"/>
    </w:lvl>
  </w:abstractNum>
  <w:abstractNum w:abstractNumId="188">
    <w:nsid w:val="2539DFA5"/>
    <w:multiLevelType w:val="hybridMultilevel"/>
    <w:lvl w:ilvl="0">
      <w:lvlJc w:val="left"/>
      <w:lvlText w:val="%1."/>
      <w:numFmt w:val="decimal"/>
      <w:start w:val="7"/>
    </w:lvl>
  </w:abstractNum>
  <w:abstractNum w:abstractNumId="189">
    <w:nsid w:val="2DB88089"/>
    <w:multiLevelType w:val="hybridMultilevel"/>
    <w:lvl w:ilvl="0">
      <w:lvlJc w:val="left"/>
      <w:lvlText w:val="(%1)"/>
      <w:numFmt w:val="lowerRoman"/>
      <w:start w:val="10"/>
    </w:lvl>
  </w:abstractNum>
  <w:abstractNum w:abstractNumId="190">
    <w:nsid w:val="706B674E"/>
    <w:multiLevelType w:val="hybridMultilevel"/>
    <w:lvl w:ilvl="0">
      <w:lvlJc w:val="left"/>
      <w:lvlText w:val="(%1)"/>
      <w:numFmt w:val="lowerLetter"/>
      <w:start w:val="3"/>
    </w:lvl>
  </w:abstractNum>
  <w:abstractNum w:abstractNumId="191">
    <w:nsid w:val="2C106A57"/>
    <w:multiLevelType w:val="hybridMultilevel"/>
    <w:lvl w:ilvl="0">
      <w:lvlJc w:val="left"/>
      <w:lvlText w:val="%1."/>
      <w:numFmt w:val="decimal"/>
      <w:start w:val="8"/>
    </w:lvl>
  </w:abstractNum>
  <w:abstractNum w:abstractNumId="192">
    <w:nsid w:val="684EED59"/>
    <w:multiLevelType w:val="hybridMultilevel"/>
    <w:lvl w:ilvl="0">
      <w:lvlJc w:val="left"/>
      <w:lvlText w:val="(%1)"/>
      <w:numFmt w:val="lowerLetter"/>
      <w:start w:val="1"/>
    </w:lvl>
  </w:abstractNum>
  <w:abstractNum w:abstractNumId="193">
    <w:nsid w:val="545EE5D3"/>
    <w:multiLevelType w:val="hybridMultilevel"/>
    <w:lvl w:ilvl="0">
      <w:lvlJc w:val="left"/>
      <w:lvlText w:val="(%1)"/>
      <w:numFmt w:val="lowerLetter"/>
      <w:start w:val="1"/>
    </w:lvl>
  </w:abstractNum>
  <w:abstractNum w:abstractNumId="194">
    <w:nsid w:val="4A6605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95">
    <w:nsid w:val="20F4BDAD"/>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96">
    <w:nsid w:val="639DEFAC"/>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197">
    <w:nsid w:val="501F9786"/>
    <w:multiLevelType w:val="hybridMultilevel"/>
    <w:lvl w:ilvl="0">
      <w:lvlJc w:val="left"/>
      <w:lvlText w:val="%1"/>
      <w:numFmt w:val="upperLetter"/>
      <w:start w:val="1"/>
    </w:lvl>
    <w:lvl w:ilvl="1">
      <w:lvlJc w:val="left"/>
      <w:lvlText w:val="(%2)"/>
      <w:numFmt w:val="lowerLetter"/>
      <w:start w:val="61"/>
    </w:lvl>
    <w:lvl w:ilvl="2">
      <w:lvlJc w:val="left"/>
      <w:lvlText w:val="%3"/>
      <w:numFmt w:val="lowerRoman"/>
      <w:start w:val="1"/>
    </w:lvl>
  </w:abstractNum>
  <w:abstractNum w:abstractNumId="198">
    <w:nsid w:val="6B057295"/>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4"/>
    </w:lvl>
  </w:abstractNum>
  <w:abstractNum w:abstractNumId="199">
    <w:nsid w:val="2771AC80"/>
    <w:multiLevelType w:val="hybridMultilevel"/>
    <w:lvl w:ilvl="0">
      <w:lvlJc w:val="left"/>
      <w:lvlText w:val="%1"/>
      <w:numFmt w:val="upperLetter"/>
      <w:start w:val="1"/>
    </w:lvl>
    <w:lvl w:ilvl="1">
      <w:lvlJc w:val="left"/>
      <w:lvlText w:val="(%2)"/>
      <w:numFmt w:val="lowerLetter"/>
      <w:start w:val="9"/>
    </w:lvl>
    <w:lvl w:ilvl="2">
      <w:lvlJc w:val="left"/>
      <w:lvlText w:val="%3"/>
      <w:numFmt w:val="lowerRoman"/>
      <w:start w:val="1"/>
    </w:lvl>
  </w:abstractNum>
  <w:abstractNum w:abstractNumId="200">
    <w:nsid w:val="1C4A08EC"/>
    <w:multiLevelType w:val="hybridMultilevel"/>
    <w:lvl w:ilvl="0">
      <w:lvlJc w:val="left"/>
      <w:lvlText w:val="%1"/>
      <w:numFmt w:val="upperLetter"/>
      <w:start w:val="1"/>
    </w:lvl>
    <w:lvl w:ilvl="1">
      <w:lvlJc w:val="left"/>
      <w:lvlText w:val="(%2)"/>
      <w:numFmt w:val="lowerLetter"/>
      <w:start w:val="35"/>
    </w:lvl>
    <w:lvl w:ilvl="2">
      <w:lvlJc w:val="left"/>
      <w:lvlText w:val="%3"/>
      <w:numFmt w:val="lowerRoman"/>
      <w:start w:val="1"/>
    </w:lvl>
  </w:abstractNum>
  <w:abstractNum w:abstractNumId="201">
    <w:nsid w:val="1958BD17"/>
    <w:multiLevelType w:val="hybridMultilevel"/>
    <w:lvl w:ilvl="0">
      <w:lvlJc w:val="left"/>
      <w:lvlText w:val="%1"/>
      <w:numFmt w:val="upperLetter"/>
      <w:start w:val="1"/>
    </w:lvl>
    <w:lvl w:ilvl="1">
      <w:lvlJc w:val="left"/>
      <w:lvlText w:val="(%2)"/>
      <w:numFmt w:val="lowerLetter"/>
      <w:start w:val="61"/>
    </w:lvl>
    <w:lvl w:ilvl="2">
      <w:lvlJc w:val="left"/>
      <w:lvlText w:val="(%3)"/>
      <w:numFmt w:val="lowerRoman"/>
      <w:start w:val="4"/>
    </w:lvl>
  </w:abstractNum>
  <w:abstractNum w:abstractNumId="202">
    <w:nsid w:val="4E647FE4"/>
    <w:multiLevelType w:val="hybridMultilevel"/>
    <w:lvl w:ilvl="0">
      <w:lvlJc w:val="left"/>
      <w:lvlText w:val="%1."/>
      <w:numFmt w:val="decimal"/>
      <w:start w:val="10"/>
    </w:lvl>
  </w:abstractNum>
  <w:abstractNum w:abstractNumId="203">
    <w:nsid w:val="E0BB885"/>
    <w:multiLevelType w:val="hybridMultilevel"/>
    <w:lvl w:ilvl="0">
      <w:lvlJc w:val="left"/>
      <w:lvlText w:val="%1."/>
      <w:numFmt w:val="decimal"/>
      <w:start w:val="11"/>
    </w:lvl>
  </w:abstractNum>
  <w:abstractNum w:abstractNumId="204">
    <w:nsid w:val="565976F1"/>
    <w:multiLevelType w:val="hybridMultilevel"/>
    <w:lvl w:ilvl="0">
      <w:lvlJc w:val="left"/>
      <w:lvlText w:val="%1."/>
      <w:numFmt w:val="decimal"/>
      <w:start w:val="12"/>
    </w:lvl>
  </w:abstractNum>
  <w:abstractNum w:abstractNumId="205">
    <w:nsid w:val="64212B8C"/>
    <w:multiLevelType w:val="hybridMultilevel"/>
    <w:lvl w:ilvl="0">
      <w:lvlJc w:val="left"/>
      <w:lvlText w:val="%1"/>
      <w:numFmt w:val="upperLetter"/>
      <w:start w:val="1"/>
    </w:lvl>
    <w:lvl w:ilvl="1">
      <w:lvlJc w:val="left"/>
      <w:lvlText w:val="(%2)"/>
      <w:numFmt w:val="lowerLetter"/>
      <w:start w:val="9"/>
    </w:lvl>
    <w:lvl w:ilvl="2">
      <w:lvlJc w:val="left"/>
      <w:lvlText w:val="%3"/>
      <w:numFmt w:val="lowerRoman"/>
      <w:start w:val="1"/>
    </w:lvl>
  </w:abstractNum>
  <w:abstractNum w:abstractNumId="206">
    <w:nsid w:val="5C17530C"/>
    <w:multiLevelType w:val="hybridMultilevel"/>
    <w:lvl w:ilvl="0">
      <w:lvlJc w:val="left"/>
      <w:lvlText w:val="%1"/>
      <w:numFmt w:val="upperLetter"/>
      <w:start w:val="1"/>
    </w:lvl>
    <w:lvl w:ilvl="1">
      <w:lvlJc w:val="left"/>
      <w:lvlText w:val="(%2)"/>
      <w:numFmt w:val="lowerLetter"/>
      <w:start w:val="35"/>
    </w:lvl>
    <w:lvl w:ilvl="2">
      <w:lvlJc w:val="left"/>
      <w:lvlText w:val="%3"/>
      <w:numFmt w:val="lowerRoman"/>
      <w:start w:val="1"/>
    </w:lvl>
  </w:abstractNum>
  <w:abstractNum w:abstractNumId="207">
    <w:nsid w:val="19A52566"/>
    <w:multiLevelType w:val="hybridMultilevel"/>
    <w:lvl w:ilvl="0">
      <w:lvlJc w:val="left"/>
      <w:lvlText w:val="%1"/>
      <w:numFmt w:val="upperLetter"/>
      <w:start w:val="1"/>
    </w:lvl>
    <w:lvl w:ilvl="1">
      <w:lvlJc w:val="left"/>
      <w:lvlText w:val="(%2)"/>
      <w:numFmt w:val="lowerLetter"/>
      <w:start w:val="61"/>
    </w:lvl>
    <w:lvl w:ilvl="2">
      <w:lvlJc w:val="left"/>
      <w:lvlText w:val="%3"/>
      <w:numFmt w:val="lowerRoman"/>
      <w:start w:val="1"/>
    </w:lvl>
  </w:abstractNum>
  <w:abstractNum w:abstractNumId="208">
    <w:nsid w:val="335A1DF1"/>
    <w:multiLevelType w:val="hybridMultilevel"/>
    <w:lvl w:ilvl="0">
      <w:lvlJc w:val="left"/>
      <w:lvlText w:val="(%1)"/>
      <w:numFmt w:val="upperLetter"/>
      <w:start w:val="6"/>
    </w:lvl>
    <w:lvl w:ilvl="1">
      <w:lvlJc w:val="left"/>
      <w:lvlText w:val="(%2)"/>
      <w:numFmt w:val="lowerLetter"/>
      <w:start w:val="2"/>
    </w:lvl>
    <w:lvl w:ilvl="2">
      <w:lvlJc w:val="left"/>
      <w:lvlText w:val="%3"/>
      <w:numFmt w:val="lowerRoman"/>
      <w:start w:val="1"/>
    </w:lvl>
  </w:abstractNum>
  <w:abstractNum w:abstractNumId="209">
    <w:nsid w:val="28677B7C"/>
    <w:multiLevelType w:val="hybridMultilevel"/>
    <w:lvl w:ilvl="0">
      <w:lvlJc w:val="left"/>
      <w:lvlText w:val="%1."/>
      <w:numFmt w:val="decimal"/>
      <w:start w:val="1"/>
    </w:lvl>
    <w:lvl w:ilvl="1">
      <w:lvlJc w:val="left"/>
      <w:lvlText w:val="(%2)"/>
      <w:numFmt w:val="lowerLetter"/>
      <w:start w:val="1"/>
    </w:lvl>
  </w:abstractNum>
  <w:abstractNum w:abstractNumId="210">
    <w:nsid w:val="378D97C0"/>
    <w:multiLevelType w:val="hybridMultilevel"/>
    <w:lvl w:ilvl="0">
      <w:lvlJc w:val="left"/>
      <w:lvlText w:val="%1."/>
      <w:numFmt w:val="decimal"/>
      <w:start w:val="2"/>
    </w:lvl>
    <w:lvl w:ilvl="1">
      <w:lvlJc w:val="left"/>
      <w:lvlText w:val="(%2)"/>
      <w:numFmt w:val="lowerLetter"/>
      <w:start w:val="1"/>
    </w:lvl>
  </w:abstractNum>
  <w:abstractNum w:abstractNumId="211">
    <w:nsid w:val="1D91467C"/>
    <w:multiLevelType w:val="hybridMultilevel"/>
    <w:lvl w:ilvl="0">
      <w:lvlJc w:val="left"/>
      <w:lvlText w:val="%1."/>
      <w:numFmt w:val="decimal"/>
      <w:start w:val="4"/>
    </w:lvl>
  </w:abstractNum>
  <w:abstractNum w:abstractNumId="212">
    <w:nsid w:val="316032BB"/>
    <w:multiLevelType w:val="hybridMultilevel"/>
    <w:lvl w:ilvl="0">
      <w:lvlJc w:val="left"/>
      <w:lvlText w:val="%1."/>
      <w:numFmt w:val="decimal"/>
      <w:start w:val="6"/>
    </w:lvl>
  </w:abstractNum>
  <w:abstractNum w:abstractNumId="213">
    <w:nsid w:val="44344C22"/>
    <w:multiLevelType w:val="hybridMultilevel"/>
    <w:lvl w:ilvl="0">
      <w:lvlJc w:val="left"/>
      <w:lvlText w:val="%1."/>
      <w:numFmt w:val="decimal"/>
      <w:start w:val="7"/>
    </w:lvl>
    <w:lvl w:ilvl="1">
      <w:lvlJc w:val="left"/>
      <w:lvlText w:val="(%2)"/>
      <w:numFmt w:val="lowerLetter"/>
      <w:start w:val="1"/>
    </w:lvl>
  </w:abstractNum>
  <w:abstractNum w:abstractNumId="214">
    <w:nsid w:val="13CDFCF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15">
    <w:nsid w:val="471745E4"/>
    <w:multiLevelType w:val="hybridMultilevel"/>
    <w:lvl w:ilvl="0">
      <w:lvlJc w:val="left"/>
      <w:lvlText w:val="(%1)"/>
      <w:numFmt w:val="lowerLetter"/>
      <w:start w:val="4"/>
    </w:lvl>
  </w:abstractNum>
  <w:abstractNum w:abstractNumId="216">
    <w:nsid w:val="1DDBC66"/>
    <w:multiLevelType w:val="hybridMultilevel"/>
    <w:lvl w:ilvl="0">
      <w:lvlJc w:val="left"/>
      <w:lvlText w:val="%1."/>
      <w:numFmt w:val="decimal"/>
      <w:start w:val="1"/>
    </w:lvl>
    <w:lvl w:ilvl="1">
      <w:lvlJc w:val="left"/>
      <w:lvlText w:val="(%2)"/>
      <w:numFmt w:val="lowerLetter"/>
      <w:start w:val="1"/>
    </w:lvl>
  </w:abstractNum>
  <w:abstractNum w:abstractNumId="217">
    <w:nsid w:val="30AADFD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18">
    <w:nsid w:val="30EADA61"/>
    <w:multiLevelType w:val="hybridMultilevel"/>
    <w:lvl w:ilvl="0">
      <w:lvlJc w:val="left"/>
      <w:lvlText w:val="(%1)"/>
      <w:numFmt w:val="lowerRoman"/>
      <w:start w:val="2"/>
    </w:lvl>
  </w:abstractNum>
  <w:abstractNum w:abstractNumId="219">
    <w:nsid w:val="27179C0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3"/>
    </w:lvl>
  </w:abstractNum>
  <w:abstractNum w:abstractNumId="220">
    <w:nsid w:val="5E636063"/>
    <w:multiLevelType w:val="hybridMultilevel"/>
    <w:lvl w:ilvl="0">
      <w:lvlJc w:val="left"/>
      <w:lvlText w:val="%1."/>
      <w:numFmt w:val="decimal"/>
      <w:start w:val="8"/>
    </w:lvl>
    <w:lvl w:ilvl="1">
      <w:lvlJc w:val="left"/>
      <w:lvlText w:val="%2"/>
      <w:numFmt w:val="upperLetter"/>
      <w:start w:val="1"/>
    </w:lvl>
    <w:lvl w:ilvl="2">
      <w:lvlJc w:val="left"/>
      <w:lvlText w:val="%3"/>
      <w:numFmt w:val="lowerRoman"/>
      <w:start w:val="1"/>
    </w:lvl>
  </w:abstractNum>
  <w:abstractNum w:abstractNumId="221">
    <w:nsid w:val="215641AF"/>
    <w:multiLevelType w:val="hybridMultilevel"/>
    <w:lvl w:ilvl="0">
      <w:lvlJc w:val="left"/>
      <w:lvlText w:val="%1."/>
      <w:numFmt w:val="decimal"/>
      <w:start w:val="9"/>
    </w:lvl>
  </w:abstractNum>
  <w:abstractNum w:abstractNumId="222">
    <w:nsid w:val="53280662"/>
    <w:multiLevelType w:val="hybridMultilevel"/>
    <w:lvl w:ilvl="0">
      <w:lvlJc w:val="left"/>
      <w:lvlText w:val="(%1)"/>
      <w:numFmt w:val="lowerLetter"/>
      <w:start w:val="1"/>
    </w:lvl>
  </w:abstractNum>
  <w:abstractNum w:abstractNumId="223">
    <w:nsid w:val="46B24DBC"/>
    <w:multiLevelType w:val="hybridMultilevel"/>
    <w:lvl w:ilvl="0">
      <w:lvlJc w:val="left"/>
      <w:lvlText w:val="(%1)"/>
      <w:numFmt w:val="lowerLetter"/>
      <w:start w:val="2"/>
    </w:lvl>
  </w:abstractNum>
  <w:abstractNum w:abstractNumId="224">
    <w:nsid w:val="75B52783"/>
    <w:multiLevelType w:val="hybridMultilevel"/>
    <w:lvl w:ilvl="0">
      <w:lvlJc w:val="left"/>
      <w:lvlText w:val="1"/>
      <w:numFmt w:val="bullet"/>
      <w:start w:val="1"/>
    </w:lvl>
  </w:abstractNum>
  <w:abstractNum w:abstractNumId="225">
    <w:nsid w:val="57CE66B4"/>
    <w:multiLevelType w:val="hybridMultilevel"/>
    <w:lvl w:ilvl="0">
      <w:lvlJc w:val="left"/>
      <w:lvlText w:val="%1)"/>
      <w:numFmt w:val="decimal"/>
      <w:start w:val="1"/>
    </w:lvl>
  </w:abstractNum>
  <w:abstractNum w:abstractNumId="226">
    <w:nsid w:val="67A70B69"/>
    <w:multiLevelType w:val="hybridMultilevel"/>
    <w:lvl w:ilvl="0">
      <w:lvlJc w:val="left"/>
      <w:lvlText w:val="%1)"/>
      <w:numFmt w:val="decimal"/>
      <w:start w:val="9"/>
    </w:lvl>
  </w:abstractNum>
  <w:abstractNum w:abstractNumId="227">
    <w:nsid w:val="5953172F"/>
    <w:multiLevelType w:val="hybridMultilevel"/>
    <w:lvl w:ilvl="0">
      <w:lvlJc w:val="left"/>
      <w:lvlText w:val="%1)"/>
      <w:numFmt w:val="decimal"/>
      <w:start w:val="1"/>
    </w:lvl>
  </w:abstractNum>
  <w:abstractNum w:abstractNumId="228">
    <w:nsid w:val="27EDFE3A"/>
    <w:multiLevelType w:val="hybridMultilevel"/>
    <w:lvl w:ilvl="0">
      <w:lvlJc w:val="left"/>
      <w:lvlText w:val="%1."/>
      <w:numFmt w:val="decimal"/>
      <w:start w:val="1"/>
    </w:lvl>
  </w:abstractNum>
  <w:abstractNum w:abstractNumId="229">
    <w:nsid w:val="52AC7DFF"/>
    <w:multiLevelType w:val="hybridMultilevel"/>
    <w:lvl w:ilvl="0">
      <w:lvlJc w:val="left"/>
      <w:lvlText w:val="%1."/>
      <w:numFmt w:val="decimal"/>
      <w:start w:val="5"/>
    </w:lvl>
  </w:abstractNum>
  <w:abstractNum w:abstractNumId="230">
    <w:nsid w:val="C4C3AF"/>
    <w:multiLevelType w:val="hybridMultilevel"/>
    <w:lvl w:ilvl="0">
      <w:lvlJc w:val="left"/>
      <w:lvlText w:val="***"/>
      <w:numFmt w:val="bullet"/>
      <w:start w:val="1"/>
    </w:lvl>
  </w:abstractNum>
  <w:abstractNum w:abstractNumId="231">
    <w:nsid w:val="44380727"/>
    <w:multiLevelType w:val="hybridMultilevel"/>
    <w:lvl w:ilvl="0">
      <w:lvlJc w:val="left"/>
      <w:lvlText w:val="(%1)"/>
      <w:numFmt w:val="decimal"/>
      <w:start w:val="1"/>
    </w:lvl>
  </w:abstractNum>
  <w:abstractNum w:abstractNumId="232">
    <w:nsid w:val="6C053B16"/>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33">
    <w:nsid w:val="4F29439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34">
    <w:nsid w:val="5243B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62"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137" Type="http://schemas.openxmlformats.org/officeDocument/2006/relationships/hyperlink" Target="http://www.sec.gov/Archives/edgar/data/1787306/000119312520010664/d784371dex31.htm" TargetMode="External"/><Relationship Id="rId138" Type="http://schemas.openxmlformats.org/officeDocument/2006/relationships/hyperlink" Target="http://www.sec.gov/Archives/edgar/data/1787306/000119312520001990/d784371dex33.htm" TargetMode="External"/><Relationship Id="rId139" Type="http://schemas.openxmlformats.org/officeDocument/2006/relationships/hyperlink" Target="http://www.sec.gov/Archives/edgar/data/1787306/000119312520010664/d784371dex41.htm" TargetMode="External"/><Relationship Id="rId140" Type="http://schemas.openxmlformats.org/officeDocument/2006/relationships/hyperlink" Target="http://www.sec.gov/Archives/edgar/data/1787306/000119312520001990/d784371dex42.htm" TargetMode="External"/><Relationship Id="rId141" Type="http://schemas.openxmlformats.org/officeDocument/2006/relationships/hyperlink" Target="http://www.sec.gov/Archives/edgar/data/1787306/000178730620000005/ex43descriptionofregis.htm" TargetMode="External"/><Relationship Id="rId142" Type="http://schemas.openxmlformats.org/officeDocument/2006/relationships/hyperlink" Target="http://www.sec.gov/Archives/edgar/data/1787306/000119312520001990/d784371dex101.htm" TargetMode="External"/><Relationship Id="rId143" Type="http://schemas.openxmlformats.org/officeDocument/2006/relationships/hyperlink" Target="http://www.sec.gov/Archives/edgar/data/1787306/000119312520001990/d784371dex102.htm" TargetMode="External"/><Relationship Id="rId144" Type="http://schemas.openxmlformats.org/officeDocument/2006/relationships/hyperlink" Target="http://www.sec.gov/Archives/edgar/data/1787306/000119312520010664/d784371dex103.htm" TargetMode="External"/><Relationship Id="rId145" Type="http://schemas.openxmlformats.org/officeDocument/2006/relationships/hyperlink" Target="http://www.sec.gov/Archives/edgar/data/1787306/000119312520010664/d784371dex104.htm" TargetMode="External"/><Relationship Id="rId146" Type="http://schemas.openxmlformats.org/officeDocument/2006/relationships/hyperlink" Target="http://www.sec.gov/Archives/edgar/data/1787306/000119312520010664/d784371dex105.htm" TargetMode="External"/><Relationship Id="rId147" Type="http://schemas.openxmlformats.org/officeDocument/2006/relationships/hyperlink" Target="http://www.sec.gov/Archives/edgar/data/1787306/000119312520010664/d784371dex106.htm" TargetMode="External"/><Relationship Id="rId148" Type="http://schemas.openxmlformats.org/officeDocument/2006/relationships/hyperlink" Target="http://www.sec.gov/Archives/edgar/data/1787306/000119312520010664/d784371dex107.htm" TargetMode="External"/><Relationship Id="rId149" Type="http://schemas.openxmlformats.org/officeDocument/2006/relationships/hyperlink" Target="http://www.sec.gov/Archives/edgar/data/1787306/000119312520010664/d784371dex108.htm" TargetMode="External"/><Relationship Id="rId150" Type="http://schemas.openxmlformats.org/officeDocument/2006/relationships/hyperlink" Target="http://www.sec.gov/Archives/edgar/data/1787306/000119312520010664/d784371dex109.htm" TargetMode="External"/><Relationship Id="rId151" Type="http://schemas.openxmlformats.org/officeDocument/2006/relationships/hyperlink" Target="http://www.sec.gov/Archives/edgar/data/1787306/000119312520010664/d784371dex1010.htm" TargetMode="External"/><Relationship Id="rId152" Type="http://schemas.openxmlformats.org/officeDocument/2006/relationships/hyperlink" Target="http://www.sec.gov/Archives/edgar/data/1787306/000119312520001990/d784371dex1011.htm" TargetMode="External"/><Relationship Id="rId153" Type="http://schemas.openxmlformats.org/officeDocument/2006/relationships/hyperlink" Target="http://www.sec.gov/Archives/edgar/data/1787306/000119312520001990/d784371dex1012.htm" TargetMode="External"/><Relationship Id="rId154" Type="http://schemas.openxmlformats.org/officeDocument/2006/relationships/hyperlink" Target="http://www.sec.gov/Archives/edgar/data/1787306/000119312520001990/d784371dex1013.htm" TargetMode="External"/><Relationship Id="rId155" Type="http://schemas.openxmlformats.org/officeDocument/2006/relationships/hyperlink" Target="http://www.sec.gov/Archives/edgar/data/1787306/000119312520001990/d784371dex1014.htm" TargetMode="External"/><Relationship Id="rId156" Type="http://schemas.openxmlformats.org/officeDocument/2006/relationships/hyperlink" Target="http://www.sec.gov/Archives/edgar/data/1787306/000119312520001990/d784371dex1015.htm" TargetMode="External"/><Relationship Id="rId157" Type="http://schemas.openxmlformats.org/officeDocument/2006/relationships/hyperlink" Target="http://www.sec.gov/Archives/edgar/data/1787306/000119312520001990/d784371dex1016.htm" TargetMode="External"/><Relationship Id="rId158" Type="http://schemas.openxmlformats.org/officeDocument/2006/relationships/hyperlink" Target="http://www.sec.gov/Archives/edgar/data/1787306/000119312520010664/d784371dex1017.htm" TargetMode="External"/><Relationship Id="rId159" Type="http://schemas.openxmlformats.org/officeDocument/2006/relationships/hyperlink" Target="http://www.sec.gov/Archives/edgar/data/1787306/000119312520010664/d784371dex1018.htm" TargetMode="External"/><Relationship Id="rId160" Type="http://schemas.openxmlformats.org/officeDocument/2006/relationships/hyperlink" Target="http://www.sec.gov/Archives/edgar/data/1787306/000119312520010664/d784371dex1019.htm" TargetMode="External"/><Relationship Id="rId161" Type="http://schemas.openxmlformats.org/officeDocument/2006/relationships/hyperlink" Target="http://www.sec.gov/Archives/edgar/data/1787306/000119312520010664/d784371dex1020.htm" TargetMode="External"/><Relationship Id="rId163" Type="http://schemas.openxmlformats.org/officeDocument/2006/relationships/hyperlink" Target="http://www.sec.gov/Archives/edgar/data/1787306/000119312520010664/d784371dex1021.htm" TargetMode="External"/><Relationship Id="rId164" Type="http://schemas.openxmlformats.org/officeDocument/2006/relationships/hyperlink" Target="http://www.sec.gov/Archives/edgar/data/1787306/000119312520010664/d784371dex1022.htm" TargetMode="External"/><Relationship Id="rId165" Type="http://schemas.openxmlformats.org/officeDocument/2006/relationships/hyperlink" Target="http://www.sec.gov/Archives/edgar/data/1787306/000162828021002272/offerofemployment-matthewm.htm" TargetMode="External"/><Relationship Id="rId166" Type="http://schemas.openxmlformats.org/officeDocument/2006/relationships/hyperlink" Target="http://www.sec.gov/Archives/edgar/data/1787306/000162828021002272/severanceandchangeincontro.htm" TargetMode="External"/><Relationship Id="rId167" Type="http://schemas.openxmlformats.org/officeDocument/2006/relationships/hyperlink" Target="http://www.sec.gov/Archives/edgar/data/1787306/000162828021002272/arcutis-interquimapisupply.htm" TargetMode="External"/><Relationship Id="rId168" Type="http://schemas.openxmlformats.org/officeDocument/2006/relationships/hyperlink" Target="http://www.sec.gov/Archives/edgar/data/1787306/000162828021009291/chi-arcutis3plagreement.htm" TargetMode="External"/><Relationship Id="rId169" Type="http://schemas.openxmlformats.org/officeDocument/2006/relationships/hyperlink" Target="http://www.sec.gov/Archives/edgar/data/1787306/000162828021009291/severancechangeincontrolag.htm" TargetMode="External"/><Relationship Id="rId170" Type="http://schemas.openxmlformats.org/officeDocument/2006/relationships/hyperlink" Target="http://www.sec.gov/Archives/edgar/data/1787306/000162828021009291/arcutisatm-salesagreement.htm" TargetMode="External"/><Relationship Id="rId171" Type="http://schemas.openxmlformats.org/officeDocument/2006/relationships/hyperlink" Target="http://www.sec.gov/Archives/edgar/data/1787306/000178730621000030/exhibit101dptmanufactur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2022-02-22T15:19:43Z</dcterms:created>
  <dcterms:modified xsi:type="dcterms:W3CDTF">2022-02-22T15:19:43Z</dcterms:modified>
</cp:coreProperties>
</file>